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2B2289" w:rsidRPr="00B02735" w:rsidTr="00EF2158">
        <w:trPr>
          <w:tblCellSpacing w:w="22" w:type="dxa"/>
        </w:trPr>
        <w:tc>
          <w:tcPr>
            <w:tcW w:w="5000" w:type="pct"/>
            <w:hideMark/>
          </w:tcPr>
          <w:p w:rsidR="002B2289" w:rsidRPr="00B02735" w:rsidRDefault="002B2289" w:rsidP="00EF2158">
            <w:pPr>
              <w:pStyle w:val="a3"/>
            </w:pPr>
            <w:r w:rsidRPr="00B02735">
              <w:t>ЗАТВЕРДЖЕНО</w:t>
            </w:r>
            <w:r w:rsidRPr="00B02735">
              <w:br/>
              <w:t>Наказ Міністерства фінансів України</w:t>
            </w:r>
            <w:r w:rsidRPr="00B02735">
              <w:br/>
              <w:t>02 червня 2015 року N 524</w:t>
            </w:r>
            <w:r w:rsidRPr="00B02735">
              <w:br/>
              <w:t xml:space="preserve">(у редакції наказу Міністерства фінансів України </w:t>
            </w:r>
            <w:r w:rsidRPr="00B02735">
              <w:br/>
              <w:t>від 26 березня 2018 року за N 386)</w:t>
            </w:r>
          </w:p>
          <w:p w:rsidR="002B2289" w:rsidRPr="00B02735" w:rsidRDefault="002B2289" w:rsidP="00EF2158">
            <w:pPr>
              <w:pStyle w:val="a3"/>
            </w:pPr>
            <w:r w:rsidRPr="00B02735">
              <w:t>Зареєстровано</w:t>
            </w:r>
            <w:r w:rsidRPr="00B02735">
              <w:br/>
              <w:t>в Міністерстві юстиції України</w:t>
            </w:r>
            <w:r w:rsidRPr="00B02735">
              <w:br/>
              <w:t>24 червня 2015 р. за N 751/27196</w:t>
            </w:r>
          </w:p>
        </w:tc>
      </w:tr>
    </w:tbl>
    <w:p w:rsidR="002B2289" w:rsidRDefault="002B2289" w:rsidP="002B2289">
      <w:pPr>
        <w:pStyle w:val="a3"/>
        <w:jc w:val="both"/>
      </w:pPr>
      <w:r>
        <w:br w:type="textWrapping" w:clear="all"/>
      </w:r>
    </w:p>
    <w:p w:rsidR="002B2289" w:rsidRDefault="002B2289" w:rsidP="002B2289">
      <w:pPr>
        <w:pStyle w:val="3"/>
        <w:jc w:val="center"/>
      </w:pPr>
      <w:r>
        <w:t>Порядок</w:t>
      </w:r>
      <w:r>
        <w:br/>
        <w:t>формування плану-графіка проведення документальних планових перевірок платників податків</w:t>
      </w:r>
    </w:p>
    <w:p w:rsidR="002B2289" w:rsidRDefault="002B2289" w:rsidP="002B2289">
      <w:pPr>
        <w:pStyle w:val="3"/>
        <w:jc w:val="center"/>
      </w:pPr>
      <w:r>
        <w:t>I. Загальні положення</w:t>
      </w:r>
    </w:p>
    <w:p w:rsidR="002B2289" w:rsidRDefault="002B2289" w:rsidP="002B2289">
      <w:pPr>
        <w:pStyle w:val="a3"/>
        <w:jc w:val="both"/>
      </w:pPr>
      <w:r>
        <w:t>1. Цей Порядок розроблений з метою забезпечення єдиного підходу до формування плану-графіка проведення документальних планових перевірок платників податків (далі - план-графік).</w:t>
      </w:r>
    </w:p>
    <w:p w:rsidR="002B2289" w:rsidRDefault="002B2289" w:rsidP="002B2289">
      <w:pPr>
        <w:pStyle w:val="a3"/>
        <w:jc w:val="both"/>
      </w:pPr>
      <w:r>
        <w:t xml:space="preserve">Річний план-графік для документальних планових перевірок щодо дотримання податкового, валютного та іншого законодавства України, контроль за дотриманням якого покладено на контролюючі органи, складається відповідно до вимог </w:t>
      </w:r>
      <w:r>
        <w:rPr>
          <w:color w:val="0000FF"/>
        </w:rPr>
        <w:t>статті 77 розділу II Податкового кодексу України</w:t>
      </w:r>
      <w:r>
        <w:t xml:space="preserve"> (далі - Кодекс).</w:t>
      </w:r>
    </w:p>
    <w:p w:rsidR="002B2289" w:rsidRDefault="002B2289" w:rsidP="002B2289">
      <w:pPr>
        <w:pStyle w:val="a3"/>
        <w:jc w:val="both"/>
      </w:pPr>
      <w:r>
        <w:t xml:space="preserve">План-графік документальних планових перевірок щодо дотримання вимог законодавства України з питань державної митної справи, у тому числі своєчасності, достовірності, повноти нарахування та сплати митних платежів, складається з квартальних планів-графіків відповідно до вимог </w:t>
      </w:r>
      <w:r>
        <w:rPr>
          <w:color w:val="0000FF"/>
        </w:rPr>
        <w:t>статті 346 Митного кодексу України</w:t>
      </w:r>
      <w:r>
        <w:t>.</w:t>
      </w:r>
    </w:p>
    <w:p w:rsidR="002B2289" w:rsidRDefault="002B2289" w:rsidP="002B2289">
      <w:pPr>
        <w:pStyle w:val="a3"/>
        <w:jc w:val="both"/>
      </w:pPr>
      <w:r>
        <w:t>План-графік документальних планових перевірок на поточний рік оприлюднюється на офіційному веб-сайті центрального органу виконавчої влади, що реалізує державну податкову та митну політику, до 25 грудня року, що передує року, в якому будуть проводитися такі документальні планові перевірки. Оновлення річного плану-графіка здійснюється у разі його коригування.</w:t>
      </w:r>
    </w:p>
    <w:p w:rsidR="002B2289" w:rsidRDefault="002B2289" w:rsidP="002B2289">
      <w:pPr>
        <w:pStyle w:val="a3"/>
        <w:jc w:val="both"/>
      </w:pPr>
      <w:r>
        <w:t>У цьому Порядку поняття "кластерні об'єднання" означає групу суб'єктів господарювання - юридичних осіб з централізованим управлінням виробничою, фінансовою та комерційною діяльністю.</w:t>
      </w:r>
    </w:p>
    <w:p w:rsidR="002B2289" w:rsidRDefault="002B2289" w:rsidP="002B2289">
      <w:pPr>
        <w:pStyle w:val="a3"/>
        <w:jc w:val="both"/>
      </w:pPr>
      <w:r>
        <w:t>2. Формування (коригування) планів-графіків територіальних органів Державної фіскальної служби України (далі - територіальні органи ДФС) здійснюється у порядку, встановленому у розділах III - V цього Порядку.</w:t>
      </w:r>
    </w:p>
    <w:p w:rsidR="002B2289" w:rsidRDefault="002B2289" w:rsidP="002B2289">
      <w:pPr>
        <w:pStyle w:val="a3"/>
        <w:jc w:val="both"/>
      </w:pPr>
      <w:r>
        <w:t>Формування (коригування) планів-графіків здійснюється засобами інформаційно-телекомунікаційних систем Державної фіскальної служби України (далі - ДФС).</w:t>
      </w:r>
    </w:p>
    <w:p w:rsidR="002B2289" w:rsidRDefault="002B2289" w:rsidP="002B2289">
      <w:pPr>
        <w:pStyle w:val="a3"/>
        <w:jc w:val="both"/>
      </w:pPr>
      <w:r>
        <w:t xml:space="preserve">3. Проекти річних планів-графіків складаються територіальними органами ДФС не пізніше 01 грудня року, що передує року, в якому будуть проводитися такі документальні </w:t>
      </w:r>
      <w:r>
        <w:lastRenderedPageBreak/>
        <w:t>планові перевірки, квартальних планів-графіків - не пізніше 20 числа останнього місяця поточного кварталу засобами інформаційно-телекомунікаційних систем ДФС.</w:t>
      </w:r>
    </w:p>
    <w:p w:rsidR="002B2289" w:rsidRDefault="002B2289" w:rsidP="002B2289">
      <w:pPr>
        <w:pStyle w:val="a3"/>
        <w:jc w:val="both"/>
      </w:pPr>
      <w:r>
        <w:t>Проекти коригування планів-графіків у разі здійснення такого коригування формуються територіальними органами ДФС не пізніше 03 числа кожного місяця поточного року, починаючи з другого місяця поточного року, засобами інформаційно-телекомунікаційних систем ДФС.</w:t>
      </w:r>
    </w:p>
    <w:p w:rsidR="002B2289" w:rsidRDefault="002B2289" w:rsidP="002B2289">
      <w:pPr>
        <w:pStyle w:val="a3"/>
        <w:jc w:val="both"/>
      </w:pPr>
      <w:r>
        <w:t>Разом з проектом плану-графіка (коригування плану-графіка) формуються інформаційно-аналітичні довідки за кожним платником податків з використанням інформаційно-телекомунікаційних систем ДФС.</w:t>
      </w:r>
    </w:p>
    <w:p w:rsidR="002B2289" w:rsidRDefault="002B2289" w:rsidP="002B2289">
      <w:pPr>
        <w:pStyle w:val="a3"/>
        <w:jc w:val="both"/>
      </w:pPr>
      <w:r>
        <w:t>Після остаточного узгодження проектів планів-графіків (коригування планів-графіків) територіальні органи ДФС надають департаментам аудиту та податків і зборів з фізичних осіб засобами автоматизованої інформаційної системи "Управління документами"</w:t>
      </w:r>
      <w:r>
        <w:rPr>
          <w:b/>
          <w:bCs/>
        </w:rPr>
        <w:t xml:space="preserve"> </w:t>
      </w:r>
      <w:r>
        <w:t>плани-графіки (коригування планів-графіків) з відповідними додатками та обґрунтування підстав включення платника податків до плану-графіка (коригування плану-графіка).</w:t>
      </w:r>
    </w:p>
    <w:p w:rsidR="002B2289" w:rsidRDefault="002B2289" w:rsidP="002B2289">
      <w:pPr>
        <w:pStyle w:val="a3"/>
        <w:jc w:val="both"/>
      </w:pPr>
      <w:r>
        <w:t xml:space="preserve">4. При відборі платника податків до плану-графіка відповідно до вимог </w:t>
      </w:r>
      <w:r>
        <w:rPr>
          <w:color w:val="0000FF"/>
        </w:rPr>
        <w:t>статті 77 розділу II Кодексу</w:t>
      </w:r>
      <w:r>
        <w:t xml:space="preserve"> необхідним є врахування також вимог </w:t>
      </w:r>
      <w:r>
        <w:rPr>
          <w:color w:val="0000FF"/>
        </w:rPr>
        <w:t>пункту 102.1 статті 102 розділу II Кодексу</w:t>
      </w:r>
      <w:r>
        <w:t xml:space="preserve"> в частині граничних термінів проведення перевірки та визначення податкового зобов'язання платника податків, вимог </w:t>
      </w:r>
      <w:r>
        <w:rPr>
          <w:color w:val="0000FF"/>
        </w:rPr>
        <w:t>пункту 77.3 статті 77 розділу II Кодексу</w:t>
      </w:r>
      <w:r>
        <w:t xml:space="preserve"> в частині заборони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митних платежів, податків, зборів та єдиного внеску при виплаті (нарахуванні) доходів фізичним особам, податку на доходи фізичних осіб та зобов'язань за бюджетними позиками і кредитами, що гарантовані бюджетними коштами.</w:t>
      </w:r>
    </w:p>
    <w:p w:rsidR="002B2289" w:rsidRDefault="002B2289" w:rsidP="002B2289">
      <w:pPr>
        <w:pStyle w:val="a3"/>
        <w:jc w:val="both"/>
      </w:pPr>
      <w:r>
        <w:t xml:space="preserve">Відповідно до </w:t>
      </w:r>
      <w:r>
        <w:rPr>
          <w:color w:val="0000FF"/>
        </w:rPr>
        <w:t>частини шістнадцятої статті 25 Закону України "Про збір та облік єдиного внеску на загальнообов'язкове державне соціальне страхування"</w:t>
      </w:r>
      <w:r>
        <w:t xml:space="preserve"> строк давності щодо нарахування, застосування та стягнення сум недоїмки, штрафів та нарахованої пені не застосовується.</w:t>
      </w:r>
    </w:p>
    <w:p w:rsidR="002B2289" w:rsidRDefault="002B2289" w:rsidP="002B2289">
      <w:pPr>
        <w:pStyle w:val="a3"/>
        <w:jc w:val="both"/>
      </w:pPr>
      <w:r>
        <w:t>Документальною перевіркою в частині правильності обчислення, повноти і своєчасності сплати єдиного внеску на загальнообов'язкове державне соціальне страхування (далі - єдиний внесок) охоплюється період з 01 січня 2011 року або період, що настає за періодом, який перевірено попередньою перевіркою із зазначеного питання.</w:t>
      </w:r>
    </w:p>
    <w:p w:rsidR="002B2289" w:rsidRDefault="002B2289" w:rsidP="002B2289">
      <w:pPr>
        <w:pStyle w:val="a3"/>
        <w:jc w:val="both"/>
      </w:pPr>
      <w:r>
        <w:t>5.</w:t>
      </w:r>
      <w:r>
        <w:rPr>
          <w:b/>
          <w:bCs/>
        </w:rPr>
        <w:t xml:space="preserve"> </w:t>
      </w:r>
      <w:r>
        <w:t>План-графік складається із планів-графіків територіальних органів ДФС та затверджується Головою ДФС.</w:t>
      </w:r>
    </w:p>
    <w:p w:rsidR="002B2289" w:rsidRDefault="002B2289" w:rsidP="002B2289">
      <w:pPr>
        <w:pStyle w:val="a3"/>
        <w:jc w:val="both"/>
      </w:pPr>
      <w:r>
        <w:t>Затверджений план-графік є обов'язковим для виконання всіма підрозділами територіальних органів ДФС.</w:t>
      </w:r>
    </w:p>
    <w:p w:rsidR="002B2289" w:rsidRDefault="002B2289" w:rsidP="002B2289">
      <w:pPr>
        <w:pStyle w:val="a3"/>
        <w:jc w:val="both"/>
      </w:pPr>
      <w:r>
        <w:t>Належну якість формування плану-графіка та його коригування забезпечує територіальний орган ДФС, який сформував план-графік (коригування плану-графіка).</w:t>
      </w:r>
    </w:p>
    <w:p w:rsidR="002B2289" w:rsidRDefault="002B2289" w:rsidP="002B2289">
      <w:pPr>
        <w:pStyle w:val="3"/>
        <w:jc w:val="center"/>
      </w:pPr>
      <w:r>
        <w:t>II. Структура плану-графіка проведення документальних планових перевірок платників податків</w:t>
      </w:r>
    </w:p>
    <w:p w:rsidR="002B2289" w:rsidRDefault="002B2289" w:rsidP="002B2289">
      <w:pPr>
        <w:pStyle w:val="a3"/>
        <w:jc w:val="both"/>
      </w:pPr>
      <w:r>
        <w:lastRenderedPageBreak/>
        <w:t>1. План-графік проведення документальних планових перевірок платників податків (додаток 1) та проект коригування плану-графіка проведення документальних планових перевірок платників податків (додаток 2) складаються з чотирьох розділів:</w:t>
      </w:r>
    </w:p>
    <w:p w:rsidR="002B2289" w:rsidRDefault="002B2289" w:rsidP="002B2289">
      <w:pPr>
        <w:pStyle w:val="a3"/>
        <w:jc w:val="both"/>
      </w:pPr>
      <w:r>
        <w:t>розділ I. Документальні планові перевірки платників податків - юридичних осіб;</w:t>
      </w:r>
    </w:p>
    <w:p w:rsidR="002B2289" w:rsidRDefault="002B2289" w:rsidP="002B2289">
      <w:pPr>
        <w:pStyle w:val="a3"/>
        <w:jc w:val="both"/>
      </w:pPr>
      <w:r>
        <w:t>розділ II. Документальні планові перевірки фінансових установ, постійних представництв та представництв нерезидентів;</w:t>
      </w:r>
    </w:p>
    <w:p w:rsidR="002B2289" w:rsidRDefault="002B2289" w:rsidP="002B2289">
      <w:pPr>
        <w:pStyle w:val="a3"/>
        <w:jc w:val="both"/>
      </w:pPr>
      <w:r>
        <w:t>розділ III. Документальні планові перевірки платників податків - фізичних осіб;</w:t>
      </w:r>
    </w:p>
    <w:p w:rsidR="002B2289" w:rsidRDefault="002B2289" w:rsidP="002B2289">
      <w:pPr>
        <w:pStyle w:val="a3"/>
        <w:jc w:val="both"/>
      </w:pPr>
      <w:r>
        <w:t>розділ IV. Документальні планові перевірки платників податків - юридичних осіб з питань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w:t>
      </w:r>
    </w:p>
    <w:p w:rsidR="002B2289" w:rsidRDefault="002B2289" w:rsidP="002B2289">
      <w:pPr>
        <w:pStyle w:val="a3"/>
        <w:jc w:val="both"/>
      </w:pPr>
      <w:r>
        <w:t>Зведена інформація про проведення документальних планових перевірок платників податків за розділами I, II, IV плану-графіка формується згідно з додатком 3 до цього Порядку, за розділом III плану-графіка - згідно з додатком 4 до цього Порядку.</w:t>
      </w:r>
    </w:p>
    <w:p w:rsidR="002B2289" w:rsidRDefault="002B2289" w:rsidP="002B2289">
      <w:pPr>
        <w:pStyle w:val="a3"/>
        <w:jc w:val="both"/>
      </w:pPr>
      <w:r>
        <w:t>2. Розділ I плану-графіка має підрозділи А, Б та С.</w:t>
      </w:r>
    </w:p>
    <w:p w:rsidR="002B2289" w:rsidRDefault="002B2289" w:rsidP="002B2289">
      <w:pPr>
        <w:pStyle w:val="a3"/>
        <w:jc w:val="both"/>
      </w:pPr>
      <w:r>
        <w:t>Підрозділ А. Платники податків, які належать до кластерних об'єднань платників податків, та їх контрагенти.</w:t>
      </w:r>
    </w:p>
    <w:p w:rsidR="002B2289" w:rsidRDefault="002B2289" w:rsidP="002B2289">
      <w:pPr>
        <w:pStyle w:val="a3"/>
        <w:jc w:val="both"/>
      </w:pPr>
      <w:r>
        <w:t>Цей підрозділ плану-графіка має дві групи:</w:t>
      </w:r>
    </w:p>
    <w:p w:rsidR="002B2289" w:rsidRDefault="002B2289" w:rsidP="002B2289">
      <w:pPr>
        <w:pStyle w:val="a3"/>
        <w:jc w:val="both"/>
      </w:pPr>
      <w:r>
        <w:t>I група - основні підприємства, які належать до кластерних об'єднань платників податків;</w:t>
      </w:r>
    </w:p>
    <w:p w:rsidR="002B2289" w:rsidRDefault="002B2289" w:rsidP="002B2289">
      <w:pPr>
        <w:pStyle w:val="a3"/>
        <w:jc w:val="both"/>
      </w:pPr>
      <w:r>
        <w:t>II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2B2289" w:rsidRDefault="002B2289" w:rsidP="002B2289">
      <w:pPr>
        <w:pStyle w:val="a3"/>
        <w:jc w:val="both"/>
      </w:pPr>
      <w:r>
        <w:t>Підрозділ Б. Інші платники податків.</w:t>
      </w:r>
    </w:p>
    <w:p w:rsidR="002B2289" w:rsidRDefault="002B2289" w:rsidP="002B2289">
      <w:pPr>
        <w:pStyle w:val="a3"/>
        <w:jc w:val="both"/>
      </w:pPr>
      <w:r>
        <w:t>Цей підрозділ плану-графіка має дві групи:</w:t>
      </w:r>
    </w:p>
    <w:p w:rsidR="002B2289" w:rsidRDefault="002B2289" w:rsidP="002B2289">
      <w:pPr>
        <w:pStyle w:val="a3"/>
        <w:jc w:val="both"/>
      </w:pPr>
      <w:r>
        <w:t>I група - основні підприємства;</w:t>
      </w:r>
    </w:p>
    <w:p w:rsidR="002B2289" w:rsidRDefault="002B2289" w:rsidP="002B2289">
      <w:pPr>
        <w:pStyle w:val="a3"/>
        <w:jc w:val="both"/>
      </w:pPr>
      <w:r>
        <w:t>II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2B2289" w:rsidRDefault="002B2289" w:rsidP="002B2289">
      <w:pPr>
        <w:pStyle w:val="a3"/>
        <w:jc w:val="both"/>
      </w:pPr>
      <w:r>
        <w:t>Підрозділ С. Платники податків та їх контрагенти, які мають ризики несплати податків та плануються до перевірок щодо дотримання вимог законодавства України з питань державної митної справи.</w:t>
      </w:r>
    </w:p>
    <w:p w:rsidR="002B2289" w:rsidRDefault="002B2289" w:rsidP="002B2289">
      <w:pPr>
        <w:pStyle w:val="a3"/>
        <w:jc w:val="both"/>
      </w:pPr>
      <w:r>
        <w:t>3. Розділ II плану-графіка має п'ять груп:</w:t>
      </w:r>
    </w:p>
    <w:p w:rsidR="002B2289" w:rsidRDefault="002B2289" w:rsidP="002B2289">
      <w:pPr>
        <w:pStyle w:val="a3"/>
        <w:jc w:val="both"/>
      </w:pPr>
      <w:r>
        <w:t>I група - банки;</w:t>
      </w:r>
    </w:p>
    <w:p w:rsidR="002B2289" w:rsidRDefault="002B2289" w:rsidP="002B2289">
      <w:pPr>
        <w:pStyle w:val="a3"/>
        <w:jc w:val="both"/>
      </w:pPr>
      <w:r>
        <w:t>II група - страховики;</w:t>
      </w:r>
    </w:p>
    <w:p w:rsidR="002B2289" w:rsidRDefault="002B2289" w:rsidP="002B2289">
      <w:pPr>
        <w:pStyle w:val="a3"/>
        <w:jc w:val="both"/>
      </w:pPr>
      <w:r>
        <w:lastRenderedPageBreak/>
        <w:t>III група - торговці цінними паперами;</w:t>
      </w:r>
    </w:p>
    <w:p w:rsidR="002B2289" w:rsidRDefault="002B2289" w:rsidP="002B2289">
      <w:pPr>
        <w:pStyle w:val="a3"/>
        <w:jc w:val="both"/>
      </w:pPr>
      <w:r>
        <w:t>IV група - інші небанківські установи;</w:t>
      </w:r>
    </w:p>
    <w:p w:rsidR="002B2289" w:rsidRDefault="002B2289" w:rsidP="002B2289">
      <w:pPr>
        <w:pStyle w:val="a3"/>
        <w:jc w:val="both"/>
      </w:pPr>
      <w:r>
        <w:t>V група - постійні представництва та представництва нерезидентів.</w:t>
      </w:r>
    </w:p>
    <w:p w:rsidR="002B2289" w:rsidRDefault="002B2289" w:rsidP="002B2289">
      <w:pPr>
        <w:pStyle w:val="a3"/>
        <w:jc w:val="both"/>
      </w:pPr>
      <w:r>
        <w:t>4. Розділ III плану-графіка поділяється на три групи:</w:t>
      </w:r>
    </w:p>
    <w:p w:rsidR="002B2289" w:rsidRDefault="002B2289" w:rsidP="002B2289">
      <w:pPr>
        <w:pStyle w:val="a3"/>
        <w:jc w:val="both"/>
      </w:pPr>
      <w:r>
        <w:t>I група - платники податків - фізичні особи, у яких обсяг доходу за рік не перевищує 20 млн грн;</w:t>
      </w:r>
    </w:p>
    <w:p w:rsidR="002B2289" w:rsidRDefault="002B2289" w:rsidP="002B2289">
      <w:pPr>
        <w:pStyle w:val="a3"/>
        <w:jc w:val="both"/>
      </w:pPr>
      <w:r>
        <w:t>II група - платники податків - фізичні особи, у яких обсяг доходу за рік становить 20 млн грн або більше та не перевищує 100 млн грн;</w:t>
      </w:r>
    </w:p>
    <w:p w:rsidR="002B2289" w:rsidRDefault="002B2289" w:rsidP="002B2289">
      <w:pPr>
        <w:pStyle w:val="a3"/>
        <w:jc w:val="both"/>
      </w:pPr>
      <w:r>
        <w:t>III група - платники податків - фізичні особи, у яких обсяг доходу за рік перевищує 100 млн грн.</w:t>
      </w:r>
    </w:p>
    <w:p w:rsidR="002B2289" w:rsidRDefault="002B2289" w:rsidP="002B2289">
      <w:pPr>
        <w:pStyle w:val="a3"/>
        <w:jc w:val="both"/>
      </w:pPr>
      <w:r>
        <w:t>5. Розділ IV плану-графіка поділяється на три групи:</w:t>
      </w:r>
    </w:p>
    <w:p w:rsidR="002B2289" w:rsidRDefault="002B2289" w:rsidP="002B2289">
      <w:pPr>
        <w:pStyle w:val="a3"/>
        <w:jc w:val="both"/>
      </w:pPr>
      <w:r>
        <w:t>I група - великі платники - платники податків - юридичні особи, які мають чисельність найманих працівників понад 250 осіб;</w:t>
      </w:r>
    </w:p>
    <w:p w:rsidR="002B2289" w:rsidRDefault="002B2289" w:rsidP="002B2289">
      <w:pPr>
        <w:pStyle w:val="a3"/>
        <w:jc w:val="both"/>
      </w:pPr>
      <w:r>
        <w:t>II група - середні платники - платники податків - юридичні особи, які мають чисельність найманих працівників від 50 до 250 осіб;</w:t>
      </w:r>
    </w:p>
    <w:p w:rsidR="002B2289" w:rsidRDefault="002B2289" w:rsidP="002B2289">
      <w:pPr>
        <w:pStyle w:val="a3"/>
        <w:jc w:val="both"/>
      </w:pPr>
      <w:r>
        <w:t>III група - малі платники - платники податків - юридичні особи, які мають чисельність найманих працівників менше 50 осіб.</w:t>
      </w:r>
    </w:p>
    <w:p w:rsidR="002B2289" w:rsidRDefault="002B2289" w:rsidP="002B2289">
      <w:pPr>
        <w:pStyle w:val="a3"/>
        <w:jc w:val="both"/>
      </w:pPr>
      <w:r>
        <w:t xml:space="preserve">6. У групах розділів I, II, IV плану-графіка розподіл платників - юридичних осіб проводиться за такими категоріями (відповідно до </w:t>
      </w:r>
      <w:r>
        <w:rPr>
          <w:color w:val="0000FF"/>
        </w:rPr>
        <w:t>статті 55 Господарського кодексу України</w:t>
      </w:r>
      <w:r>
        <w:t>):</w:t>
      </w:r>
    </w:p>
    <w:p w:rsidR="002B2289" w:rsidRDefault="002B2289" w:rsidP="002B2289">
      <w:pPr>
        <w:pStyle w:val="a3"/>
        <w:jc w:val="both"/>
      </w:pPr>
      <w:r>
        <w:t>суб'єкти великого підприємництва;</w:t>
      </w:r>
    </w:p>
    <w:p w:rsidR="002B2289" w:rsidRDefault="002B2289" w:rsidP="002B2289">
      <w:pPr>
        <w:pStyle w:val="a3"/>
        <w:jc w:val="both"/>
      </w:pPr>
      <w:r>
        <w:t>суб'єкти середнього підприємництва;</w:t>
      </w:r>
    </w:p>
    <w:p w:rsidR="002B2289" w:rsidRDefault="002B2289" w:rsidP="002B2289">
      <w:pPr>
        <w:pStyle w:val="a3"/>
        <w:jc w:val="both"/>
      </w:pPr>
      <w:r>
        <w:t>суб'єкти малого підприємництва.</w:t>
      </w:r>
    </w:p>
    <w:p w:rsidR="002B2289" w:rsidRDefault="002B2289" w:rsidP="002B2289">
      <w:pPr>
        <w:pStyle w:val="3"/>
        <w:jc w:val="center"/>
      </w:pPr>
      <w:r>
        <w:t>III. Порядок відбору до плану-графіка платників податків - юридичних осіб, фінансових установ, постійних представництв та представництв нерезидентів</w:t>
      </w:r>
    </w:p>
    <w:p w:rsidR="002B2289" w:rsidRDefault="002B2289" w:rsidP="002B2289">
      <w:pPr>
        <w:pStyle w:val="a3"/>
        <w:jc w:val="both"/>
      </w:pPr>
      <w:r>
        <w:t>1. До розділів I, II плану-графіка включаються платники податків реального сектору економіки, які провадять фінансово-господарську діяльність, сплачують податки та взяті на облік в контролюючих органах як платники податків за основним місцем обліку, або щодо яких порушено провадження у справі про банкрутство, або які знаходяться у стані зміни свого місцезнаходження.</w:t>
      </w:r>
    </w:p>
    <w:p w:rsidR="002B2289" w:rsidRDefault="002B2289" w:rsidP="002B2289">
      <w:pPr>
        <w:pStyle w:val="a3"/>
        <w:jc w:val="both"/>
      </w:pPr>
      <w:r>
        <w:t>2. Формування переліку платників податків до розділів I, II плану-графіка проводиться за критеріями ризиків згідно з вимогами пункту 5 цього розділу, у тому числі за даними інформаційно-телекомунікаційних систем ДФС. При коригуванні плану-графіка враховуються показники за останній податковий (звітний) період.</w:t>
      </w:r>
    </w:p>
    <w:p w:rsidR="002B2289" w:rsidRDefault="002B2289" w:rsidP="002B2289">
      <w:pPr>
        <w:pStyle w:val="a3"/>
        <w:jc w:val="both"/>
      </w:pPr>
      <w:r>
        <w:lastRenderedPageBreak/>
        <w:t>При формуванні плану-графіка на наступний рік враховуються показники за результатами діяльності платника податків за 9 місяців поточного року. Якщо податковим (звітним) періодом для податку на прибуток платника податків є календарний рік, при плануванні враховуються показники за попередній рік.</w:t>
      </w:r>
    </w:p>
    <w:p w:rsidR="002B2289" w:rsidRDefault="002B2289" w:rsidP="002B2289">
      <w:pPr>
        <w:pStyle w:val="a3"/>
        <w:jc w:val="both"/>
      </w:pPr>
      <w:r>
        <w:t>3. До плану-графіка включаються платники податків, які за результатами господарської діяльності мають найбільші ризики несплати до бюджету податків та зборів, платежів.</w:t>
      </w:r>
    </w:p>
    <w:p w:rsidR="002B2289" w:rsidRDefault="002B2289" w:rsidP="002B2289">
      <w:pPr>
        <w:pStyle w:val="a3"/>
        <w:jc w:val="both"/>
      </w:pPr>
      <w:r>
        <w:t>До підрозділу А насамперед включаються платники податків, які мають не менше трьох критеріїв високого ступеня ризику та обсяги доходів або обсяги постачання для головних управлінь (далі - ГУ) ДФС у Дніпропетровській, Київській областях, місті Києві, що дорівнюють або більше 100 млн грн, для ГУ ДФС у Запорізькій, Львівській, Миколаївській, Харківській областях - дорівнюють або більше</w:t>
      </w:r>
      <w:r>
        <w:rPr>
          <w:b/>
          <w:bCs/>
        </w:rPr>
        <w:t xml:space="preserve"> </w:t>
      </w:r>
      <w:r>
        <w:t>50 млн грн, для Офісу великих платників податків - дорівнюють або більше</w:t>
      </w:r>
      <w:r>
        <w:rPr>
          <w:b/>
          <w:bCs/>
        </w:rPr>
        <w:t xml:space="preserve"> </w:t>
      </w:r>
      <w:r>
        <w:t>10000 млн грн, для інших ГУ ДФС -</w:t>
      </w:r>
      <w:r>
        <w:rPr>
          <w:b/>
          <w:bCs/>
        </w:rPr>
        <w:t xml:space="preserve"> </w:t>
      </w:r>
      <w:r>
        <w:t>дорівнюють або більше</w:t>
      </w:r>
      <w:r>
        <w:rPr>
          <w:b/>
          <w:bCs/>
        </w:rPr>
        <w:t xml:space="preserve"> </w:t>
      </w:r>
      <w:r>
        <w:t>20 млн грн (у розрахунку на рік).</w:t>
      </w:r>
    </w:p>
    <w:p w:rsidR="002B2289" w:rsidRDefault="002B2289" w:rsidP="002B2289">
      <w:pPr>
        <w:pStyle w:val="a3"/>
        <w:jc w:val="both"/>
      </w:pPr>
      <w:r>
        <w:t>4. Структурні підрозділи ДФС надають Департаменту аудиту ДФС до 10 листопада року, що передує року, в якому будуть проводитися документальні планові перевірки, аргументовані пропозиції для врахування при формуванні плану-графіка перевірок ризикових платників податків, які належать до кластерних об'єднань платників податків,</w:t>
      </w:r>
      <w:r>
        <w:rPr>
          <w:b/>
          <w:bCs/>
        </w:rPr>
        <w:t xml:space="preserve"> </w:t>
      </w:r>
      <w:r>
        <w:t>та їх контрагентів з обґрунтуванням необхідності включення.</w:t>
      </w:r>
    </w:p>
    <w:p w:rsidR="002B2289" w:rsidRDefault="002B2289" w:rsidP="002B2289">
      <w:pPr>
        <w:pStyle w:val="a3"/>
        <w:jc w:val="both"/>
      </w:pPr>
      <w:r>
        <w:t>Пропозиції структурних підрозділів ДФС направляються Департаментом аудиту ДФС до територіальних органів ДФС для використання при формуванні плану-графіка.</w:t>
      </w:r>
    </w:p>
    <w:p w:rsidR="002B2289" w:rsidRDefault="002B2289" w:rsidP="002B2289">
      <w:pPr>
        <w:pStyle w:val="a3"/>
        <w:jc w:val="both"/>
      </w:pPr>
      <w:r>
        <w:t>На рівні територіальних органів ДФС за даними інформаційних ресурсів ДФС та з інших джерел з урахуванням вимог пункту 2 цього розділу проводиться додатковий аналіз платників податків, які відібрані за даними інформаційно-телекомунікаційних систем ДФС та за пропозиціями структурних підрозділів ДФС, щодо їх належності до реального сектору економіки, а також визначаються ризикові контрагенти, у тому числі ті, які знаходяться на обліку в інших територіальних органах ДФС.</w:t>
      </w:r>
    </w:p>
    <w:p w:rsidR="002B2289" w:rsidRDefault="002B2289" w:rsidP="002B2289">
      <w:pPr>
        <w:pStyle w:val="a3"/>
        <w:jc w:val="both"/>
      </w:pPr>
      <w:r>
        <w:t>При включенні підприємств до плану-графіка (коригування плану-графіка)</w:t>
      </w:r>
      <w:r>
        <w:rPr>
          <w:b/>
          <w:bCs/>
        </w:rPr>
        <w:t xml:space="preserve"> </w:t>
      </w:r>
      <w:r>
        <w:t>територіальним</w:t>
      </w:r>
      <w:r>
        <w:rPr>
          <w:b/>
          <w:bCs/>
        </w:rPr>
        <w:t xml:space="preserve"> </w:t>
      </w:r>
      <w:r>
        <w:t>органам ДФС необхідно встановити наявність структурних підрозділів, дочірніх підприємств, що входять до інфраструктури платників податків - головних підприємств, та направити їх переліки не пізніше 25 листопада року, що передує року, в якому будуть проводитися такі документальні планові перевірки, до відповідних територіальних органів ДФС, на обліку в яких знаходяться вказані підрозділи, для організації контрольно-перевірочних заходів, у тому числі шляхом включення їх до плану-графіка (коригування плану-графіка) у періоди, на які заплановані перевірки головних підприємств.</w:t>
      </w:r>
    </w:p>
    <w:p w:rsidR="002B2289" w:rsidRDefault="002B2289" w:rsidP="002B2289">
      <w:pPr>
        <w:pStyle w:val="a3"/>
        <w:jc w:val="both"/>
      </w:pPr>
      <w:r>
        <w:t>Відповідальність за повноту охоплення перевірками філій та структурних підрозділів платника податків покладається на територіальний орган ДФС за основним місцем обліку платника податків.</w:t>
      </w:r>
    </w:p>
    <w:p w:rsidR="002B2289" w:rsidRDefault="002B2289" w:rsidP="002B2289">
      <w:pPr>
        <w:pStyle w:val="a3"/>
        <w:jc w:val="both"/>
      </w:pPr>
      <w:r>
        <w:t>При виявленні під час перевірок нових контрагентів підприємств територіальними органами ДФС у разі потреби здійснюються заходи щодо організації їх перевірок шляхом проведення коригування плану-графіка.</w:t>
      </w:r>
    </w:p>
    <w:p w:rsidR="002B2289" w:rsidRDefault="002B2289" w:rsidP="002B2289">
      <w:pPr>
        <w:pStyle w:val="a3"/>
        <w:jc w:val="both"/>
      </w:pPr>
      <w:r>
        <w:t>5. Критерії відбору платників податків - юридичних осіб:</w:t>
      </w:r>
    </w:p>
    <w:p w:rsidR="002B2289" w:rsidRDefault="002B2289" w:rsidP="002B2289">
      <w:pPr>
        <w:pStyle w:val="a3"/>
        <w:jc w:val="both"/>
      </w:pPr>
      <w:r>
        <w:lastRenderedPageBreak/>
        <w:t>1) високого ступеня ризику:</w:t>
      </w:r>
    </w:p>
    <w:p w:rsidR="002B2289" w:rsidRDefault="002B2289" w:rsidP="002B2289">
      <w:pPr>
        <w:pStyle w:val="a3"/>
        <w:jc w:val="both"/>
      </w:pPr>
      <w:r>
        <w:t>рівень зростання податку на прибуток нижчий на 50 та більше відсотків за рівень зростання доходів платника податків, що враховуються при визначенні об'єкта оподаткування;</w:t>
      </w:r>
    </w:p>
    <w:p w:rsidR="002B2289" w:rsidRDefault="002B2289" w:rsidP="002B2289">
      <w:pPr>
        <w:pStyle w:val="a3"/>
        <w:jc w:val="both"/>
      </w:pPr>
      <w:r>
        <w:t>рівень сплати податку на прибуток нижчий на 50 та більше відсотків за рівень сплати податку за відповідною галуззю;</w:t>
      </w:r>
    </w:p>
    <w:p w:rsidR="002B2289" w:rsidRDefault="002B2289" w:rsidP="002B2289">
      <w:pPr>
        <w:pStyle w:val="a3"/>
        <w:jc w:val="both"/>
      </w:pPr>
      <w:r>
        <w:t>рівень сплати податку на додану вартість нижчий на 50 та більше відсотків за рівень сплати податку за відповідною галуззю;</w:t>
      </w:r>
    </w:p>
    <w:p w:rsidR="002B2289" w:rsidRDefault="002B2289" w:rsidP="002B2289">
      <w:pPr>
        <w:pStyle w:val="a3"/>
        <w:jc w:val="both"/>
      </w:pPr>
      <w:r>
        <w:t>наявність відносин з контрагентами, які знаходяться в розшуку, або ліквідовані, або визнані банкрутами, якщо сума таких операцій перевищує 5 млн грн або перевищує 5 відсотків загальних обсягів постачання, але не менше 100 тис. грн;</w:t>
      </w:r>
    </w:p>
    <w:p w:rsidR="002B2289" w:rsidRDefault="002B2289" w:rsidP="002B2289">
      <w:pPr>
        <w:pStyle w:val="a3"/>
        <w:jc w:val="both"/>
      </w:pPr>
      <w:r>
        <w:t>наявність інформації про непідтвердження реального здійснення операції з придбання із сумою податку на додану вартість понад 1 млн грн або понад 5 відсотків загального обсягу податкового кредиту, але не менше 100 тис. грн;</w:t>
      </w:r>
    </w:p>
    <w:p w:rsidR="002B2289" w:rsidRDefault="002B2289" w:rsidP="002B2289">
      <w:pPr>
        <w:pStyle w:val="a3"/>
        <w:jc w:val="both"/>
      </w:pPr>
      <w:r>
        <w:t>наявність розбіжностей у платника податків згідно із системою автоматизованого співставлення податкового зобов'язання та податкового кредиту у розрізі контрагентів (завищення податкового кредиту) у сумі понад 1 млн грн або понад 5 відсотків загальних обсягів податкового кредиту, але не менше 100 тис. грн;</w:t>
      </w:r>
    </w:p>
    <w:p w:rsidR="002B2289" w:rsidRDefault="002B2289" w:rsidP="002B2289">
      <w:pPr>
        <w:pStyle w:val="a3"/>
        <w:jc w:val="both"/>
      </w:pPr>
      <w:r>
        <w:t>здійснення зовнішньоекономічних операцій через нерезидентів - засновників та нерезидентів, зареєстрованих в офшорних зонах, за непрямими поставками у сумі операцій понад 5 млн грн або понад 5 відсотків загальних обсягів постачання, але не менше 100 тис. грн;</w:t>
      </w:r>
    </w:p>
    <w:p w:rsidR="002B2289" w:rsidRDefault="002B2289" w:rsidP="002B2289">
      <w:pPr>
        <w:pStyle w:val="a3"/>
        <w:jc w:val="both"/>
      </w:pPr>
      <w: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w:t>
      </w:r>
    </w:p>
    <w:p w:rsidR="002B2289" w:rsidRDefault="002B2289" w:rsidP="002B2289">
      <w:pPr>
        <w:pStyle w:val="a3"/>
        <w:jc w:val="both"/>
      </w:pPr>
      <w:r>
        <w:t>які мають ознаки фіктивності або стосовно яких розпочато досудове розслідування у кримінальних провадженнях, які пов'язані з фіктивним підприємництвом;</w:t>
      </w:r>
    </w:p>
    <w:p w:rsidR="002B2289" w:rsidRDefault="002B2289" w:rsidP="002B2289">
      <w:pPr>
        <w:pStyle w:val="a3"/>
        <w:jc w:val="both"/>
      </w:pPr>
      <w:r>
        <w:t>реєстрацію яких скасовано у судовому порядку;</w:t>
      </w:r>
    </w:p>
    <w:p w:rsidR="002B2289" w:rsidRDefault="002B2289" w:rsidP="002B2289">
      <w:pPr>
        <w:pStyle w:val="a3"/>
        <w:jc w:val="both"/>
      </w:pPr>
      <w:r>
        <w:t>стосовно яких встановлено факт неподання податкової звітності протягом двох податкових (звітних) періодів;</w:t>
      </w:r>
    </w:p>
    <w:p w:rsidR="002B2289" w:rsidRDefault="002B2289" w:rsidP="002B2289">
      <w:pPr>
        <w:pStyle w:val="a3"/>
        <w:jc w:val="both"/>
      </w:pPr>
      <w:r>
        <w:t>які знаходяться в розшуку;</w:t>
      </w:r>
    </w:p>
    <w:p w:rsidR="002B2289" w:rsidRDefault="002B2289" w:rsidP="002B2289">
      <w:pPr>
        <w:pStyle w:val="a3"/>
        <w:jc w:val="both"/>
      </w:pPr>
      <w:r>
        <w:t>які визнані банкрутами;</w:t>
      </w:r>
    </w:p>
    <w:p w:rsidR="002B2289" w:rsidRDefault="002B2289" w:rsidP="002B2289">
      <w:pPr>
        <w:pStyle w:val="a3"/>
        <w:jc w:val="both"/>
      </w:pPr>
      <w:r>
        <w:t>стосовно яких розпочато досудове розслідування у кримінальних провадженнях,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2B2289" w:rsidRDefault="002B2289" w:rsidP="002B2289">
      <w:pPr>
        <w:pStyle w:val="a3"/>
        <w:jc w:val="both"/>
      </w:pPr>
      <w:r>
        <w:t>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2B2289" w:rsidRDefault="002B2289" w:rsidP="002B2289">
      <w:pPr>
        <w:pStyle w:val="a3"/>
        <w:jc w:val="both"/>
      </w:pPr>
      <w:r>
        <w:lastRenderedPageBreak/>
        <w:t>здійснення виплати доходів (відсотки, роялті, лізингові платежі тощо)</w:t>
      </w:r>
      <w:r>
        <w:rPr>
          <w:b/>
          <w:bCs/>
        </w:rPr>
        <w:t xml:space="preserve"> </w:t>
      </w:r>
      <w:r>
        <w:t>нерезидентам, зареєстрованим в офшорних зонах;</w:t>
      </w:r>
    </w:p>
    <w:p w:rsidR="002B2289" w:rsidRDefault="002B2289" w:rsidP="002B2289">
      <w:pPr>
        <w:pStyle w:val="a3"/>
        <w:jc w:val="both"/>
      </w:pPr>
      <w:r>
        <w:t>інші витрати перевищують 30 відсотків загальних витрат операційної діяльності;</w:t>
      </w:r>
    </w:p>
    <w:p w:rsidR="002B2289" w:rsidRDefault="002B2289" w:rsidP="002B2289">
      <w:pPr>
        <w:pStyle w:val="a3"/>
        <w:jc w:val="both"/>
      </w:pPr>
      <w:r>
        <w:t>декларування обсягу нарахованих/виплачених доходів нерезидента, з яких не утримано суми податку, за винятком дивідендів, понад 10 млн грн;</w:t>
      </w:r>
    </w:p>
    <w:p w:rsidR="002B2289" w:rsidRDefault="002B2289" w:rsidP="002B2289">
      <w:pPr>
        <w:pStyle w:val="a3"/>
        <w:jc w:val="both"/>
      </w:pPr>
      <w:r>
        <w:t>декларування від'ємного значення фінансового результату від операційної діяльності;</w:t>
      </w:r>
    </w:p>
    <w:p w:rsidR="002B2289" w:rsidRDefault="002B2289" w:rsidP="002B2289">
      <w:pPr>
        <w:pStyle w:val="a3"/>
        <w:jc w:val="both"/>
      </w:pPr>
      <w:r>
        <w:t>наявність у органів ДФС оригіналів розрахункових документів, що не передані до органів ДФС дротовими або бездротовими каналами зв'язку у вигляді електронних копій розрахункових документів, які містяться на контрольній стрічці в пам'яті реєстраторів розрахункових операцій або в пам'яті модемів, які до них приєднані;</w:t>
      </w:r>
    </w:p>
    <w:p w:rsidR="002B2289" w:rsidRDefault="002B2289" w:rsidP="002B2289">
      <w:pPr>
        <w:pStyle w:val="a3"/>
        <w:jc w:val="both"/>
      </w:pPr>
      <w:r>
        <w:t>наявність інформації про ухилення від оподаткування, отриманої із зовнішніх джерел;</w:t>
      </w:r>
    </w:p>
    <w:p w:rsidR="002B2289" w:rsidRDefault="002B2289" w:rsidP="002B2289">
      <w:pPr>
        <w:pStyle w:val="a3"/>
        <w:jc w:val="both"/>
      </w:pPr>
      <w:r>
        <w:t>здійснення платниками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2B2289" w:rsidRDefault="002B2289" w:rsidP="002B2289">
      <w:pPr>
        <w:pStyle w:val="a3"/>
        <w:jc w:val="both"/>
      </w:pPr>
      <w:r>
        <w:t>здійснення операцій з реалізації продукції (товарів, робіт, послуг) нижче собівартості;</w:t>
      </w:r>
    </w:p>
    <w:p w:rsidR="002B2289" w:rsidRDefault="002B2289" w:rsidP="002B2289">
      <w:pPr>
        <w:pStyle w:val="a3"/>
        <w:jc w:val="both"/>
      </w:pPr>
      <w:r>
        <w:t>різниця між собівартістю реалізованої продукції (товарів, робіт, послуг) та чистим доходом від реалізації продукції (товарів, робіт, послуг) не перевищує 10 відсотків собівартості реалізованої продукції;</w:t>
      </w:r>
    </w:p>
    <w:p w:rsidR="002B2289" w:rsidRDefault="002B2289" w:rsidP="002B2289">
      <w:pPr>
        <w:pStyle w:val="a3"/>
        <w:jc w:val="both"/>
      </w:pPr>
      <w:r>
        <w:t>декларування експортних та/або імпортних операцій без фактичного здійснення таких операцій;</w:t>
      </w:r>
    </w:p>
    <w:p w:rsidR="002B2289" w:rsidRDefault="002B2289" w:rsidP="002B2289">
      <w:pPr>
        <w:pStyle w:val="a3"/>
        <w:jc w:val="both"/>
      </w:pPr>
      <w:r>
        <w:t>зростання удвічі та більше кредиторської заборгованості за продукцію (товари, роботи, послуги) протягом двох попередніх (звітних) років при зростанні запасів;</w:t>
      </w:r>
    </w:p>
    <w:p w:rsidR="002B2289" w:rsidRDefault="002B2289" w:rsidP="002B2289">
      <w:pPr>
        <w:pStyle w:val="a3"/>
        <w:jc w:val="both"/>
      </w:pPr>
      <w:r>
        <w:t>сума інших операційних витрат, витрат на збут та адміністративних витрат перевищує собівартість реалізованої продукції (товарів, робіт, послуг);</w:t>
      </w:r>
    </w:p>
    <w:p w:rsidR="002B2289" w:rsidRDefault="002B2289" w:rsidP="002B2289">
      <w:pPr>
        <w:pStyle w:val="a3"/>
        <w:jc w:val="both"/>
      </w:pPr>
      <w:r>
        <w:t>інші операційні витрати перевищують суму матеріальних затрат та витрат на оплату праці;</w:t>
      </w:r>
    </w:p>
    <w:p w:rsidR="002B2289" w:rsidRDefault="002B2289" w:rsidP="002B2289">
      <w:pPr>
        <w:pStyle w:val="a3"/>
        <w:jc w:val="both"/>
      </w:pPr>
      <w:r>
        <w:t>2) середнього ступеня ризику:</w:t>
      </w:r>
    </w:p>
    <w:p w:rsidR="002B2289" w:rsidRDefault="002B2289" w:rsidP="002B2289">
      <w:pPr>
        <w:pStyle w:val="a3"/>
        <w:jc w:val="both"/>
      </w:pPr>
      <w:r>
        <w:t>декларування від'ємного значення об'єкта оподаткування податком на прибуток протягом двох податкових (звітних) періодів за умови, якщо податковим (звітним) періодом є календарний квартал, або протягом одного податкового (звітного) періоду за умови, якщо податковим (звітним) періодом є календарний рік;</w:t>
      </w:r>
    </w:p>
    <w:p w:rsidR="002B2289" w:rsidRDefault="002B2289" w:rsidP="002B2289">
      <w:pPr>
        <w:pStyle w:val="a3"/>
        <w:jc w:val="both"/>
      </w:pPr>
      <w:r>
        <w:t>здійснення експортних операцій щодо товарів, нетипових для основного виду діяльності підприємства (нетиповий експорт), у сумі понад 5 млн грн або понад 5 відсотків загальних обсягів постачання, але не менше 100 тис. грн;</w:t>
      </w:r>
    </w:p>
    <w:p w:rsidR="002B2289" w:rsidRDefault="002B2289" w:rsidP="002B2289">
      <w:pPr>
        <w:pStyle w:val="a3"/>
        <w:jc w:val="both"/>
      </w:pPr>
      <w:r>
        <w:lastRenderedPageBreak/>
        <w:t>декларування залишку від'ємного значення різниці між сумою податкового зобов'язання та сумою податкового кредиту, який після бюджетного відшкодування включається до складу податкового кредиту наступного податкового періоду, у сумі понад 1 млн грн або понад 5 відсотків загального обсягу податкового кредиту, але не менше 100 тис. грн за останній звітний (податковий) період;</w:t>
      </w:r>
    </w:p>
    <w:p w:rsidR="002B2289" w:rsidRDefault="002B2289" w:rsidP="002B2289">
      <w:pPr>
        <w:pStyle w:val="a3"/>
        <w:jc w:val="both"/>
      </w:pPr>
      <w:r>
        <w:t>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2B2289" w:rsidRDefault="002B2289" w:rsidP="002B2289">
      <w:pPr>
        <w:pStyle w:val="a3"/>
        <w:jc w:val="both"/>
      </w:pPr>
      <w:r>
        <w:t xml:space="preserve">нарахування та виплата доходів за ознаками, визначеними Довідником ознак доходів, наведеним у додатку до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затвердженого </w:t>
      </w:r>
      <w:r>
        <w:rPr>
          <w:color w:val="0000FF"/>
        </w:rPr>
        <w:t>наказом Міністерства фінансів України від 13 січня 2015 року N 4</w:t>
      </w:r>
      <w:r>
        <w:t>, зареєстрованого в Міністерстві юстиції України 30 січня 2015 року за N 111/26556 (далі - Довідник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2B2289" w:rsidRDefault="002B2289" w:rsidP="002B2289">
      <w:pPr>
        <w:pStyle w:val="a3"/>
        <w:jc w:val="both"/>
      </w:pPr>
      <w:r>
        <w:t>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w:t>
      </w:r>
    </w:p>
    <w:p w:rsidR="002B2289" w:rsidRDefault="002B2289" w:rsidP="002B2289">
      <w:pPr>
        <w:pStyle w:val="a3"/>
        <w:jc w:val="both"/>
      </w:pPr>
      <w:r>
        <w:t>порушення встановлених строків сплати єдиного внеску більше ніж на 365 днів;</w:t>
      </w:r>
    </w:p>
    <w:p w:rsidR="002B2289" w:rsidRDefault="002B2289" w:rsidP="002B2289">
      <w:pPr>
        <w:pStyle w:val="a3"/>
        <w:jc w:val="both"/>
      </w:pPr>
      <w:r>
        <w:t>наявність інформації щодо здійснення платником податків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2B2289" w:rsidRDefault="002B2289" w:rsidP="002B2289">
      <w:pPr>
        <w:pStyle w:val="a3"/>
        <w:jc w:val="both"/>
      </w:pPr>
      <w: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100 тис. грн;</w:t>
      </w:r>
    </w:p>
    <w:p w:rsidR="002B2289" w:rsidRDefault="002B2289" w:rsidP="002B2289">
      <w:pPr>
        <w:pStyle w:val="a3"/>
        <w:jc w:val="both"/>
      </w:pPr>
      <w:r>
        <w:t>наявність інформації про встановлення порушень порядку погашення векселів, авальованих банком (податкових розписок), які видаються до отримання спирту етилового та біоетанолу, легких та важких дистилятів;</w:t>
      </w:r>
    </w:p>
    <w:p w:rsidR="002B2289" w:rsidRDefault="002B2289" w:rsidP="002B2289">
      <w:pPr>
        <w:pStyle w:val="a3"/>
        <w:jc w:val="both"/>
      </w:pPr>
      <w: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2B2289" w:rsidRDefault="002B2289" w:rsidP="002B2289">
      <w:pPr>
        <w:pStyle w:val="a3"/>
        <w:jc w:val="both"/>
      </w:pPr>
      <w:r>
        <w:t>невідповідність суми сплати акцизного податку з роздрібного продажу підакцизних товарів розрахунковій сумі цього податку із суми загального продажу таких товарів, проведеної через реєстратори розрахункових операцій;</w:t>
      </w:r>
    </w:p>
    <w:p w:rsidR="002B2289" w:rsidRDefault="002B2289" w:rsidP="002B2289">
      <w:pPr>
        <w:pStyle w:val="a3"/>
        <w:jc w:val="both"/>
      </w:pPr>
      <w:r>
        <w:t xml:space="preserve">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w:t>
      </w:r>
      <w:r>
        <w:lastRenderedPageBreak/>
        <w:t>до національних положень (стандартів) бухгалтерського обліку або міжнародних стандартів фінансової звітності, на різниці від</w:t>
      </w:r>
      <w:r>
        <w:rPr>
          <w:b/>
          <w:bCs/>
        </w:rPr>
        <w:t xml:space="preserve"> </w:t>
      </w:r>
      <w:r>
        <w:t>20 до 30 відсотків;</w:t>
      </w:r>
    </w:p>
    <w:p w:rsidR="002B2289" w:rsidRDefault="002B2289" w:rsidP="002B2289">
      <w:pPr>
        <w:pStyle w:val="a3"/>
        <w:jc w:val="both"/>
      </w:pPr>
      <w:r>
        <w:t xml:space="preserve">нарахування та виплата доходів за ознакою 157 (дохід, виплачений самозайнятій особі), визначеною </w:t>
      </w:r>
      <w:r>
        <w:rPr>
          <w:color w:val="0000FF"/>
        </w:rPr>
        <w:t>Довідником ознак доходів</w:t>
      </w:r>
      <w:r>
        <w:t>, у сумі понад 5 відсотків</w:t>
      </w:r>
      <w:r>
        <w:rPr>
          <w:b/>
          <w:bCs/>
        </w:rPr>
        <w:t xml:space="preserve"> </w:t>
      </w:r>
      <w:r>
        <w:t>загального обсягу доходу від будь-якої діяльності (за вирахуванням непрямих податків), визначеного за правилами бухгалтерського обліку;</w:t>
      </w:r>
    </w:p>
    <w:p w:rsidR="002B2289" w:rsidRDefault="002B2289" w:rsidP="002B2289">
      <w:pPr>
        <w:pStyle w:val="a3"/>
        <w:jc w:val="both"/>
      </w:pPr>
      <w:r>
        <w:t>наявність інформації про об'єкти оподаткування у платника податків, який не сплачує плату за землю або сплачує її в неповному обсязі, а також задекларував податкові зобов'язання без документів, які надають право використовувати земельні ділянки;</w:t>
      </w:r>
    </w:p>
    <w:p w:rsidR="002B2289" w:rsidRDefault="002B2289" w:rsidP="002B2289">
      <w:pPr>
        <w:pStyle w:val="a3"/>
        <w:jc w:val="both"/>
      </w:pPr>
      <w:r>
        <w:t>наявність розбіжностей між обсягами задекларованих у податкових деклараціях з податку на додану вартість податкових зобов'язань або податкового кредиту з податку на додану вартість та обсягами податкових зобов'язань або податкового кредиту з податку на додану вартість за даними Єдиного реєстру податкових накладних на 5 та більше відсотків;</w:t>
      </w:r>
    </w:p>
    <w:p w:rsidR="002B2289" w:rsidRDefault="002B2289" w:rsidP="002B2289">
      <w:pPr>
        <w:pStyle w:val="a3"/>
        <w:jc w:val="both"/>
      </w:pPr>
      <w:r>
        <w:t xml:space="preserve">наявність негативних рішень комісії ДФС в системі автоматизованого моніторингу відповідності </w:t>
      </w:r>
      <w:r>
        <w:rPr>
          <w:color w:val="0000FF"/>
        </w:rPr>
        <w:t>податкових накладних</w:t>
      </w:r>
      <w:r>
        <w:t xml:space="preserve"> критеріям оцінки ступеня ризику, достатніх для зупинення реєстрації податкових накладних протягом трьох звітних періодів;</w:t>
      </w:r>
    </w:p>
    <w:p w:rsidR="002B2289" w:rsidRDefault="002B2289" w:rsidP="002B2289">
      <w:pPr>
        <w:pStyle w:val="a3"/>
        <w:jc w:val="both"/>
      </w:pPr>
      <w:r>
        <w:t>інші операційні витрати більше інших операційних доходів;</w:t>
      </w:r>
    </w:p>
    <w:p w:rsidR="002B2289" w:rsidRDefault="002B2289" w:rsidP="002B2289">
      <w:pPr>
        <w:pStyle w:val="a3"/>
        <w:jc w:val="both"/>
      </w:pPr>
      <w:r>
        <w:t>наявність в Системі електронного адміністрування реалізації пального від'ємного ліміту пального;</w:t>
      </w:r>
    </w:p>
    <w:p w:rsidR="002B2289" w:rsidRDefault="002B2289" w:rsidP="002B2289">
      <w:pPr>
        <w:pStyle w:val="a3"/>
        <w:jc w:val="both"/>
      </w:pPr>
      <w:r>
        <w:t>невідповідність даних звітності реєстратора розрахункових операцій та обсягів постачання, зазначених у деклараціях з податку на додану вартість;</w:t>
      </w:r>
    </w:p>
    <w:p w:rsidR="002B2289" w:rsidRDefault="002B2289" w:rsidP="002B2289">
      <w:pPr>
        <w:pStyle w:val="a3"/>
        <w:jc w:val="both"/>
      </w:pPr>
      <w:r>
        <w:t>3) незначного ступеня ризику:</w:t>
      </w:r>
    </w:p>
    <w:p w:rsidR="002B2289" w:rsidRDefault="002B2289" w:rsidP="002B2289">
      <w:pPr>
        <w:pStyle w:val="a3"/>
        <w:jc w:val="both"/>
      </w:pPr>
      <w:r>
        <w:t>проведення протягом місяця більше трьох ремонтів одного реєстратора розрахункових операцій, не пов'язаних із плановим технічним обслуговуванням;</w:t>
      </w:r>
    </w:p>
    <w:p w:rsidR="002B2289" w:rsidRDefault="002B2289" w:rsidP="002B2289">
      <w:pPr>
        <w:pStyle w:val="a3"/>
        <w:jc w:val="both"/>
      </w:pPr>
      <w:r>
        <w:t>наявність у органів ДФС інформації про відсутність торгових патентів і ліцензій у платників податків, які провадять діяльність, що підлягає ліцензуванню;</w:t>
      </w:r>
    </w:p>
    <w:p w:rsidR="002B2289" w:rsidRDefault="002B2289" w:rsidP="002B2289">
      <w:pPr>
        <w:pStyle w:val="a3"/>
        <w:jc w:val="both"/>
      </w:pPr>
      <w:r>
        <w:t>зменшення у звітності суми нарахованого єдиного внеску за попередні періоди від 10 до 20 відсотків загальної суми нарахованого єдиного внеску за останні 12 місяців, що передують звітному;</w:t>
      </w:r>
    </w:p>
    <w:p w:rsidR="002B2289" w:rsidRDefault="002B2289" w:rsidP="002B2289">
      <w:pPr>
        <w:pStyle w:val="a3"/>
        <w:jc w:val="both"/>
      </w:pPr>
      <w: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2B2289" w:rsidRDefault="002B2289" w:rsidP="002B2289">
      <w:pPr>
        <w:pStyle w:val="a3"/>
        <w:jc w:val="both"/>
      </w:pPr>
      <w:r>
        <w:t>декларування платником податків видів діяльності, пов'язаних з торгівлею, громадським харчуванням, наданням послуг, за відсутності зареєстрованого реєстратора розрахункових операцій;</w:t>
      </w:r>
    </w:p>
    <w:p w:rsidR="002B2289" w:rsidRDefault="002B2289" w:rsidP="002B2289">
      <w:pPr>
        <w:pStyle w:val="a3"/>
        <w:jc w:val="both"/>
      </w:pPr>
      <w:r>
        <w:t>наявність зареєстрованого реєстратора розрахункових операцій за відсутності обсягів реалізації товарів (послуг) через такий реєстратор розрахункових операцій;</w:t>
      </w:r>
    </w:p>
    <w:p w:rsidR="002B2289" w:rsidRDefault="002B2289" w:rsidP="002B2289">
      <w:pPr>
        <w:pStyle w:val="a3"/>
        <w:jc w:val="both"/>
      </w:pPr>
      <w:r>
        <w:lastRenderedPageBreak/>
        <w:t>суми за повернення товарів становлять понад 5 відсотків суми загального продажу, проведеної через реєстратори розрахункових операцій.</w:t>
      </w:r>
    </w:p>
    <w:p w:rsidR="002B2289" w:rsidRDefault="002B2289" w:rsidP="002B2289">
      <w:pPr>
        <w:pStyle w:val="a3"/>
        <w:jc w:val="both"/>
      </w:pPr>
      <w:r>
        <w:t>6. У разі наявності наведених нижче критеріїв платники податків - учасники зовнішньоекономічної діяльності перевіряються як з питань дотримання податкового, валютного та іншого законодавства України, контроль за дотриманням якого покладено на контролюючі органи, так і з питань дотримання вимог законодавства з питань державної митної справи.</w:t>
      </w:r>
    </w:p>
    <w:p w:rsidR="002B2289" w:rsidRDefault="002B2289" w:rsidP="002B2289">
      <w:pPr>
        <w:pStyle w:val="a3"/>
        <w:jc w:val="both"/>
      </w:pPr>
      <w:r>
        <w:t xml:space="preserve">Відповідно до інформації з автоматизованої системи аналізу та управління ризиками та згідно з Порядком заповнення митних декларацій на бланку єдиного адміністративного документа, затвердженим </w:t>
      </w:r>
      <w:r>
        <w:rPr>
          <w:color w:val="0000FF"/>
        </w:rPr>
        <w:t>наказом Міністерства фінансів України від 30 травня 2012 року N 651</w:t>
      </w:r>
      <w:r>
        <w:t>, зареєстрованим у Міністерстві юстиції України 14 серпня 2012 року за N 1372/21684, суб'єкт зовнішньоекономічної діяльності здійснює:</w:t>
      </w:r>
    </w:p>
    <w:p w:rsidR="002B2289" w:rsidRDefault="002B2289" w:rsidP="002B2289">
      <w:pPr>
        <w:pStyle w:val="a3"/>
        <w:jc w:val="both"/>
      </w:pPr>
      <w:r>
        <w:t xml:space="preserve">оформлення </w:t>
      </w:r>
      <w:r>
        <w:rPr>
          <w:color w:val="0000FF"/>
        </w:rPr>
        <w:t>митних декларацій</w:t>
      </w:r>
      <w:r>
        <w:t xml:space="preserve"> у митних режимах за </w:t>
      </w:r>
      <w:r>
        <w:rPr>
          <w:color w:val="0000FF"/>
        </w:rPr>
        <w:t>кодами 31</w:t>
      </w:r>
      <w:r>
        <w:t xml:space="preserve">, </w:t>
      </w:r>
      <w:r>
        <w:rPr>
          <w:color w:val="0000FF"/>
        </w:rPr>
        <w:t>51</w:t>
      </w:r>
      <w:r>
        <w:t xml:space="preserve">, </w:t>
      </w:r>
      <w:r>
        <w:rPr>
          <w:color w:val="0000FF"/>
        </w:rPr>
        <w:t>74</w:t>
      </w:r>
      <w:r>
        <w:t xml:space="preserve">, </w:t>
      </w:r>
      <w:r>
        <w:rPr>
          <w:color w:val="0000FF"/>
        </w:rPr>
        <w:t>80</w:t>
      </w:r>
      <w:r>
        <w:t xml:space="preserve">, </w:t>
      </w:r>
      <w:r>
        <w:rPr>
          <w:color w:val="0000FF"/>
        </w:rPr>
        <w:t>81 згідно з класифікатором митних режимів</w:t>
      </w:r>
      <w:r>
        <w:t>, затвердженим наказом Міністерства фінансів України від 20 вересня 2012 року N 1011 "Про затвердження відомчих класифікаторів інформації з питань державної митної справи, які використовуються у процесі оформлення митних декларацій" (далі - наказ N 1011), зі звільненням від оподаткування митними платежами;</w:t>
      </w:r>
    </w:p>
    <w:p w:rsidR="002B2289" w:rsidRDefault="002B2289" w:rsidP="002B2289">
      <w:pPr>
        <w:pStyle w:val="a3"/>
        <w:jc w:val="both"/>
      </w:pPr>
      <w:r>
        <w:t xml:space="preserve">оформлення тимчасових, періодичних </w:t>
      </w:r>
      <w:r>
        <w:rPr>
          <w:color w:val="0000FF"/>
        </w:rPr>
        <w:t>митних декларацій</w:t>
      </w:r>
      <w:r>
        <w:t>;</w:t>
      </w:r>
    </w:p>
    <w:p w:rsidR="002B2289" w:rsidRDefault="002B2289" w:rsidP="002B2289">
      <w:pPr>
        <w:pStyle w:val="a3"/>
        <w:jc w:val="both"/>
      </w:pPr>
      <w:r>
        <w:t xml:space="preserve">оформлення </w:t>
      </w:r>
      <w:r>
        <w:rPr>
          <w:color w:val="0000FF"/>
        </w:rPr>
        <w:t>митних декларацій</w:t>
      </w:r>
      <w:r>
        <w:t xml:space="preserve"> зі звільненням від сплати митних платежів та використанням пільг;</w:t>
      </w:r>
    </w:p>
    <w:p w:rsidR="002B2289" w:rsidRDefault="002B2289" w:rsidP="002B2289">
      <w:pPr>
        <w:pStyle w:val="a3"/>
        <w:jc w:val="both"/>
      </w:pPr>
      <w:r>
        <w:t>оформлення митних декларацій з розстроченням сплати митних платежів;</w:t>
      </w:r>
    </w:p>
    <w:p w:rsidR="002B2289" w:rsidRDefault="002B2289" w:rsidP="002B2289">
      <w:pPr>
        <w:pStyle w:val="a3"/>
        <w:jc w:val="both"/>
      </w:pPr>
      <w:r>
        <w:t>оформлення митних декларацій, в яких різниця між вагою брутто і нетто імпортованих товарів систематично перевищує середньовизначену для подібних товарів;</w:t>
      </w:r>
    </w:p>
    <w:p w:rsidR="002B2289" w:rsidRDefault="002B2289" w:rsidP="002B2289">
      <w:pPr>
        <w:pStyle w:val="a3"/>
        <w:jc w:val="both"/>
      </w:pPr>
      <w:r>
        <w:t xml:space="preserve">оформлення </w:t>
      </w:r>
      <w:r>
        <w:rPr>
          <w:color w:val="0000FF"/>
        </w:rPr>
        <w:t>митних декларацій</w:t>
      </w:r>
      <w:r>
        <w:t xml:space="preserve"> з нехарактерною завантаженістю транспортного засобу;</w:t>
      </w:r>
    </w:p>
    <w:p w:rsidR="002B2289" w:rsidRDefault="002B2289" w:rsidP="002B2289">
      <w:pPr>
        <w:pStyle w:val="a3"/>
        <w:jc w:val="both"/>
      </w:pPr>
      <w:r>
        <w:t>митне оформлення товарів за ціною, що є нижчою, ніж митна вартість ідентичних/подібних товарів попередніх митних оформлень;</w:t>
      </w:r>
    </w:p>
    <w:p w:rsidR="002B2289" w:rsidRDefault="002B2289" w:rsidP="002B2289">
      <w:pPr>
        <w:pStyle w:val="a3"/>
        <w:jc w:val="both"/>
      </w:pPr>
      <w:r>
        <w:t xml:space="preserve">митне оформлення товарів з ризиком неправильної класифікації згідно з </w:t>
      </w:r>
      <w:r>
        <w:rPr>
          <w:color w:val="0000FF"/>
        </w:rPr>
        <w:t>Українською класифікацією товарів зовнішньоекономічної діяльності</w:t>
      </w:r>
      <w:r>
        <w:t xml:space="preserve"> (далі - УКТ ЗЕД), що впливає на надходження митних платежів до бюджету;</w:t>
      </w:r>
    </w:p>
    <w:p w:rsidR="002B2289" w:rsidRDefault="002B2289" w:rsidP="002B2289">
      <w:pPr>
        <w:pStyle w:val="a3"/>
        <w:jc w:val="both"/>
      </w:pPr>
      <w:r>
        <w:t>декларування складових митної вартості в декларації митної вартості з ризиком недостовірності зазначення числових значень (витрати на транспортування, навантаження, розвантаження, страхування, інженерні, дослідно-конструкторські роботи тощо);</w:t>
      </w:r>
    </w:p>
    <w:p w:rsidR="002B2289" w:rsidRDefault="002B2289" w:rsidP="002B2289">
      <w:pPr>
        <w:pStyle w:val="a3"/>
        <w:jc w:val="both"/>
      </w:pPr>
      <w:r>
        <w:t xml:space="preserve">оформлення </w:t>
      </w:r>
      <w:r>
        <w:rPr>
          <w:color w:val="0000FF"/>
        </w:rPr>
        <w:t>митних декларацій</w:t>
      </w:r>
      <w:r>
        <w:t>, у яких зазначені у графі 31 найменування та звичайний торговельний опис не дають змоги ідентифікувати та класифікувати товар;</w:t>
      </w:r>
    </w:p>
    <w:p w:rsidR="002B2289" w:rsidRDefault="002B2289" w:rsidP="002B2289">
      <w:pPr>
        <w:pStyle w:val="a3"/>
        <w:jc w:val="both"/>
      </w:pPr>
      <w:r>
        <w:t xml:space="preserve">оформлення </w:t>
      </w:r>
      <w:r>
        <w:rPr>
          <w:color w:val="0000FF"/>
        </w:rPr>
        <w:t>митних декларацій</w:t>
      </w:r>
      <w:r>
        <w:t xml:space="preserve">, в яких партія товарів декларується для вільного обігу на митній території України за одним класифікаційним кодом згідно з </w:t>
      </w:r>
      <w:r>
        <w:rPr>
          <w:color w:val="0000FF"/>
        </w:rPr>
        <w:t>УКТ ЗЕД</w:t>
      </w:r>
      <w:r>
        <w:t xml:space="preserve"> відповідно до </w:t>
      </w:r>
      <w:r>
        <w:rPr>
          <w:color w:val="0000FF"/>
        </w:rPr>
        <w:t>статті 267 Митного кодексу України</w:t>
      </w:r>
      <w:r>
        <w:t>;</w:t>
      </w:r>
    </w:p>
    <w:p w:rsidR="002B2289" w:rsidRDefault="002B2289" w:rsidP="002B2289">
      <w:pPr>
        <w:pStyle w:val="a3"/>
        <w:jc w:val="both"/>
      </w:pPr>
      <w:r>
        <w:lastRenderedPageBreak/>
        <w:t xml:space="preserve">митне оформлення товарів за кодами згідно з </w:t>
      </w:r>
      <w:r>
        <w:rPr>
          <w:color w:val="0000FF"/>
        </w:rPr>
        <w:t>УКТ ЗЕД</w:t>
      </w:r>
      <w:r>
        <w:t>, що передбачають їх цільове використання;</w:t>
      </w:r>
    </w:p>
    <w:p w:rsidR="002B2289" w:rsidRDefault="002B2289" w:rsidP="002B2289">
      <w:pPr>
        <w:pStyle w:val="a3"/>
        <w:jc w:val="both"/>
      </w:pPr>
      <w:r>
        <w:t>здійснення імпортних операцій щодо товарів, не характерних для імпортних операцій підприємства, у сумі понад 5 млн грн або понад 5 відсотків загального обсягу імпортних операцій, але не менше 100 тис. грн;</w:t>
      </w:r>
    </w:p>
    <w:p w:rsidR="002B2289" w:rsidRDefault="002B2289" w:rsidP="002B2289">
      <w:pPr>
        <w:pStyle w:val="a3"/>
        <w:jc w:val="both"/>
      </w:pPr>
      <w:r>
        <w:t>наявність виплат доходів (прибутків) у грошовій або негрошовій формах на користь нерезидентів;</w:t>
      </w:r>
    </w:p>
    <w:p w:rsidR="002B2289" w:rsidRDefault="002B2289" w:rsidP="002B2289">
      <w:pPr>
        <w:pStyle w:val="a3"/>
        <w:jc w:val="both"/>
      </w:pPr>
      <w:r>
        <w:t xml:space="preserve">наявність прийнятих контролюючим органом рішень про коригування митної вартості товарів, рішень про визначення коду товару згідно з </w:t>
      </w:r>
      <w:r>
        <w:rPr>
          <w:color w:val="0000FF"/>
        </w:rPr>
        <w:t>УКТ ЗЕД</w:t>
      </w:r>
      <w:r>
        <w:t xml:space="preserve">, карток відмови у прийнятті </w:t>
      </w:r>
      <w:r>
        <w:rPr>
          <w:color w:val="0000FF"/>
        </w:rPr>
        <w:t>митної декларації</w:t>
      </w:r>
      <w:r>
        <w:t>, митному оформленні, випуску чи пропуску товарів, транспортних засобів комерційного призначення підприємства;</w:t>
      </w:r>
    </w:p>
    <w:p w:rsidR="002B2289" w:rsidRDefault="002B2289" w:rsidP="002B2289">
      <w:pPr>
        <w:pStyle w:val="a3"/>
        <w:jc w:val="both"/>
      </w:pPr>
      <w:r>
        <w:t>наявність висновку щодо дослідження проб (зразків) імпортованих товарів;</w:t>
      </w:r>
    </w:p>
    <w:p w:rsidR="002B2289" w:rsidRDefault="002B2289" w:rsidP="002B2289">
      <w:pPr>
        <w:pStyle w:val="a3"/>
        <w:jc w:val="both"/>
      </w:pPr>
      <w:r>
        <w:t xml:space="preserve">наявність протоколів про порушення митних правил, встановлених </w:t>
      </w:r>
      <w:r>
        <w:rPr>
          <w:color w:val="0000FF"/>
        </w:rPr>
        <w:t>статтями 469</w:t>
      </w:r>
      <w:r>
        <w:t xml:space="preserve">, </w:t>
      </w:r>
      <w:r>
        <w:rPr>
          <w:color w:val="0000FF"/>
        </w:rPr>
        <w:t>470</w:t>
      </w:r>
      <w:r>
        <w:t xml:space="preserve">, </w:t>
      </w:r>
      <w:r>
        <w:rPr>
          <w:color w:val="0000FF"/>
        </w:rPr>
        <w:t>472</w:t>
      </w:r>
      <w:r>
        <w:t xml:space="preserve">, </w:t>
      </w:r>
      <w:r>
        <w:rPr>
          <w:color w:val="0000FF"/>
        </w:rPr>
        <w:t>474</w:t>
      </w:r>
      <w:r>
        <w:t xml:space="preserve">, </w:t>
      </w:r>
      <w:r>
        <w:rPr>
          <w:color w:val="0000FF"/>
        </w:rPr>
        <w:t>478</w:t>
      </w:r>
      <w:r>
        <w:t xml:space="preserve">, </w:t>
      </w:r>
      <w:r>
        <w:rPr>
          <w:color w:val="0000FF"/>
        </w:rPr>
        <w:t>480 - 485 Митного кодексу України</w:t>
      </w:r>
      <w:r>
        <w:t>, які свідчать про порушення митних правил посадовими особами платника податків, декларантами;</w:t>
      </w:r>
    </w:p>
    <w:p w:rsidR="002B2289" w:rsidRDefault="002B2289" w:rsidP="002B2289">
      <w:pPr>
        <w:pStyle w:val="a3"/>
        <w:jc w:val="both"/>
      </w:pPr>
      <w:r>
        <w:t xml:space="preserve">наявність застосованих спеціальних санкцій згідно зі </w:t>
      </w:r>
      <w:r>
        <w:rPr>
          <w:color w:val="0000FF"/>
        </w:rPr>
        <w:t>статтею 37 Закону України "Про зовнішньоекономічну діяльність"</w:t>
      </w:r>
      <w:r>
        <w:t>;</w:t>
      </w:r>
    </w:p>
    <w:p w:rsidR="002B2289" w:rsidRDefault="002B2289" w:rsidP="002B2289">
      <w:pPr>
        <w:pStyle w:val="a3"/>
        <w:jc w:val="both"/>
      </w:pPr>
      <w:r>
        <w:t>наявність інформації правоохоронних органів, підрозділів податкової міліції, інших підрозділів органів ДФС, що може свідчити про порушення законодавства з питань державної митної справи України;</w:t>
      </w:r>
    </w:p>
    <w:p w:rsidR="002B2289" w:rsidRDefault="002B2289" w:rsidP="002B2289">
      <w:pPr>
        <w:pStyle w:val="a3"/>
        <w:jc w:val="both"/>
      </w:pPr>
      <w:r>
        <w:t>наявність у відкритих джерелах інформації, що може свідчити про порушення законодавства з питань державної митної справи України;</w:t>
      </w:r>
    </w:p>
    <w:p w:rsidR="002B2289" w:rsidRDefault="002B2289" w:rsidP="002B2289">
      <w:pPr>
        <w:pStyle w:val="a3"/>
        <w:jc w:val="both"/>
      </w:pPr>
      <w:r>
        <w:t>встановлені порушення законодавства з питань державної митної справи України за результатами попередніх документальних перевірок.</w:t>
      </w:r>
    </w:p>
    <w:p w:rsidR="002B2289" w:rsidRDefault="002B2289" w:rsidP="002B2289">
      <w:pPr>
        <w:pStyle w:val="a3"/>
        <w:jc w:val="both"/>
      </w:pPr>
      <w:r>
        <w:t>7. Критерії відбору банків:</w:t>
      </w:r>
    </w:p>
    <w:p w:rsidR="002B2289" w:rsidRDefault="002B2289" w:rsidP="002B2289">
      <w:pPr>
        <w:pStyle w:val="a3"/>
        <w:jc w:val="both"/>
      </w:pPr>
      <w:r>
        <w:t>1) високого ступеня ризику:</w:t>
      </w:r>
    </w:p>
    <w:p w:rsidR="002B2289" w:rsidRDefault="002B2289" w:rsidP="002B2289">
      <w:pPr>
        <w:pStyle w:val="a3"/>
        <w:jc w:val="both"/>
      </w:pPr>
      <w:r>
        <w:t>наявність відносин з контрагентами, які знаходяться в розшуку, або ліквідовані, або визнані банкрутами, якщо сума таких операцій перевищує 5 млн грн;</w:t>
      </w:r>
    </w:p>
    <w:p w:rsidR="002B2289" w:rsidRDefault="002B2289" w:rsidP="002B2289">
      <w:pPr>
        <w:pStyle w:val="a3"/>
        <w:jc w:val="both"/>
      </w:pPr>
      <w:r>
        <w:t>інші витрати перевищують 30 відсотків загальних витрат операційної діяльності;</w:t>
      </w:r>
    </w:p>
    <w:p w:rsidR="002B2289" w:rsidRDefault="002B2289" w:rsidP="002B2289">
      <w:pPr>
        <w:pStyle w:val="a3"/>
        <w:jc w:val="both"/>
      </w:pPr>
      <w:r>
        <w:t>декларування від'ємного значення фінансового результату від операційної діяльності;</w:t>
      </w:r>
    </w:p>
    <w:p w:rsidR="002B2289" w:rsidRDefault="002B2289" w:rsidP="002B2289">
      <w:pPr>
        <w:pStyle w:val="a3"/>
        <w:jc w:val="both"/>
      </w:pPr>
      <w:r>
        <w:t>наявність інформації про ухилення від оподаткування, отриманої із зовнішніх джерел;</w:t>
      </w:r>
    </w:p>
    <w:p w:rsidR="002B2289" w:rsidRDefault="002B2289" w:rsidP="002B2289">
      <w:pPr>
        <w:pStyle w:val="a3"/>
        <w:jc w:val="both"/>
      </w:pPr>
      <w:r>
        <w:t>здійснення банківською установою коригування звітності шляхом зменшення фінансового результату до оподаткування, визначеного у фінансовій звітності відповідно до міжнародних стандартів фінансової звітності, на різниці понад 30 відсотків;</w:t>
      </w:r>
    </w:p>
    <w:p w:rsidR="002B2289" w:rsidRDefault="002B2289" w:rsidP="002B2289">
      <w:pPr>
        <w:pStyle w:val="a3"/>
        <w:jc w:val="both"/>
      </w:pPr>
      <w:r>
        <w:lastRenderedPageBreak/>
        <w:t>інші операційні витрати перевищують суму матеріальних затрат та витрат на оплату праці;</w:t>
      </w:r>
    </w:p>
    <w:p w:rsidR="002B2289" w:rsidRDefault="002B2289" w:rsidP="002B2289">
      <w:pPr>
        <w:pStyle w:val="a3"/>
        <w:jc w:val="both"/>
      </w:pPr>
      <w:r>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2B2289" w:rsidRDefault="002B2289" w:rsidP="002B2289">
      <w:pPr>
        <w:pStyle w:val="a3"/>
        <w:jc w:val="both"/>
      </w:pPr>
      <w:r>
        <w:t>наявність інформації щодо здійснення банком операцій факторингу (відступлення права вимоги);</w:t>
      </w:r>
    </w:p>
    <w:p w:rsidR="002B2289" w:rsidRDefault="002B2289" w:rsidP="002B2289">
      <w:pPr>
        <w:pStyle w:val="a3"/>
        <w:jc w:val="both"/>
      </w:pPr>
      <w:r>
        <w:t>різниці, що виникають при формуванні страхового резерву банків, на які зменшується фінансовий результат, становлять понад 50 відсотків;</w:t>
      </w:r>
    </w:p>
    <w:p w:rsidR="002B2289" w:rsidRDefault="002B2289" w:rsidP="002B2289">
      <w:pPr>
        <w:pStyle w:val="a3"/>
        <w:jc w:val="both"/>
      </w:pPr>
      <w:r>
        <w:t>наявність інформації щодо здійснення банком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2B2289" w:rsidRDefault="002B2289" w:rsidP="002B2289">
      <w:pPr>
        <w:pStyle w:val="a3"/>
        <w:jc w:val="both"/>
      </w:pPr>
      <w:r>
        <w:t>здійснення операцій з цінними паперами, обіг яких скасовано, зупинено за рішенням Національної комісії з цінних паперів та фондового ринку;</w:t>
      </w:r>
    </w:p>
    <w:p w:rsidR="002B2289" w:rsidRDefault="002B2289" w:rsidP="002B2289">
      <w:pPr>
        <w:pStyle w:val="a3"/>
        <w:jc w:val="both"/>
      </w:pPr>
      <w:r>
        <w:t>2) середнього ступеня ризику:</w:t>
      </w:r>
    </w:p>
    <w:p w:rsidR="002B2289" w:rsidRDefault="002B2289" w:rsidP="002B2289">
      <w:pPr>
        <w:pStyle w:val="a3"/>
        <w:jc w:val="both"/>
      </w:pPr>
      <w:r>
        <w:t>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2B2289" w:rsidRDefault="002B2289" w:rsidP="002B2289">
      <w:pPr>
        <w:pStyle w:val="a3"/>
        <w:jc w:val="both"/>
      </w:pPr>
      <w:r>
        <w:t xml:space="preserve">нарахування та виплата доходів за ознаками, визначеними </w:t>
      </w:r>
      <w:r>
        <w:rPr>
          <w:color w:val="0000FF"/>
        </w:rPr>
        <w:t>Довідником ознак доходів</w:t>
      </w:r>
      <w:r>
        <w:t>,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2B2289" w:rsidRDefault="002B2289" w:rsidP="002B2289">
      <w:pPr>
        <w:pStyle w:val="a3"/>
        <w:jc w:val="both"/>
      </w:pPr>
      <w: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100 тис. грн;</w:t>
      </w:r>
    </w:p>
    <w:p w:rsidR="002B2289" w:rsidRDefault="002B2289" w:rsidP="002B2289">
      <w:pPr>
        <w:pStyle w:val="a3"/>
        <w:jc w:val="both"/>
      </w:pPr>
      <w: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w:t>
      </w:r>
      <w:r>
        <w:rPr>
          <w:b/>
          <w:bCs/>
        </w:rPr>
        <w:t xml:space="preserve"> </w:t>
      </w:r>
      <w:r>
        <w:t>20 до 30 відсотків;</w:t>
      </w:r>
    </w:p>
    <w:p w:rsidR="002B2289" w:rsidRDefault="002B2289" w:rsidP="002B2289">
      <w:pPr>
        <w:pStyle w:val="a3"/>
        <w:jc w:val="both"/>
      </w:pPr>
      <w:r>
        <w:t xml:space="preserve">нарахування та виплата доходів за ознакою 157 (дохід, виплачений самозайнятій особі), визначеною </w:t>
      </w:r>
      <w:r>
        <w:rPr>
          <w:color w:val="0000FF"/>
        </w:rPr>
        <w:t>Довідником ознак доходів</w:t>
      </w:r>
      <w:r>
        <w:t>, у сумі понад 5 відсотків</w:t>
      </w:r>
      <w:r>
        <w:rPr>
          <w:b/>
          <w:bCs/>
        </w:rPr>
        <w:t xml:space="preserve"> </w:t>
      </w:r>
      <w:r>
        <w:t>загального обсягу доходу від будь-якої діяльності (за вирахуванням непрямих податків), визначеного за правилами бухгалтерського обліку;</w:t>
      </w:r>
    </w:p>
    <w:p w:rsidR="002B2289" w:rsidRDefault="002B2289" w:rsidP="002B2289">
      <w:pPr>
        <w:pStyle w:val="a3"/>
        <w:jc w:val="both"/>
      </w:pPr>
      <w:r>
        <w:t>рівень сплати податку на прибуток банку нижчий за рівень сплати податку за відповідною галуззю;</w:t>
      </w:r>
    </w:p>
    <w:p w:rsidR="002B2289" w:rsidRDefault="002B2289" w:rsidP="002B2289">
      <w:pPr>
        <w:pStyle w:val="a3"/>
        <w:jc w:val="both"/>
      </w:pPr>
      <w:r>
        <w:lastRenderedPageBreak/>
        <w:t>різниці, що виникають при формуванні страхового резерву банків, на які зменшується фінансовий результат, становлять понад 30 відсотків;</w:t>
      </w:r>
    </w:p>
    <w:p w:rsidR="002B2289" w:rsidRDefault="002B2289" w:rsidP="002B2289">
      <w:pPr>
        <w:pStyle w:val="a3"/>
        <w:jc w:val="both"/>
      </w:pPr>
      <w:r>
        <w:t>здійснення виплати доходів (відсотки, роялті, лізингові платежі тощо) нерезидентам;</w:t>
      </w:r>
    </w:p>
    <w:p w:rsidR="002B2289" w:rsidRDefault="002B2289" w:rsidP="002B2289">
      <w:pPr>
        <w:pStyle w:val="a3"/>
        <w:jc w:val="both"/>
      </w:pPr>
      <w:r>
        <w:t>декларування від'ємного значення фінансового результату за операціями з цінними паперами попереднього податкового (звітного) періоду;</w:t>
      </w:r>
    </w:p>
    <w:p w:rsidR="002B2289" w:rsidRDefault="002B2289" w:rsidP="002B2289">
      <w:pPr>
        <w:pStyle w:val="a3"/>
        <w:jc w:val="both"/>
      </w:pPr>
      <w: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2B2289" w:rsidRDefault="002B2289" w:rsidP="002B2289">
      <w:pPr>
        <w:pStyle w:val="a3"/>
        <w:jc w:val="both"/>
      </w:pPr>
      <w: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2B2289" w:rsidRDefault="002B2289" w:rsidP="002B2289">
      <w:pPr>
        <w:pStyle w:val="a3"/>
        <w:jc w:val="both"/>
      </w:pPr>
      <w:r>
        <w:t>3) незначного ступеня ризику:</w:t>
      </w:r>
    </w:p>
    <w:p w:rsidR="002B2289" w:rsidRDefault="002B2289" w:rsidP="002B2289">
      <w:pPr>
        <w:pStyle w:val="a3"/>
        <w:jc w:val="both"/>
      </w:pPr>
      <w:r>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2B2289" w:rsidRDefault="002B2289" w:rsidP="002B2289">
      <w:pPr>
        <w:pStyle w:val="a3"/>
        <w:jc w:val="both"/>
      </w:pPr>
      <w:r>
        <w:t>декларування оборотів за операціями з купівлі-продажу цінних паперів понад 20 відсотків мінімального розміру статутного капіталу для банківської діяльності;</w:t>
      </w:r>
    </w:p>
    <w:p w:rsidR="002B2289" w:rsidRDefault="002B2289" w:rsidP="002B2289">
      <w:pPr>
        <w:pStyle w:val="a3"/>
        <w:jc w:val="both"/>
      </w:pPr>
      <w:r>
        <w:t>коригування платником податків податкової звітності з податку на прибуток у бік зменшення податку на прибуток.</w:t>
      </w:r>
    </w:p>
    <w:p w:rsidR="002B2289" w:rsidRDefault="002B2289" w:rsidP="002B2289">
      <w:pPr>
        <w:pStyle w:val="a3"/>
        <w:jc w:val="both"/>
      </w:pPr>
      <w:r>
        <w:t>8. Критерії відбору небанківських установ:</w:t>
      </w:r>
    </w:p>
    <w:p w:rsidR="002B2289" w:rsidRDefault="002B2289" w:rsidP="002B2289">
      <w:pPr>
        <w:pStyle w:val="a3"/>
        <w:jc w:val="both"/>
      </w:pPr>
      <w:r>
        <w:t>1) високого ступеня ризику:</w:t>
      </w:r>
    </w:p>
    <w:p w:rsidR="002B2289" w:rsidRDefault="002B2289" w:rsidP="002B2289">
      <w:pPr>
        <w:pStyle w:val="a3"/>
        <w:jc w:val="both"/>
      </w:pPr>
      <w:r>
        <w:t>наявність відносин з контрагентами, які знаходяться в розшуку, або ліквідовані, або визнані банкрутами, якщо сума таких операцій перевищує 5 млн грн або перевищує 5 відсотків загальних обсягів постачання, але не менше 100 тис. грн;</w:t>
      </w:r>
    </w:p>
    <w:p w:rsidR="002B2289" w:rsidRDefault="002B2289" w:rsidP="002B2289">
      <w:pPr>
        <w:pStyle w:val="a3"/>
        <w:jc w:val="both"/>
      </w:pPr>
      <w:r>
        <w:t>інші витрати перевищують 30 відсотків загальних витрат операційної діяльності;</w:t>
      </w:r>
    </w:p>
    <w:p w:rsidR="002B2289" w:rsidRDefault="002B2289" w:rsidP="002B2289">
      <w:pPr>
        <w:pStyle w:val="a3"/>
        <w:jc w:val="both"/>
      </w:pPr>
      <w:r>
        <w:t>наявність інформації про ухилення від оподаткування, отриманої із зовнішніх джерел;</w:t>
      </w:r>
    </w:p>
    <w:p w:rsidR="002B2289" w:rsidRDefault="002B2289" w:rsidP="002B2289">
      <w:pPr>
        <w:pStyle w:val="a3"/>
        <w:jc w:val="both"/>
      </w:pPr>
      <w:r>
        <w:t>здійснення платниками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2B2289" w:rsidRDefault="002B2289" w:rsidP="002B2289">
      <w:pPr>
        <w:pStyle w:val="a3"/>
        <w:jc w:val="both"/>
      </w:pPr>
      <w:r>
        <w:t>інші операційні витрати перевищують суму матеріальних затрат та витрат на оплату праці;</w:t>
      </w:r>
    </w:p>
    <w:p w:rsidR="002B2289" w:rsidRDefault="002B2289" w:rsidP="002B2289">
      <w:pPr>
        <w:pStyle w:val="a3"/>
        <w:jc w:val="both"/>
      </w:pPr>
      <w:r>
        <w:lastRenderedPageBreak/>
        <w:t>зростання удвічі та більше кредиторської заборгованості за продукцію (товари, роботи, послуги) протягом двох попередніх (звітних) років при зростанні запасів;</w:t>
      </w:r>
    </w:p>
    <w:p w:rsidR="002B2289" w:rsidRDefault="002B2289" w:rsidP="002B2289">
      <w:pPr>
        <w:pStyle w:val="a3"/>
        <w:jc w:val="both"/>
      </w:pPr>
      <w:r>
        <w:t>сума інших операційних витрат, витрат на збут та адміністративних витрат перевищує собівартість реалізованої продукції (товарів, робіт, послуг);</w:t>
      </w:r>
    </w:p>
    <w:p w:rsidR="002B2289" w:rsidRDefault="002B2289" w:rsidP="002B2289">
      <w:pPr>
        <w:pStyle w:val="a3"/>
        <w:jc w:val="both"/>
      </w:pPr>
      <w:r>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2B2289" w:rsidRDefault="002B2289" w:rsidP="002B2289">
      <w:pPr>
        <w:pStyle w:val="a3"/>
        <w:jc w:val="both"/>
      </w:pPr>
      <w:r>
        <w:t>різниці, що виникають при формуванні страхового резерву небанківських фінансових установ, на які зменшується фінансовий результат, становлять понад 50 відсотків;</w:t>
      </w:r>
    </w:p>
    <w:p w:rsidR="002B2289" w:rsidRDefault="002B2289" w:rsidP="002B2289">
      <w:pPr>
        <w:pStyle w:val="a3"/>
        <w:jc w:val="both"/>
      </w:pPr>
      <w:r>
        <w:t>здійснення операцій з цінними паперами, обіг яких скасовано, зупинено за рішенням Національної комісії з цінних паперів та фондового ринку;</w:t>
      </w:r>
    </w:p>
    <w:p w:rsidR="002B2289" w:rsidRDefault="002B2289" w:rsidP="002B2289">
      <w:pPr>
        <w:pStyle w:val="a3"/>
        <w:jc w:val="both"/>
      </w:pPr>
      <w:r>
        <w:t>наявність інформації щодо здійснення небанківською установою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2B2289" w:rsidRDefault="002B2289" w:rsidP="002B2289">
      <w:pPr>
        <w:pStyle w:val="a3"/>
        <w:jc w:val="both"/>
      </w:pPr>
      <w:r>
        <w:t>2) середнього ступеня ризику:</w:t>
      </w:r>
    </w:p>
    <w:p w:rsidR="002B2289" w:rsidRDefault="002B2289" w:rsidP="002B2289">
      <w:pPr>
        <w:pStyle w:val="a3"/>
        <w:jc w:val="both"/>
      </w:pPr>
      <w:r>
        <w:t>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2B2289" w:rsidRDefault="002B2289" w:rsidP="002B2289">
      <w:pPr>
        <w:pStyle w:val="a3"/>
        <w:jc w:val="both"/>
      </w:pPr>
      <w:r>
        <w:t xml:space="preserve">нарахування та виплата доходів за ознаками, визначеними </w:t>
      </w:r>
      <w:r>
        <w:rPr>
          <w:color w:val="0000FF"/>
        </w:rPr>
        <w:t>Довідником ознак доходів</w:t>
      </w:r>
      <w:r>
        <w:t>,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2B2289" w:rsidRDefault="002B2289" w:rsidP="002B2289">
      <w:pPr>
        <w:pStyle w:val="a3"/>
        <w:jc w:val="both"/>
      </w:pPr>
      <w: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100 тис. грн;</w:t>
      </w:r>
    </w:p>
    <w:p w:rsidR="002B2289" w:rsidRDefault="002B2289" w:rsidP="002B2289">
      <w:pPr>
        <w:pStyle w:val="a3"/>
        <w:jc w:val="both"/>
      </w:pPr>
      <w: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2B2289" w:rsidRDefault="002B2289" w:rsidP="002B2289">
      <w:pPr>
        <w:pStyle w:val="a3"/>
        <w:jc w:val="both"/>
      </w:pPr>
      <w: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w:t>
      </w:r>
      <w:r>
        <w:rPr>
          <w:b/>
          <w:bCs/>
        </w:rPr>
        <w:t xml:space="preserve"> </w:t>
      </w:r>
      <w:r>
        <w:t>20 до 30 відсотків;</w:t>
      </w:r>
    </w:p>
    <w:p w:rsidR="002B2289" w:rsidRDefault="002B2289" w:rsidP="002B2289">
      <w:pPr>
        <w:pStyle w:val="a3"/>
        <w:jc w:val="both"/>
      </w:pPr>
      <w:r>
        <w:t xml:space="preserve">нарахування та виплата доходів за ознакою 157 (дохід, виплачений самозайнятій особі), визначеною </w:t>
      </w:r>
      <w:r>
        <w:rPr>
          <w:color w:val="0000FF"/>
        </w:rPr>
        <w:t>Довідником ознак доходів</w:t>
      </w:r>
      <w:r>
        <w:t>, у сумі понад 5 відсотків</w:t>
      </w:r>
      <w:r>
        <w:rPr>
          <w:b/>
          <w:bCs/>
        </w:rPr>
        <w:t xml:space="preserve"> </w:t>
      </w:r>
      <w:r>
        <w:t xml:space="preserve">загального обсягу доходу </w:t>
      </w:r>
      <w:r>
        <w:lastRenderedPageBreak/>
        <w:t>від будь-якої діяльності (за вирахуванням непрямих податків), визначеного за правилами бухгалтерського обліку;</w:t>
      </w:r>
    </w:p>
    <w:p w:rsidR="002B2289" w:rsidRDefault="002B2289" w:rsidP="002B2289">
      <w:pPr>
        <w:pStyle w:val="a3"/>
        <w:jc w:val="both"/>
      </w:pPr>
      <w:r>
        <w:t>рівень сплати податку на прибуток небанківської установи (крім неприбуткових установ і організацій) нижчий за рівень сплати податку за відповідною галуззю;</w:t>
      </w:r>
    </w:p>
    <w:p w:rsidR="002B2289" w:rsidRDefault="002B2289" w:rsidP="002B2289">
      <w:pPr>
        <w:pStyle w:val="a3"/>
        <w:jc w:val="both"/>
      </w:pPr>
      <w:r>
        <w:t>декларування небанківськими установами обсягів операцій з цінними паперами понад 50 відсотків зареєстрованого статутного капіталу;</w:t>
      </w:r>
    </w:p>
    <w:p w:rsidR="002B2289" w:rsidRDefault="002B2289" w:rsidP="002B2289">
      <w:pPr>
        <w:pStyle w:val="a3"/>
        <w:jc w:val="both"/>
      </w:pPr>
      <w:r>
        <w:t>декларування від'ємного фінансового результату за операціями з цінними паперами попереднього податкового (звітного) періоду;</w:t>
      </w:r>
    </w:p>
    <w:p w:rsidR="002B2289" w:rsidRDefault="002B2289" w:rsidP="002B2289">
      <w:pPr>
        <w:pStyle w:val="a3"/>
        <w:jc w:val="both"/>
      </w:pPr>
      <w:r>
        <w:t>здійснення виплати доходів (відсотки, роялті, лізингові платежі тощо) нерезидентам;</w:t>
      </w:r>
    </w:p>
    <w:p w:rsidR="002B2289" w:rsidRDefault="002B2289" w:rsidP="002B2289">
      <w:pPr>
        <w:pStyle w:val="a3"/>
        <w:jc w:val="both"/>
      </w:pPr>
      <w: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2B2289" w:rsidRDefault="002B2289" w:rsidP="002B2289">
      <w:pPr>
        <w:pStyle w:val="a3"/>
        <w:jc w:val="both"/>
      </w:pPr>
      <w: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2B2289" w:rsidRDefault="002B2289" w:rsidP="002B2289">
      <w:pPr>
        <w:pStyle w:val="a3"/>
        <w:jc w:val="both"/>
      </w:pPr>
      <w:r>
        <w:t>3) незначного ступеня ризику:</w:t>
      </w:r>
    </w:p>
    <w:p w:rsidR="002B2289" w:rsidRDefault="002B2289" w:rsidP="002B2289">
      <w:pPr>
        <w:pStyle w:val="a3"/>
        <w:jc w:val="both"/>
      </w:pPr>
      <w: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2B2289" w:rsidRDefault="002B2289" w:rsidP="002B2289">
      <w:pPr>
        <w:pStyle w:val="a3"/>
        <w:jc w:val="both"/>
      </w:pPr>
      <w:r>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2B2289" w:rsidRDefault="002B2289" w:rsidP="002B2289">
      <w:pPr>
        <w:pStyle w:val="a3"/>
        <w:jc w:val="both"/>
      </w:pPr>
      <w:r>
        <w:t>декларування оборотів за операціями з купівлі-продажу цінних паперів понад 20 млн грн;</w:t>
      </w:r>
    </w:p>
    <w:p w:rsidR="002B2289" w:rsidRDefault="002B2289" w:rsidP="002B2289">
      <w:pPr>
        <w:pStyle w:val="a3"/>
        <w:jc w:val="both"/>
      </w:pPr>
      <w:r>
        <w:t>перевищення кредиторської заборгованості над дебіторською заборгованістю;</w:t>
      </w:r>
    </w:p>
    <w:p w:rsidR="002B2289" w:rsidRDefault="002B2289" w:rsidP="002B2289">
      <w:pPr>
        <w:pStyle w:val="a3"/>
        <w:jc w:val="both"/>
      </w:pPr>
      <w:r>
        <w:t>коригування платником податків податкової звітності з податку на прибуток у бік зменшення податкових зобов'язань;</w:t>
      </w:r>
    </w:p>
    <w:p w:rsidR="002B2289" w:rsidRDefault="002B2289" w:rsidP="002B2289">
      <w:pPr>
        <w:pStyle w:val="a3"/>
        <w:jc w:val="both"/>
      </w:pPr>
      <w:r>
        <w:t>відсутність у неприбуткових установ і організацій інших доходів, які підлягають оподаткуванню.</w:t>
      </w:r>
    </w:p>
    <w:p w:rsidR="002B2289" w:rsidRDefault="002B2289" w:rsidP="002B2289">
      <w:pPr>
        <w:pStyle w:val="a3"/>
        <w:jc w:val="both"/>
      </w:pPr>
      <w:r>
        <w:t>9. Критерії відбору платників податків - постійних представництв та представництв нерезидентів:</w:t>
      </w:r>
    </w:p>
    <w:p w:rsidR="002B2289" w:rsidRDefault="002B2289" w:rsidP="002B2289">
      <w:pPr>
        <w:pStyle w:val="a3"/>
        <w:jc w:val="both"/>
      </w:pPr>
      <w:r>
        <w:t>1) високого ступеня ризику:</w:t>
      </w:r>
    </w:p>
    <w:p w:rsidR="002B2289" w:rsidRDefault="002B2289" w:rsidP="002B2289">
      <w:pPr>
        <w:pStyle w:val="a3"/>
        <w:jc w:val="both"/>
      </w:pPr>
      <w:r>
        <w:lastRenderedPageBreak/>
        <w:t>рівень зростання податку на прибуток нижчий на 50 та більше відсотків за рівень зростання доходів платника податків, що враховуються при визначенні об'єкта оподаткування;</w:t>
      </w:r>
    </w:p>
    <w:p w:rsidR="002B2289" w:rsidRDefault="002B2289" w:rsidP="002B2289">
      <w:pPr>
        <w:pStyle w:val="a3"/>
        <w:jc w:val="both"/>
      </w:pPr>
      <w:r>
        <w:t>наявність відносин з контрагентами, які знаходяться в розшуку, або ліквідовані, або визнані банкрутами, якщо сума таких операцій перевищує 5 млн грн або перевищує 5 відсотків загальних обсягів постачання, але не менше 100 тис. грн;</w:t>
      </w:r>
    </w:p>
    <w:p w:rsidR="002B2289" w:rsidRDefault="002B2289" w:rsidP="002B2289">
      <w:pPr>
        <w:pStyle w:val="a3"/>
        <w:jc w:val="both"/>
      </w:pPr>
      <w:r>
        <w:t>наявність розбіжностей у платника податків згідно із системою автоматизованого співставлення податкового зобов'язання та податкового кредиту у розрізі контрагентів (завищення податкового кредиту) у сумі понад 1 млн грн або понад 5 відсотків загальних обсягів податкового кредиту, але не менше 100 тис. грн;</w:t>
      </w:r>
    </w:p>
    <w:p w:rsidR="002B2289" w:rsidRDefault="002B2289" w:rsidP="002B2289">
      <w:pPr>
        <w:pStyle w:val="a3"/>
        <w:jc w:val="both"/>
      </w:pPr>
      <w:r>
        <w:t>відсутність витрат, понесених представництвом при декларуванні доходів, звільнених від оподаткування на підставі міжнародного договору;</w:t>
      </w:r>
    </w:p>
    <w:p w:rsidR="002B2289" w:rsidRDefault="002B2289" w:rsidP="002B2289">
      <w:pPr>
        <w:pStyle w:val="a3"/>
        <w:jc w:val="both"/>
      </w:pPr>
      <w:r>
        <w:t>здійснення виплати доходів (відсотки, роялті, лізингові платежі тощо) нерезидентам;</w:t>
      </w:r>
    </w:p>
    <w:p w:rsidR="002B2289" w:rsidRDefault="002B2289" w:rsidP="002B2289">
      <w:pPr>
        <w:pStyle w:val="a3"/>
        <w:jc w:val="both"/>
      </w:pPr>
      <w:r>
        <w:t>наявність інформації правоохоронних органів, структурних підрозділів органів ДФС, що свідчить про ухилення від оподаткування та/або про взаємовідносини із платниками податків, реєстрацію яких скасовано у судовому порядку, або стосовно яких заведено оперативно-розшукову справу, або 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2B2289" w:rsidRDefault="002B2289" w:rsidP="002B2289">
      <w:pPr>
        <w:pStyle w:val="a3"/>
        <w:jc w:val="both"/>
      </w:pPr>
      <w:r>
        <w:t>2) середнього ступеня ризику:</w:t>
      </w:r>
    </w:p>
    <w:p w:rsidR="002B2289" w:rsidRDefault="002B2289" w:rsidP="002B2289">
      <w:pPr>
        <w:pStyle w:val="a3"/>
        <w:jc w:val="both"/>
      </w:pPr>
      <w:r>
        <w:t>обсяги витрат становлять понад 70 відсотків доходів при декларуванні допоміжного виду діяльності;</w:t>
      </w:r>
    </w:p>
    <w:p w:rsidR="002B2289" w:rsidRDefault="002B2289" w:rsidP="002B2289">
      <w:pPr>
        <w:pStyle w:val="a3"/>
        <w:jc w:val="both"/>
      </w:pPr>
      <w:r>
        <w:t>коригування платником податків податкової звітності з податку на прибуток та/або податку на додану вартість у бік зменшення податкових зобов'язань понад 10 відсотків;</w:t>
      </w:r>
    </w:p>
    <w:p w:rsidR="002B2289" w:rsidRDefault="002B2289" w:rsidP="002B2289">
      <w:pPr>
        <w:pStyle w:val="a3"/>
        <w:jc w:val="both"/>
      </w:pPr>
      <w:r>
        <w:t>наявність відхилень між значеннями основних показників фінансової та податкової звітності понад 10 відсотків;</w:t>
      </w:r>
    </w:p>
    <w:p w:rsidR="002B2289" w:rsidRDefault="002B2289" w:rsidP="002B2289">
      <w:pPr>
        <w:pStyle w:val="a3"/>
        <w:jc w:val="both"/>
      </w:pPr>
      <w:r>
        <w:t>показники податкової звітності, які характеризують діяльність постійних представництв та представництв нерезидентів, свідчать про можливість заниження податку на прибуток або ризики несплати податків;</w:t>
      </w:r>
    </w:p>
    <w:p w:rsidR="002B2289" w:rsidRDefault="002B2289" w:rsidP="002B2289">
      <w:pPr>
        <w:pStyle w:val="a3"/>
        <w:jc w:val="both"/>
      </w:pPr>
      <w:r>
        <w:t>декларування нарахованої заробітної плати за відсутності декларування об'єкта оподаткування податком на прибуток або декларування доходу, звільненого від оподаткування відповідно до міжнародного договору України;</w:t>
      </w:r>
    </w:p>
    <w:p w:rsidR="002B2289" w:rsidRDefault="002B2289" w:rsidP="002B2289">
      <w:pPr>
        <w:pStyle w:val="a3"/>
        <w:jc w:val="both"/>
      </w:pPr>
      <w: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що у сумі перевищують 10 відсотків;</w:t>
      </w:r>
    </w:p>
    <w:p w:rsidR="002B2289" w:rsidRDefault="002B2289" w:rsidP="002B2289">
      <w:pPr>
        <w:pStyle w:val="a3"/>
        <w:jc w:val="both"/>
      </w:pPr>
      <w:r>
        <w:t>3) незначного ступеня ризику:</w:t>
      </w:r>
    </w:p>
    <w:p w:rsidR="002B2289" w:rsidRDefault="002B2289" w:rsidP="002B2289">
      <w:pPr>
        <w:pStyle w:val="a3"/>
        <w:jc w:val="both"/>
      </w:pPr>
      <w:r>
        <w:lastRenderedPageBreak/>
        <w:t>декларування від'ємного значення об'єкта оподаткування податком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2B2289" w:rsidRDefault="002B2289" w:rsidP="002B2289">
      <w:pPr>
        <w:pStyle w:val="a3"/>
        <w:jc w:val="both"/>
      </w:pPr>
      <w:r>
        <w:t>декларування від'ємного значення фінансового результату до оподаткування;</w:t>
      </w:r>
    </w:p>
    <w:p w:rsidR="002B2289" w:rsidRDefault="002B2289" w:rsidP="002B2289">
      <w:pPr>
        <w:pStyle w:val="a3"/>
        <w:jc w:val="both"/>
      </w:pPr>
      <w:r>
        <w:t>виплата доходів, отриманих нерезидентом, із джерелом їх походження з України без утримання та внесення до бюджету податку на доходи нерезидентів або із застосуванням нульових ставок оподаткування.</w:t>
      </w:r>
    </w:p>
    <w:p w:rsidR="002B2289" w:rsidRDefault="002B2289" w:rsidP="002B2289">
      <w:pPr>
        <w:pStyle w:val="3"/>
        <w:jc w:val="center"/>
      </w:pPr>
      <w:r>
        <w:t>IV. Порядок відбору до плану-графіка платників податків - фізичних осіб</w:t>
      </w:r>
    </w:p>
    <w:p w:rsidR="002B2289" w:rsidRDefault="002B2289" w:rsidP="002B2289">
      <w:pPr>
        <w:pStyle w:val="a3"/>
        <w:jc w:val="both"/>
      </w:pPr>
      <w:r>
        <w:t>1. До розділу III плану-графіка відбираються платники податків - фізичні особи, які мають ризики несплати податків і зборів, невиконання іншого законодавства, контроль за яким покладено на контролюючі органи.</w:t>
      </w:r>
    </w:p>
    <w:p w:rsidR="002B2289" w:rsidRDefault="002B2289" w:rsidP="002B2289">
      <w:pPr>
        <w:pStyle w:val="a3"/>
        <w:jc w:val="both"/>
      </w:pPr>
      <w:r>
        <w:t>2. Формування переліку платників податків - фізичних осіб до розділу III плану-графіка проводиться за критеріями ризиків згідно з вимогами цього розділу, у тому числі за даними інформаційно-телекомунікаційних систем ДФС.</w:t>
      </w:r>
    </w:p>
    <w:p w:rsidR="002B2289" w:rsidRDefault="002B2289" w:rsidP="002B2289">
      <w:pPr>
        <w:pStyle w:val="a3"/>
        <w:jc w:val="both"/>
      </w:pPr>
      <w:r>
        <w:t>3. До плану-графіка насамперед включаються платники податків - фізичні особи, які мають найбільші ризики несплати до бюджету податків та зборів, платежів.</w:t>
      </w:r>
    </w:p>
    <w:p w:rsidR="002B2289" w:rsidRDefault="002B2289" w:rsidP="002B2289">
      <w:pPr>
        <w:pStyle w:val="a3"/>
        <w:jc w:val="both"/>
      </w:pPr>
      <w:r>
        <w:t>4. Критерії відбору платників податків - фізичних осіб:</w:t>
      </w:r>
    </w:p>
    <w:p w:rsidR="002B2289" w:rsidRDefault="002B2289" w:rsidP="002B2289">
      <w:pPr>
        <w:pStyle w:val="a3"/>
        <w:jc w:val="both"/>
      </w:pPr>
      <w:r>
        <w:t>1) високого ступеня ризику:</w:t>
      </w:r>
    </w:p>
    <w:p w:rsidR="002B2289" w:rsidRDefault="002B2289" w:rsidP="002B2289">
      <w:pPr>
        <w:pStyle w:val="a3"/>
        <w:jc w:val="both"/>
      </w:pPr>
      <w:r>
        <w:t xml:space="preserve">перевищення сумою доходів, отриманих платником податків за ознаками, визначеними </w:t>
      </w:r>
      <w:r>
        <w:rPr>
          <w:color w:val="0000FF"/>
        </w:rPr>
        <w:t>Довідником ознак доходів</w:t>
      </w:r>
      <w:r>
        <w:t>, 127 (інші доходи) та/або 157 (дохід, виплачений самозайнятій особі), задекларованої суми доходу від провадження господарської діяльності на 10 та більше відсотків;</w:t>
      </w:r>
    </w:p>
    <w:p w:rsidR="002B2289" w:rsidRDefault="002B2289" w:rsidP="002B2289">
      <w:pPr>
        <w:pStyle w:val="a3"/>
        <w:jc w:val="both"/>
      </w:pPr>
      <w:r>
        <w:t xml:space="preserve">недекларування в податковій звітності доходів, отриманих платником податків за ознакою, визначеною </w:t>
      </w:r>
      <w:r>
        <w:rPr>
          <w:color w:val="0000FF"/>
        </w:rPr>
        <w:t>Довідником ознак доходів</w:t>
      </w:r>
      <w:r>
        <w:t>, 112 (інвестиційний прибуток (дохід) від операцій з інвестиційними активами);</w:t>
      </w:r>
    </w:p>
    <w:p w:rsidR="002B2289" w:rsidRDefault="002B2289" w:rsidP="002B2289">
      <w:pPr>
        <w:pStyle w:val="a3"/>
        <w:jc w:val="both"/>
      </w:pPr>
      <w:r>
        <w:t>перевищення обсягів експортних операцій над задекларованою сумою доходу на 10 та більше відсотків;</w:t>
      </w:r>
    </w:p>
    <w:p w:rsidR="002B2289" w:rsidRDefault="002B2289" w:rsidP="002B2289">
      <w:pPr>
        <w:pStyle w:val="a3"/>
        <w:jc w:val="both"/>
      </w:pPr>
      <w:r>
        <w:t>заниження податкового зобов'язання в обсязі, що становить 10 та більше відсотків суми задекларованих податкових зобов'язань з податку на додану вартість за календарний рік, та/або завищення податкового кредиту з податку на додану вартість в обсязі, що становить 5 та більше відсотків суми задекларованого податкового кредиту з податку на додану вартість;</w:t>
      </w:r>
    </w:p>
    <w:p w:rsidR="002B2289" w:rsidRDefault="002B2289" w:rsidP="002B2289">
      <w:pPr>
        <w:pStyle w:val="a3"/>
        <w:jc w:val="both"/>
      </w:pPr>
      <w:r>
        <w:t>декларування сум доходу на рівні або менше рівня витрат, які враховуються при визначенні об'єкта оподаткування;</w:t>
      </w:r>
    </w:p>
    <w:p w:rsidR="002B2289" w:rsidRDefault="002B2289" w:rsidP="002B2289">
      <w:pPr>
        <w:pStyle w:val="a3"/>
        <w:jc w:val="both"/>
      </w:pPr>
      <w:r>
        <w:t>розмір інших витрат, у тому числі вартість виконаних робіт, наданих послуг, становить 30 або більше відсотків задекларованої в податковій звітності вартості документально підтверджених витрат, пов'язаних з господарською діяльністю платника податків;</w:t>
      </w:r>
    </w:p>
    <w:p w:rsidR="002B2289" w:rsidRDefault="002B2289" w:rsidP="002B2289">
      <w:pPr>
        <w:pStyle w:val="a3"/>
        <w:jc w:val="both"/>
      </w:pPr>
      <w:r>
        <w:lastRenderedPageBreak/>
        <w:t>наявність розбіжностей між сумою чистого оподатковуваного доходу, відображеною в декларації про майновий стан і доходи, та сумою доходу, зазначеною у звіті про суми нарахованого доходу застрахованих осіб та суми нарахованого єдиного внеску, на 5 та більше відсотків;</w:t>
      </w:r>
    </w:p>
    <w:p w:rsidR="002B2289" w:rsidRDefault="002B2289" w:rsidP="002B2289">
      <w:pPr>
        <w:pStyle w:val="a3"/>
        <w:jc w:val="both"/>
      </w:pPr>
      <w:r>
        <w:t xml:space="preserve">нарахування та виплата доходів за ознаками, визначеними </w:t>
      </w:r>
      <w:r>
        <w:rPr>
          <w:color w:val="0000FF"/>
        </w:rPr>
        <w:t>Довідником ознак доходів</w:t>
      </w:r>
      <w:r>
        <w:t>,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2B2289" w:rsidRDefault="002B2289" w:rsidP="002B2289">
      <w:pPr>
        <w:pStyle w:val="a3"/>
        <w:jc w:val="both"/>
      </w:pPr>
      <w:r>
        <w:t>невідповідність обсягів імпортних операцій задекларованому доходу або обсягам постачання на 20 та більше відсотків;</w:t>
      </w:r>
    </w:p>
    <w:p w:rsidR="002B2289" w:rsidRDefault="002B2289" w:rsidP="002B2289">
      <w:pPr>
        <w:pStyle w:val="a3"/>
        <w:jc w:val="both"/>
      </w:pPr>
      <w:r>
        <w:t>наявність інформації, що свідчить про ухилення від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відшкодувань, що підлягають оподаткуванню, у тому числі внаслідок неукладення платником податків трудових договорів з найманими особами згідно із законом;</w:t>
      </w:r>
    </w:p>
    <w:p w:rsidR="002B2289" w:rsidRDefault="002B2289" w:rsidP="002B2289">
      <w:pPr>
        <w:pStyle w:val="a3"/>
        <w:jc w:val="both"/>
      </w:pPr>
      <w:r>
        <w:t>загальна сума витрат, відображених у декларації про майновий стан і доходи, становить 75 або більше відсотків суми загального доходу, задекларованого у такій декларації;</w:t>
      </w:r>
    </w:p>
    <w:p w:rsidR="002B2289" w:rsidRDefault="002B2289" w:rsidP="002B2289">
      <w:pPr>
        <w:pStyle w:val="a3"/>
        <w:jc w:val="both"/>
      </w:pPr>
      <w:r>
        <w:t>наявність розбіжностей між обсягами задекларованих у податкових деклараціях з податку на додану вартість податкових зобов'язань або податкового кредиту з податку на додану вартість та обсягами податкових зобов'язань або податкового кредиту з податку на додану вартість за даними Єдиного реєстру податкових накладних на 5 та більше відсотків;</w:t>
      </w:r>
    </w:p>
    <w:p w:rsidR="002B2289" w:rsidRDefault="002B2289" w:rsidP="002B2289">
      <w:pPr>
        <w:pStyle w:val="a3"/>
        <w:jc w:val="both"/>
      </w:pPr>
      <w:r>
        <w:t>невідповідність обсягів імпортних операцій задекларованим у податкових деклараціях з податку на додану вартість обсягам ввезення на митну територію України товарів, необоротних активів на 5 та більше відсотків;</w:t>
      </w:r>
    </w:p>
    <w:p w:rsidR="002B2289" w:rsidRDefault="002B2289" w:rsidP="002B2289">
      <w:pPr>
        <w:pStyle w:val="a3"/>
        <w:jc w:val="both"/>
      </w:pPr>
      <w:r>
        <w:t>невідповідність обсягів експортних операцій задекларованим у податкових деклараціях з податку на додану вартість обсягам експортних операцій на 5 та більше відсотків;</w:t>
      </w:r>
    </w:p>
    <w:p w:rsidR="002B2289" w:rsidRDefault="002B2289" w:rsidP="002B2289">
      <w:pPr>
        <w:pStyle w:val="a3"/>
        <w:jc w:val="both"/>
      </w:pPr>
      <w:r>
        <w:t xml:space="preserve">оформлення </w:t>
      </w:r>
      <w:r>
        <w:rPr>
          <w:color w:val="0000FF"/>
        </w:rPr>
        <w:t>митних декларацій</w:t>
      </w:r>
      <w:r>
        <w:t xml:space="preserve"> у митних режимах за </w:t>
      </w:r>
      <w:r>
        <w:rPr>
          <w:color w:val="0000FF"/>
        </w:rPr>
        <w:t>кодами 31</w:t>
      </w:r>
      <w:r>
        <w:t xml:space="preserve">, </w:t>
      </w:r>
      <w:r>
        <w:rPr>
          <w:color w:val="0000FF"/>
        </w:rPr>
        <w:t>51</w:t>
      </w:r>
      <w:r>
        <w:t xml:space="preserve">, </w:t>
      </w:r>
      <w:r>
        <w:rPr>
          <w:color w:val="0000FF"/>
        </w:rPr>
        <w:t>74</w:t>
      </w:r>
      <w:r>
        <w:t xml:space="preserve">, </w:t>
      </w:r>
      <w:r>
        <w:rPr>
          <w:color w:val="0000FF"/>
        </w:rPr>
        <w:t>80</w:t>
      </w:r>
      <w:r>
        <w:t xml:space="preserve">, </w:t>
      </w:r>
      <w:r>
        <w:rPr>
          <w:color w:val="0000FF"/>
        </w:rPr>
        <w:t>81 згідно з класифікатором митних режимів</w:t>
      </w:r>
      <w:r>
        <w:t>, затвердженим наказом N 1011, зі звільненням від оподаткування митними платежами;</w:t>
      </w:r>
    </w:p>
    <w:p w:rsidR="002B2289" w:rsidRDefault="002B2289" w:rsidP="002B2289">
      <w:pPr>
        <w:pStyle w:val="a3"/>
        <w:jc w:val="both"/>
      </w:pPr>
      <w:r>
        <w:t>наявність виплат доходів (прибутків) у грошовій або негрошовій формах на користь нерезидентів;</w:t>
      </w:r>
    </w:p>
    <w:p w:rsidR="002B2289" w:rsidRDefault="002B2289" w:rsidP="002B2289">
      <w:pPr>
        <w:pStyle w:val="a3"/>
        <w:jc w:val="both"/>
      </w:pPr>
      <w:r>
        <w:t xml:space="preserve">наявність прийнятих контролюючим органом рішень про коригування митної вартості товарів, рішень про визначення коду товару згідно з </w:t>
      </w:r>
      <w:r>
        <w:rPr>
          <w:color w:val="0000FF"/>
        </w:rPr>
        <w:t>УКТ ЗЕД</w:t>
      </w:r>
      <w:r>
        <w:t xml:space="preserve">, карток відмови у прийнятті </w:t>
      </w:r>
      <w:r>
        <w:rPr>
          <w:color w:val="0000FF"/>
        </w:rPr>
        <w:t>митної декларації</w:t>
      </w:r>
      <w:r>
        <w:t>, митному оформленні, випуску чи пропуску товарів, транспортних засобів комерційного призначення підприємства;</w:t>
      </w:r>
    </w:p>
    <w:p w:rsidR="002B2289" w:rsidRDefault="002B2289" w:rsidP="002B2289">
      <w:pPr>
        <w:pStyle w:val="a3"/>
        <w:jc w:val="both"/>
      </w:pPr>
      <w:r>
        <w:t xml:space="preserve">наявність протоколів про порушення митних правил, встановлених </w:t>
      </w:r>
      <w:r>
        <w:rPr>
          <w:color w:val="0000FF"/>
        </w:rPr>
        <w:t>статтями 469</w:t>
      </w:r>
      <w:r>
        <w:t xml:space="preserve">, </w:t>
      </w:r>
      <w:r>
        <w:rPr>
          <w:color w:val="0000FF"/>
        </w:rPr>
        <w:t>470</w:t>
      </w:r>
      <w:r>
        <w:t xml:space="preserve">, </w:t>
      </w:r>
      <w:r>
        <w:rPr>
          <w:color w:val="0000FF"/>
        </w:rPr>
        <w:t>472</w:t>
      </w:r>
      <w:r>
        <w:t xml:space="preserve">, </w:t>
      </w:r>
      <w:r>
        <w:rPr>
          <w:color w:val="0000FF"/>
        </w:rPr>
        <w:t>474</w:t>
      </w:r>
      <w:r>
        <w:t xml:space="preserve">, </w:t>
      </w:r>
      <w:r>
        <w:rPr>
          <w:color w:val="0000FF"/>
        </w:rPr>
        <w:t>478</w:t>
      </w:r>
      <w:r>
        <w:t xml:space="preserve">, </w:t>
      </w:r>
      <w:r>
        <w:rPr>
          <w:color w:val="0000FF"/>
        </w:rPr>
        <w:t>480 - 485 Митного кодексу України</w:t>
      </w:r>
      <w:r>
        <w:t>, які свідчать про порушення митних правил посадовими особами платника податків, декларантами;</w:t>
      </w:r>
    </w:p>
    <w:p w:rsidR="002B2289" w:rsidRDefault="002B2289" w:rsidP="002B2289">
      <w:pPr>
        <w:pStyle w:val="a3"/>
        <w:jc w:val="both"/>
      </w:pPr>
      <w:r>
        <w:t>2) середнього ступеня ризику:</w:t>
      </w:r>
    </w:p>
    <w:p w:rsidR="002B2289" w:rsidRDefault="002B2289" w:rsidP="002B2289">
      <w:pPr>
        <w:pStyle w:val="a3"/>
        <w:jc w:val="both"/>
      </w:pPr>
      <w:r>
        <w:lastRenderedPageBreak/>
        <w:t>кількість найманих працівників менша за кількість зареєстрованих реєстраторів розрахункових операцій (окремо на господарську одиницю) або транспортних засобів;</w:t>
      </w:r>
    </w:p>
    <w:p w:rsidR="002B2289" w:rsidRDefault="002B2289" w:rsidP="002B2289">
      <w:pPr>
        <w:pStyle w:val="a3"/>
        <w:jc w:val="both"/>
      </w:pPr>
      <w:r>
        <w:t>декларування від'ємного значення з податку на додану вартість при здійсненні імпортних, експортних операцій або міжнародних перевезень;</w:t>
      </w:r>
    </w:p>
    <w:p w:rsidR="002B2289" w:rsidRDefault="002B2289" w:rsidP="002B2289">
      <w:pPr>
        <w:pStyle w:val="a3"/>
        <w:jc w:val="both"/>
      </w:pPr>
      <w:r>
        <w:t>декларування податкових зобов'язань з податку на додану вартість на рівні податкового кредиту;</w:t>
      </w:r>
    </w:p>
    <w:p w:rsidR="002B2289" w:rsidRDefault="002B2289" w:rsidP="002B2289">
      <w:pPr>
        <w:pStyle w:val="a3"/>
        <w:jc w:val="both"/>
      </w:pPr>
      <w:r>
        <w:t>наявність розбіжностей між задекларованою сумою загального оподатковуваного доходу або податкових зобов'язань з податку на додану вартість та сумою розрахункових операцій, проведених із застосуванням реєстраторів розрахункових операцій (книги обліку розрахункових операцій), в обсязі, що перевищує 10 відсотків;</w:t>
      </w:r>
    </w:p>
    <w:p w:rsidR="002B2289" w:rsidRDefault="002B2289" w:rsidP="002B2289">
      <w:pPr>
        <w:pStyle w:val="a3"/>
        <w:jc w:val="both"/>
      </w:pPr>
      <w:r>
        <w:t xml:space="preserve">загальна сума від здійснення операцій з постачання товарів/послуг, що підлягають оподаткуванню згідно з </w:t>
      </w:r>
      <w:r>
        <w:rPr>
          <w:color w:val="0000FF"/>
        </w:rPr>
        <w:t>розділом V Кодексу</w:t>
      </w:r>
      <w:r>
        <w:t xml:space="preserve">, у тому числі з використанням локальної або глобальної комп'ютерної мережі, нарахована (сплачена) особі, яка не зареєстрована платником податку на додану вартість, протягом останніх 12 календарних місяців, перевищує обсяг, визначений </w:t>
      </w:r>
      <w:r>
        <w:rPr>
          <w:color w:val="0000FF"/>
        </w:rPr>
        <w:t>статтею 181 розділу V Кодексу</w:t>
      </w:r>
      <w:r>
        <w:t>, більш як на 2 відсотки;</w:t>
      </w:r>
    </w:p>
    <w:p w:rsidR="002B2289" w:rsidRDefault="002B2289" w:rsidP="002B2289">
      <w:pPr>
        <w:pStyle w:val="a3"/>
        <w:jc w:val="both"/>
      </w:pPr>
      <w:r>
        <w:t>наявність відносин із контрагентами, які знаходяться в розшуку, або ліквідовані, або визнані банкрутами, якщо сума операцій перевищує 10 відсотків загальних обсягів постачання;</w:t>
      </w:r>
    </w:p>
    <w:p w:rsidR="002B2289" w:rsidRDefault="002B2289" w:rsidP="002B2289">
      <w:pPr>
        <w:pStyle w:val="a3"/>
        <w:jc w:val="both"/>
      </w:pPr>
      <w:r>
        <w:t>порушення встановлених строків сплати єдиного внеску більше ніж на 365 днів;</w:t>
      </w:r>
    </w:p>
    <w:p w:rsidR="002B2289" w:rsidRDefault="002B2289" w:rsidP="002B2289">
      <w:pPr>
        <w:pStyle w:val="a3"/>
        <w:jc w:val="both"/>
      </w:pPr>
      <w:r>
        <w:t>3) незначного ступеня ризику:</w:t>
      </w:r>
    </w:p>
    <w:p w:rsidR="002B2289" w:rsidRDefault="002B2289" w:rsidP="002B2289">
      <w:pPr>
        <w:pStyle w:val="a3"/>
        <w:jc w:val="both"/>
      </w:pPr>
      <w:r>
        <w:t>заниження податкового зобов'язання в обсязі, що становить менше 10 відсотків суми задекларованих податкових зобов'язань з податку на додану вартість за календарний рік, та/або завищення податкового кредиту з податку на додану вартість в обсязі, що становить менше 5 відсотків суми задекларованого податкового кредиту з податку на додану вартість;</w:t>
      </w:r>
    </w:p>
    <w:p w:rsidR="002B2289" w:rsidRDefault="002B2289" w:rsidP="002B2289">
      <w:pPr>
        <w:pStyle w:val="a3"/>
        <w:jc w:val="both"/>
      </w:pPr>
      <w:r>
        <w:t>порушення встановлених строків сплати єдиного внеску менше ніж на 365 днів;</w:t>
      </w:r>
    </w:p>
    <w:p w:rsidR="002B2289" w:rsidRDefault="002B2289" w:rsidP="002B2289">
      <w:pPr>
        <w:pStyle w:val="a3"/>
        <w:jc w:val="both"/>
      </w:pPr>
      <w:r>
        <w:t>декларування сум податку на додану вартість до відшкодування з бюджету.</w:t>
      </w:r>
    </w:p>
    <w:p w:rsidR="002B2289" w:rsidRDefault="002B2289" w:rsidP="002B2289">
      <w:pPr>
        <w:pStyle w:val="3"/>
        <w:jc w:val="center"/>
      </w:pPr>
      <w:r>
        <w:t>V. Порядок відбору до плану-графіка платників податків - юридичних осіб щодо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w:t>
      </w:r>
    </w:p>
    <w:p w:rsidR="002B2289" w:rsidRDefault="002B2289" w:rsidP="002B2289">
      <w:pPr>
        <w:pStyle w:val="a3"/>
        <w:jc w:val="both"/>
      </w:pPr>
      <w:r>
        <w:t>1. До розділу IV плану-графіка відбираються платники податків - юридичні особи, які мають ризик несплати податку на доходи фізичних осіб, військового збору</w:t>
      </w:r>
      <w:r>
        <w:rPr>
          <w:b/>
          <w:bCs/>
        </w:rPr>
        <w:t xml:space="preserve"> </w:t>
      </w:r>
      <w:r>
        <w:t>та єдиного внеску, за результатами аналізу наявних ризиків.</w:t>
      </w:r>
    </w:p>
    <w:p w:rsidR="002B2289" w:rsidRDefault="002B2289" w:rsidP="002B2289">
      <w:pPr>
        <w:pStyle w:val="a3"/>
        <w:jc w:val="both"/>
      </w:pPr>
      <w:r>
        <w:t>2. При відборі до плану-графіка враховуються дані інформаційно-телекомунікаційних систем ДФС.</w:t>
      </w:r>
    </w:p>
    <w:p w:rsidR="002B2289" w:rsidRDefault="002B2289" w:rsidP="002B2289">
      <w:pPr>
        <w:pStyle w:val="a3"/>
        <w:jc w:val="both"/>
      </w:pPr>
      <w:r>
        <w:lastRenderedPageBreak/>
        <w:t>3. У разі одночасного відбору платника податків до перевірки підрозділами аудиту та підрозділами податків і зборів з фізичних осіб такий платник включається до розділу I плану-графіка проведення документальних планових перевірок.</w:t>
      </w:r>
    </w:p>
    <w:p w:rsidR="002B2289" w:rsidRDefault="002B2289" w:rsidP="002B2289">
      <w:pPr>
        <w:pStyle w:val="a3"/>
        <w:jc w:val="both"/>
      </w:pPr>
      <w:r>
        <w:t>4. Критерії відбору платників податків - юридичних осіб з питань правильності обчислення, повноти і своєчасності сплати податку на доходи фізичних осіб, військового збору та єдиного внеску:</w:t>
      </w:r>
    </w:p>
    <w:p w:rsidR="002B2289" w:rsidRDefault="002B2289" w:rsidP="002B2289">
      <w:pPr>
        <w:pStyle w:val="a3"/>
        <w:jc w:val="both"/>
      </w:pPr>
      <w:r>
        <w:t>1) високого ступеня ризику:</w:t>
      </w:r>
    </w:p>
    <w:p w:rsidR="002B2289" w:rsidRDefault="002B2289" w:rsidP="002B2289">
      <w:pPr>
        <w:pStyle w:val="a3"/>
        <w:jc w:val="both"/>
      </w:pPr>
      <w:r>
        <w:t>несплата податку на доходи фізичних осіб, військового збору та/або єдиного внеску або його сплата у розмірі менше 1 відсотка доходу за попередній звітний період платником податку - юридичною особою, дохід якої становить понад 1 млн грн;</w:t>
      </w:r>
    </w:p>
    <w:p w:rsidR="002B2289" w:rsidRDefault="002B2289" w:rsidP="002B2289">
      <w:pPr>
        <w:pStyle w:val="a3"/>
        <w:jc w:val="both"/>
      </w:pPr>
      <w:r>
        <w:t>нарахування заробітної плати у сумі менше законодавчо встановленого розміру мінімальної заробітної плати за наявності доходу за попередній звітний період у сумі 1 млн грн та більше;</w:t>
      </w:r>
    </w:p>
    <w:p w:rsidR="002B2289" w:rsidRDefault="002B2289" w:rsidP="002B2289">
      <w:pPr>
        <w:pStyle w:val="a3"/>
        <w:jc w:val="both"/>
      </w:pPr>
      <w:r>
        <w:t xml:space="preserve">нарахування та виплата доходів за ознаками, визначеними </w:t>
      </w:r>
      <w:r>
        <w:rPr>
          <w:color w:val="0000FF"/>
        </w:rPr>
        <w:t>Довідником ознак доходів</w:t>
      </w:r>
      <w:r>
        <w:t>, 101 (заробітна плата, нарахована (виплачена)) та/або 102 (виплати відповідно до умов цивільно-правового договору), у сумі понад 40 мінімальних зарплат без утримання, перерахування до бюджету податку на доходи фізичних осіб, військового збору та/або єдиного внеску;</w:t>
      </w:r>
    </w:p>
    <w:p w:rsidR="002B2289" w:rsidRDefault="002B2289" w:rsidP="002B2289">
      <w:pPr>
        <w:pStyle w:val="a3"/>
        <w:jc w:val="both"/>
      </w:pPr>
      <w:r>
        <w:t>відсоток утриманої суми податку на доходи фізичних осіб та військового збору нижче за 10 відсотків суми виплаченого доходу у вигляді заробітної плати;</w:t>
      </w:r>
    </w:p>
    <w:p w:rsidR="002B2289" w:rsidRDefault="002B2289" w:rsidP="002B2289">
      <w:pPr>
        <w:pStyle w:val="a3"/>
        <w:jc w:val="both"/>
      </w:pPr>
      <w:r>
        <w:t>наявність кредиторської заборгованості з податку на доходи фізичних осіб та військового збору у сумі понад 10 відсотків суми сплаченого податку на доходи фізичних осіб та військового збору у попередньому звітному періоді, але не менше 100 тис. грн;</w:t>
      </w:r>
    </w:p>
    <w:p w:rsidR="002B2289" w:rsidRDefault="002B2289" w:rsidP="002B2289">
      <w:pPr>
        <w:pStyle w:val="a3"/>
        <w:jc w:val="both"/>
      </w:pPr>
      <w:r>
        <w:t>збільшення (зменшення)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 періоду;</w:t>
      </w:r>
    </w:p>
    <w:p w:rsidR="002B2289" w:rsidRDefault="002B2289" w:rsidP="002B2289">
      <w:pPr>
        <w:pStyle w:val="a3"/>
        <w:jc w:val="both"/>
      </w:pPr>
      <w:r>
        <w:t>порушення більше ніж на 30 календарних днів встановлених строків подання звітності з єдиного внеску за шість або більше звітних періодів протягом календарного року;</w:t>
      </w:r>
    </w:p>
    <w:p w:rsidR="002B2289" w:rsidRDefault="002B2289" w:rsidP="002B2289">
      <w:pPr>
        <w:pStyle w:val="a3"/>
        <w:jc w:val="both"/>
      </w:pPr>
      <w:r>
        <w:t>порушення встановлених строків сплати єдиного внеску більше ніж на 365 днів;</w:t>
      </w:r>
    </w:p>
    <w:p w:rsidR="002B2289" w:rsidRDefault="002B2289" w:rsidP="002B2289">
      <w:pPr>
        <w:pStyle w:val="a3"/>
        <w:jc w:val="both"/>
      </w:pPr>
      <w:r>
        <w:t>2) середнього ступеня ризику:</w:t>
      </w:r>
    </w:p>
    <w:p w:rsidR="002B2289" w:rsidRDefault="002B2289" w:rsidP="002B2289">
      <w:pPr>
        <w:pStyle w:val="a3"/>
        <w:jc w:val="both"/>
      </w:pPr>
      <w:r>
        <w:t xml:space="preserve">нарахування та здійснення виплати доходів за ознаками, визначеними </w:t>
      </w:r>
      <w:r>
        <w:rPr>
          <w:color w:val="0000FF"/>
        </w:rPr>
        <w:t>Довідником ознак доходів</w:t>
      </w:r>
      <w:r>
        <w:t>, 101 (заробітна плата, нарахована (виплачена)) та/або 102 (виплати відповідно до умов цивільно-правового договору), у сумі від 20 до 40 мінімальних зарплат без утримання, перерахування до бюджету податку на доходи фізичних осіб, військового збору та/або єдиного внеску;</w:t>
      </w:r>
    </w:p>
    <w:p w:rsidR="002B2289" w:rsidRDefault="002B2289" w:rsidP="002B2289">
      <w:pPr>
        <w:pStyle w:val="a3"/>
        <w:jc w:val="both"/>
      </w:pPr>
      <w:r>
        <w:t>здійснення виплати громадянам протягом</w:t>
      </w:r>
      <w:r>
        <w:rPr>
          <w:b/>
          <w:bCs/>
        </w:rPr>
        <w:t xml:space="preserve"> </w:t>
      </w:r>
      <w:r>
        <w:t xml:space="preserve">попереднього звітного кварталу доходів від продажу сільськогосподарської продукції (ознака доходу 148, визначена </w:t>
      </w:r>
      <w:r>
        <w:rPr>
          <w:color w:val="0000FF"/>
        </w:rPr>
        <w:t>Довідником ознак доходів</w:t>
      </w:r>
      <w:r>
        <w:t>) у сумі понад 40 мінімальних зарплат без утримання та сплати податку на доходи фізичних осіб, військового збору;</w:t>
      </w:r>
    </w:p>
    <w:p w:rsidR="002B2289" w:rsidRDefault="002B2289" w:rsidP="002B2289">
      <w:pPr>
        <w:pStyle w:val="a3"/>
        <w:jc w:val="both"/>
      </w:pPr>
      <w:r>
        <w:lastRenderedPageBreak/>
        <w:t>кількість найманих працівників на сільськогосподарських підприємствах менше 5 осіб за наявності у власності та/або оренді земельних ділянок площею понад 10 га, доходу за попередній звітний період у сумі понад 1 млн грн;</w:t>
      </w:r>
    </w:p>
    <w:p w:rsidR="002B2289" w:rsidRDefault="002B2289" w:rsidP="002B2289">
      <w:pPr>
        <w:pStyle w:val="a3"/>
        <w:jc w:val="both"/>
      </w:pPr>
      <w:r>
        <w:t>кількість найманих працівників на підприємствах будівельної галузі менше 5 осіб за наявності відведених у поточному та/або попередньому звітному роках земельних ділянок площею понад 0,5 га;</w:t>
      </w:r>
    </w:p>
    <w:p w:rsidR="002B2289" w:rsidRDefault="002B2289" w:rsidP="002B2289">
      <w:pPr>
        <w:pStyle w:val="a3"/>
        <w:jc w:val="both"/>
      </w:pPr>
      <w:r>
        <w:t>наявність кредиторської заборгованості з податку на доходи фізичних осіб та військового збору у сумі понад 10 відсотків суми сплаченого податку на доходи фізичних осіб та військового збору у попередньому звітному періоді, але не менше 50 та не більше 100 тис. грн;</w:t>
      </w:r>
    </w:p>
    <w:p w:rsidR="002B2289" w:rsidRDefault="002B2289" w:rsidP="002B2289">
      <w:pPr>
        <w:pStyle w:val="a3"/>
        <w:jc w:val="both"/>
      </w:pPr>
      <w:r>
        <w:t>збільшення (зменшення) у звітності суми нарахованого єдиного внеску за попередні періоди на 10 - 20 відсотків загальної суми нарахованого єдиного внеску за останні 12 місяців, що передують звітному періоду;</w:t>
      </w:r>
    </w:p>
    <w:p w:rsidR="002B2289" w:rsidRDefault="002B2289" w:rsidP="002B2289">
      <w:pPr>
        <w:pStyle w:val="a3"/>
        <w:jc w:val="both"/>
      </w:pPr>
      <w:r>
        <w:t>порушення встановлених строків сплати єдиного внеску на 180 - 365 днів;</w:t>
      </w:r>
    </w:p>
    <w:p w:rsidR="002B2289" w:rsidRDefault="002B2289" w:rsidP="002B2289">
      <w:pPr>
        <w:pStyle w:val="a3"/>
        <w:jc w:val="both"/>
      </w:pPr>
      <w:r>
        <w:t>3) незначного ступеня ризику:</w:t>
      </w:r>
    </w:p>
    <w:p w:rsidR="002B2289" w:rsidRDefault="002B2289" w:rsidP="002B2289">
      <w:pPr>
        <w:pStyle w:val="a3"/>
        <w:jc w:val="both"/>
      </w:pPr>
      <w:r>
        <w:t xml:space="preserve">нарахування та виплата доходів за ознаками, визначеними </w:t>
      </w:r>
      <w:r>
        <w:rPr>
          <w:color w:val="0000FF"/>
        </w:rPr>
        <w:t>Довідником ознак доходів</w:t>
      </w:r>
      <w:r>
        <w:t>, 101 (заробітна плата, нарахована (виплачена)) та/або 102 (виплати відповідно до умов цивільно-правового договору), у сумі від 5 до 20 мінімальних зарплат без утримання, перерахування до бюджету податку на доходи фізичних осіб, військового збору та/або єдиного внеску;</w:t>
      </w:r>
    </w:p>
    <w:p w:rsidR="002B2289" w:rsidRDefault="002B2289" w:rsidP="002B2289">
      <w:pPr>
        <w:pStyle w:val="a3"/>
        <w:jc w:val="both"/>
      </w:pPr>
      <w:r>
        <w:t>кількість найманих працівників менше кількості зареєстрованих реєстраторів розрахункових операцій (окремо на господарську одиницю);</w:t>
      </w:r>
    </w:p>
    <w:p w:rsidR="002B2289" w:rsidRDefault="002B2289" w:rsidP="002B2289">
      <w:pPr>
        <w:pStyle w:val="a3"/>
        <w:jc w:val="both"/>
      </w:pPr>
      <w:r>
        <w:t>наявність кредиторської заборгованості з податку на доходи фізичних осіб та військового збору у сумі понад 10 відсотків суми сплаченого податку на доходи фізичних осіб та військового збору у попередньому звітному періоді, але не менше 10 та не більше 50 тис. грн;</w:t>
      </w:r>
    </w:p>
    <w:p w:rsidR="002B2289" w:rsidRDefault="002B2289" w:rsidP="002B2289">
      <w:pPr>
        <w:pStyle w:val="a3"/>
        <w:jc w:val="both"/>
      </w:pPr>
      <w:r>
        <w:t>збільшення (зменшення) у звітності суми нарахованого єдиного внеску за попередні періоди менше 10 відсотків загальної суми нарахованого єдиного внеску за останні 12 місяців, що передують звітному періоду;</w:t>
      </w:r>
    </w:p>
    <w:p w:rsidR="002B2289" w:rsidRDefault="002B2289" w:rsidP="002B2289">
      <w:pPr>
        <w:pStyle w:val="a3"/>
        <w:jc w:val="both"/>
      </w:pPr>
      <w:r>
        <w:t xml:space="preserve">порушення більше ніж на 30 календарних днів встановлених строків подання звітності з єдиного внеску за три або більше звітні періоди протягом календарного року; </w:t>
      </w:r>
    </w:p>
    <w:p w:rsidR="002B2289" w:rsidRDefault="002B2289" w:rsidP="002B2289">
      <w:pPr>
        <w:pStyle w:val="a3"/>
        <w:jc w:val="both"/>
      </w:pPr>
      <w:r>
        <w:t>порушення встановлених строків сплати єдиного внеску на 30 - 180 днів.</w:t>
      </w:r>
    </w:p>
    <w:p w:rsidR="002B2289" w:rsidRDefault="002B2289" w:rsidP="002B2289">
      <w:pPr>
        <w:pStyle w:val="a3"/>
        <w:jc w:val="both"/>
      </w:pPr>
      <w:r>
        <w:t> </w:t>
      </w:r>
    </w:p>
    <w:tbl>
      <w:tblPr>
        <w:tblW w:w="5000" w:type="pct"/>
        <w:tblCellSpacing w:w="22" w:type="dxa"/>
        <w:tblCellMar>
          <w:top w:w="30" w:type="dxa"/>
          <w:left w:w="30" w:type="dxa"/>
          <w:bottom w:w="30" w:type="dxa"/>
          <w:right w:w="30" w:type="dxa"/>
        </w:tblCellMar>
        <w:tblLook w:val="04A0"/>
      </w:tblPr>
      <w:tblGrid>
        <w:gridCol w:w="4751"/>
        <w:gridCol w:w="4752"/>
      </w:tblGrid>
      <w:tr w:rsidR="002B2289" w:rsidRPr="00B02735" w:rsidTr="00EF2158">
        <w:trPr>
          <w:tblCellSpacing w:w="22" w:type="dxa"/>
        </w:trPr>
        <w:tc>
          <w:tcPr>
            <w:tcW w:w="2500" w:type="pct"/>
            <w:vAlign w:val="bottom"/>
            <w:hideMark/>
          </w:tcPr>
          <w:p w:rsidR="002B2289" w:rsidRPr="00B02735" w:rsidRDefault="002B2289" w:rsidP="00EF2158">
            <w:pPr>
              <w:pStyle w:val="a3"/>
              <w:jc w:val="center"/>
            </w:pPr>
            <w:r w:rsidRPr="00B02735">
              <w:rPr>
                <w:b/>
                <w:bCs/>
              </w:rPr>
              <w:t>В. о. директора Департаменту</w:t>
            </w:r>
            <w:r w:rsidRPr="00B02735">
              <w:br/>
            </w:r>
            <w:r w:rsidRPr="00B02735">
              <w:rPr>
                <w:b/>
                <w:bCs/>
              </w:rPr>
              <w:t>податкової політики</w:t>
            </w:r>
          </w:p>
        </w:tc>
        <w:tc>
          <w:tcPr>
            <w:tcW w:w="2500" w:type="pct"/>
            <w:vAlign w:val="bottom"/>
            <w:hideMark/>
          </w:tcPr>
          <w:p w:rsidR="002B2289" w:rsidRPr="00B02735" w:rsidRDefault="002B2289" w:rsidP="00EF2158">
            <w:pPr>
              <w:pStyle w:val="a3"/>
              <w:jc w:val="center"/>
            </w:pPr>
            <w:r w:rsidRPr="00B02735">
              <w:rPr>
                <w:b/>
                <w:bCs/>
              </w:rPr>
              <w:t>В. П. Овчаренко</w:t>
            </w:r>
          </w:p>
        </w:tc>
      </w:tr>
    </w:tbl>
    <w:p w:rsidR="00A15D74" w:rsidRPr="002B2289" w:rsidRDefault="002B2289" w:rsidP="002B2289">
      <w:pPr>
        <w:pStyle w:val="a3"/>
        <w:jc w:val="both"/>
        <w:rPr>
          <w:lang w:val="en-US"/>
        </w:rPr>
      </w:pPr>
      <w:r>
        <w:br w:type="textWrapping" w:clear="all"/>
      </w:r>
    </w:p>
    <w:sectPr w:rsidR="00A15D74" w:rsidRPr="002B2289" w:rsidSect="00A15D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compat/>
  <w:rsids>
    <w:rsidRoot w:val="002B2289"/>
    <w:rsid w:val="00000229"/>
    <w:rsid w:val="000007DA"/>
    <w:rsid w:val="00000B8D"/>
    <w:rsid w:val="00001251"/>
    <w:rsid w:val="0000181F"/>
    <w:rsid w:val="00001E0E"/>
    <w:rsid w:val="00001F47"/>
    <w:rsid w:val="00001F80"/>
    <w:rsid w:val="00002A64"/>
    <w:rsid w:val="00002CD3"/>
    <w:rsid w:val="00002E2C"/>
    <w:rsid w:val="00002E9D"/>
    <w:rsid w:val="00003052"/>
    <w:rsid w:val="000035A6"/>
    <w:rsid w:val="000035C6"/>
    <w:rsid w:val="000036AB"/>
    <w:rsid w:val="000036C2"/>
    <w:rsid w:val="00003F40"/>
    <w:rsid w:val="00003FE3"/>
    <w:rsid w:val="000048DC"/>
    <w:rsid w:val="00004C1A"/>
    <w:rsid w:val="00004CC6"/>
    <w:rsid w:val="00004E6C"/>
    <w:rsid w:val="0000532C"/>
    <w:rsid w:val="000058C5"/>
    <w:rsid w:val="000064A6"/>
    <w:rsid w:val="00006BEA"/>
    <w:rsid w:val="000075BE"/>
    <w:rsid w:val="000079A1"/>
    <w:rsid w:val="00007AD2"/>
    <w:rsid w:val="000102B2"/>
    <w:rsid w:val="0001072A"/>
    <w:rsid w:val="00010995"/>
    <w:rsid w:val="00011109"/>
    <w:rsid w:val="00011420"/>
    <w:rsid w:val="00011456"/>
    <w:rsid w:val="0001145D"/>
    <w:rsid w:val="00011C89"/>
    <w:rsid w:val="00011F28"/>
    <w:rsid w:val="0001283A"/>
    <w:rsid w:val="00012968"/>
    <w:rsid w:val="00012C52"/>
    <w:rsid w:val="00012C9C"/>
    <w:rsid w:val="00012DD2"/>
    <w:rsid w:val="00013679"/>
    <w:rsid w:val="00013B2C"/>
    <w:rsid w:val="00013DD0"/>
    <w:rsid w:val="000140B9"/>
    <w:rsid w:val="000142C9"/>
    <w:rsid w:val="00014471"/>
    <w:rsid w:val="000146CB"/>
    <w:rsid w:val="000147BA"/>
    <w:rsid w:val="00014965"/>
    <w:rsid w:val="00014B32"/>
    <w:rsid w:val="00014F95"/>
    <w:rsid w:val="000152C6"/>
    <w:rsid w:val="0001548C"/>
    <w:rsid w:val="000159D2"/>
    <w:rsid w:val="00015CB9"/>
    <w:rsid w:val="00015CC6"/>
    <w:rsid w:val="00015E5E"/>
    <w:rsid w:val="00015F00"/>
    <w:rsid w:val="0001607A"/>
    <w:rsid w:val="00016D5C"/>
    <w:rsid w:val="000171C5"/>
    <w:rsid w:val="00017C28"/>
    <w:rsid w:val="00017D9F"/>
    <w:rsid w:val="000201B7"/>
    <w:rsid w:val="00020205"/>
    <w:rsid w:val="00020550"/>
    <w:rsid w:val="000209FB"/>
    <w:rsid w:val="00020E36"/>
    <w:rsid w:val="00020F8C"/>
    <w:rsid w:val="0002106E"/>
    <w:rsid w:val="000211ED"/>
    <w:rsid w:val="00021512"/>
    <w:rsid w:val="0002161D"/>
    <w:rsid w:val="00021686"/>
    <w:rsid w:val="00022DD9"/>
    <w:rsid w:val="00023263"/>
    <w:rsid w:val="0002328A"/>
    <w:rsid w:val="000237C5"/>
    <w:rsid w:val="00023CBC"/>
    <w:rsid w:val="000243A5"/>
    <w:rsid w:val="00024876"/>
    <w:rsid w:val="00024B2D"/>
    <w:rsid w:val="00024C02"/>
    <w:rsid w:val="00024E7C"/>
    <w:rsid w:val="00025341"/>
    <w:rsid w:val="00025851"/>
    <w:rsid w:val="00025A44"/>
    <w:rsid w:val="00025B38"/>
    <w:rsid w:val="00025BCA"/>
    <w:rsid w:val="0002648E"/>
    <w:rsid w:val="0002657A"/>
    <w:rsid w:val="000267DA"/>
    <w:rsid w:val="00026AF1"/>
    <w:rsid w:val="0002741D"/>
    <w:rsid w:val="00027AE0"/>
    <w:rsid w:val="00027CF8"/>
    <w:rsid w:val="00027EA6"/>
    <w:rsid w:val="0003061E"/>
    <w:rsid w:val="000307A1"/>
    <w:rsid w:val="00030DF0"/>
    <w:rsid w:val="00030E5C"/>
    <w:rsid w:val="000313FE"/>
    <w:rsid w:val="00031934"/>
    <w:rsid w:val="00031AE5"/>
    <w:rsid w:val="00031BBC"/>
    <w:rsid w:val="00031C03"/>
    <w:rsid w:val="00032075"/>
    <w:rsid w:val="00032519"/>
    <w:rsid w:val="000328CF"/>
    <w:rsid w:val="00033739"/>
    <w:rsid w:val="00033E2F"/>
    <w:rsid w:val="000341B3"/>
    <w:rsid w:val="000343BC"/>
    <w:rsid w:val="0003449A"/>
    <w:rsid w:val="00034799"/>
    <w:rsid w:val="0003492F"/>
    <w:rsid w:val="00034AC9"/>
    <w:rsid w:val="00034D2B"/>
    <w:rsid w:val="000352D5"/>
    <w:rsid w:val="00035CBC"/>
    <w:rsid w:val="000360A6"/>
    <w:rsid w:val="000362AB"/>
    <w:rsid w:val="0003642C"/>
    <w:rsid w:val="0003668F"/>
    <w:rsid w:val="000368AD"/>
    <w:rsid w:val="00036B55"/>
    <w:rsid w:val="00036B9D"/>
    <w:rsid w:val="00036EA6"/>
    <w:rsid w:val="0003707B"/>
    <w:rsid w:val="000373D9"/>
    <w:rsid w:val="000373DB"/>
    <w:rsid w:val="000373FF"/>
    <w:rsid w:val="00037FFE"/>
    <w:rsid w:val="00040094"/>
    <w:rsid w:val="000407FE"/>
    <w:rsid w:val="000408E9"/>
    <w:rsid w:val="00040A9E"/>
    <w:rsid w:val="00040C63"/>
    <w:rsid w:val="00041058"/>
    <w:rsid w:val="0004126F"/>
    <w:rsid w:val="000414FE"/>
    <w:rsid w:val="0004171D"/>
    <w:rsid w:val="00041924"/>
    <w:rsid w:val="000421BB"/>
    <w:rsid w:val="00042220"/>
    <w:rsid w:val="000423F7"/>
    <w:rsid w:val="000427D6"/>
    <w:rsid w:val="0004298C"/>
    <w:rsid w:val="00042B15"/>
    <w:rsid w:val="00043100"/>
    <w:rsid w:val="000434A9"/>
    <w:rsid w:val="000435DA"/>
    <w:rsid w:val="00043835"/>
    <w:rsid w:val="00043B1E"/>
    <w:rsid w:val="00043C25"/>
    <w:rsid w:val="00043DA6"/>
    <w:rsid w:val="00043FF4"/>
    <w:rsid w:val="000441A5"/>
    <w:rsid w:val="000444D9"/>
    <w:rsid w:val="000449FE"/>
    <w:rsid w:val="0004547E"/>
    <w:rsid w:val="000458B3"/>
    <w:rsid w:val="00045CC5"/>
    <w:rsid w:val="00046678"/>
    <w:rsid w:val="00046A05"/>
    <w:rsid w:val="00046E13"/>
    <w:rsid w:val="000471EB"/>
    <w:rsid w:val="000471F3"/>
    <w:rsid w:val="00047251"/>
    <w:rsid w:val="00047D7E"/>
    <w:rsid w:val="000500AD"/>
    <w:rsid w:val="000500D3"/>
    <w:rsid w:val="0005048C"/>
    <w:rsid w:val="0005064B"/>
    <w:rsid w:val="000509FC"/>
    <w:rsid w:val="00050A9E"/>
    <w:rsid w:val="00050BC3"/>
    <w:rsid w:val="00050CF5"/>
    <w:rsid w:val="00050DEE"/>
    <w:rsid w:val="00051010"/>
    <w:rsid w:val="0005142B"/>
    <w:rsid w:val="000515EC"/>
    <w:rsid w:val="000521D4"/>
    <w:rsid w:val="00052546"/>
    <w:rsid w:val="0005257D"/>
    <w:rsid w:val="000526D0"/>
    <w:rsid w:val="000529DD"/>
    <w:rsid w:val="000529F6"/>
    <w:rsid w:val="00052A10"/>
    <w:rsid w:val="00052D77"/>
    <w:rsid w:val="00053109"/>
    <w:rsid w:val="00053208"/>
    <w:rsid w:val="00053226"/>
    <w:rsid w:val="000533CA"/>
    <w:rsid w:val="00053406"/>
    <w:rsid w:val="000535F5"/>
    <w:rsid w:val="00053807"/>
    <w:rsid w:val="00053DA9"/>
    <w:rsid w:val="000540E5"/>
    <w:rsid w:val="000544A7"/>
    <w:rsid w:val="000545CA"/>
    <w:rsid w:val="000548BE"/>
    <w:rsid w:val="00054984"/>
    <w:rsid w:val="0005498B"/>
    <w:rsid w:val="00054A8B"/>
    <w:rsid w:val="00055B21"/>
    <w:rsid w:val="00055C90"/>
    <w:rsid w:val="000561E6"/>
    <w:rsid w:val="00056492"/>
    <w:rsid w:val="000564DF"/>
    <w:rsid w:val="000567FB"/>
    <w:rsid w:val="00056DBC"/>
    <w:rsid w:val="0005712C"/>
    <w:rsid w:val="00057566"/>
    <w:rsid w:val="000578B4"/>
    <w:rsid w:val="00057CF5"/>
    <w:rsid w:val="000601E2"/>
    <w:rsid w:val="00060244"/>
    <w:rsid w:val="00061200"/>
    <w:rsid w:val="00061488"/>
    <w:rsid w:val="0006156F"/>
    <w:rsid w:val="00061806"/>
    <w:rsid w:val="00061DE0"/>
    <w:rsid w:val="00062194"/>
    <w:rsid w:val="0006261E"/>
    <w:rsid w:val="00062AE9"/>
    <w:rsid w:val="00062B07"/>
    <w:rsid w:val="00062DCD"/>
    <w:rsid w:val="00062FC3"/>
    <w:rsid w:val="0006327C"/>
    <w:rsid w:val="0006360A"/>
    <w:rsid w:val="000636EF"/>
    <w:rsid w:val="00063A75"/>
    <w:rsid w:val="00063E29"/>
    <w:rsid w:val="00063EF0"/>
    <w:rsid w:val="000640D7"/>
    <w:rsid w:val="000651C6"/>
    <w:rsid w:val="000652C6"/>
    <w:rsid w:val="000655DF"/>
    <w:rsid w:val="00065622"/>
    <w:rsid w:val="0006586B"/>
    <w:rsid w:val="00065AB7"/>
    <w:rsid w:val="00065B4C"/>
    <w:rsid w:val="00065CBE"/>
    <w:rsid w:val="00065D6D"/>
    <w:rsid w:val="00065FDF"/>
    <w:rsid w:val="000666F0"/>
    <w:rsid w:val="00067037"/>
    <w:rsid w:val="000670A1"/>
    <w:rsid w:val="000672EF"/>
    <w:rsid w:val="000673AD"/>
    <w:rsid w:val="000674CE"/>
    <w:rsid w:val="0006756E"/>
    <w:rsid w:val="0006772A"/>
    <w:rsid w:val="000678E2"/>
    <w:rsid w:val="00067E62"/>
    <w:rsid w:val="000700A5"/>
    <w:rsid w:val="00070113"/>
    <w:rsid w:val="00070288"/>
    <w:rsid w:val="00070AF5"/>
    <w:rsid w:val="00070BF9"/>
    <w:rsid w:val="0007123B"/>
    <w:rsid w:val="00071C25"/>
    <w:rsid w:val="0007266B"/>
    <w:rsid w:val="0007291A"/>
    <w:rsid w:val="00072989"/>
    <w:rsid w:val="00072E6B"/>
    <w:rsid w:val="0007326E"/>
    <w:rsid w:val="00073803"/>
    <w:rsid w:val="00073CF0"/>
    <w:rsid w:val="00073D22"/>
    <w:rsid w:val="0007414F"/>
    <w:rsid w:val="00074178"/>
    <w:rsid w:val="000741E1"/>
    <w:rsid w:val="00074594"/>
    <w:rsid w:val="00074791"/>
    <w:rsid w:val="000747E9"/>
    <w:rsid w:val="00074ABB"/>
    <w:rsid w:val="00074B96"/>
    <w:rsid w:val="00074E80"/>
    <w:rsid w:val="000750B8"/>
    <w:rsid w:val="00075E1B"/>
    <w:rsid w:val="000760D7"/>
    <w:rsid w:val="00076271"/>
    <w:rsid w:val="0007642C"/>
    <w:rsid w:val="00076682"/>
    <w:rsid w:val="0007670F"/>
    <w:rsid w:val="00076886"/>
    <w:rsid w:val="00076891"/>
    <w:rsid w:val="00076B0E"/>
    <w:rsid w:val="00076CE2"/>
    <w:rsid w:val="00076F5F"/>
    <w:rsid w:val="00077062"/>
    <w:rsid w:val="00077526"/>
    <w:rsid w:val="000776B0"/>
    <w:rsid w:val="00077C6A"/>
    <w:rsid w:val="00077CFD"/>
    <w:rsid w:val="00077F50"/>
    <w:rsid w:val="000800EB"/>
    <w:rsid w:val="00080189"/>
    <w:rsid w:val="00081BD5"/>
    <w:rsid w:val="000821FD"/>
    <w:rsid w:val="0008232D"/>
    <w:rsid w:val="000826E7"/>
    <w:rsid w:val="00082C85"/>
    <w:rsid w:val="00082DB5"/>
    <w:rsid w:val="00082F4B"/>
    <w:rsid w:val="000837C9"/>
    <w:rsid w:val="000839B4"/>
    <w:rsid w:val="00083E56"/>
    <w:rsid w:val="000844C7"/>
    <w:rsid w:val="00084775"/>
    <w:rsid w:val="00085529"/>
    <w:rsid w:val="00085825"/>
    <w:rsid w:val="000858D0"/>
    <w:rsid w:val="00085CE8"/>
    <w:rsid w:val="000862F2"/>
    <w:rsid w:val="0008650B"/>
    <w:rsid w:val="00086B0C"/>
    <w:rsid w:val="000872EA"/>
    <w:rsid w:val="00087350"/>
    <w:rsid w:val="000874F0"/>
    <w:rsid w:val="000875B4"/>
    <w:rsid w:val="0008770E"/>
    <w:rsid w:val="000879D7"/>
    <w:rsid w:val="00087C17"/>
    <w:rsid w:val="00087CEF"/>
    <w:rsid w:val="00087DEA"/>
    <w:rsid w:val="00090365"/>
    <w:rsid w:val="00090595"/>
    <w:rsid w:val="00090814"/>
    <w:rsid w:val="00090D68"/>
    <w:rsid w:val="00090FD5"/>
    <w:rsid w:val="0009106F"/>
    <w:rsid w:val="0009138A"/>
    <w:rsid w:val="0009140D"/>
    <w:rsid w:val="000915D2"/>
    <w:rsid w:val="0009163B"/>
    <w:rsid w:val="00091914"/>
    <w:rsid w:val="000919B9"/>
    <w:rsid w:val="00092739"/>
    <w:rsid w:val="0009362B"/>
    <w:rsid w:val="000938A4"/>
    <w:rsid w:val="00093CCD"/>
    <w:rsid w:val="00094FD7"/>
    <w:rsid w:val="00095973"/>
    <w:rsid w:val="000965F1"/>
    <w:rsid w:val="00096FF4"/>
    <w:rsid w:val="00097367"/>
    <w:rsid w:val="0009761F"/>
    <w:rsid w:val="0009785E"/>
    <w:rsid w:val="0009795E"/>
    <w:rsid w:val="00097981"/>
    <w:rsid w:val="00097CB4"/>
    <w:rsid w:val="000A02B1"/>
    <w:rsid w:val="000A033A"/>
    <w:rsid w:val="000A038C"/>
    <w:rsid w:val="000A082F"/>
    <w:rsid w:val="000A0AB9"/>
    <w:rsid w:val="000A0E54"/>
    <w:rsid w:val="000A1638"/>
    <w:rsid w:val="000A174D"/>
    <w:rsid w:val="000A2370"/>
    <w:rsid w:val="000A2538"/>
    <w:rsid w:val="000A2626"/>
    <w:rsid w:val="000A26C1"/>
    <w:rsid w:val="000A2B41"/>
    <w:rsid w:val="000A3452"/>
    <w:rsid w:val="000A347A"/>
    <w:rsid w:val="000A34EF"/>
    <w:rsid w:val="000A36F9"/>
    <w:rsid w:val="000A3B14"/>
    <w:rsid w:val="000A3C2A"/>
    <w:rsid w:val="000A3C32"/>
    <w:rsid w:val="000A3FBA"/>
    <w:rsid w:val="000A4118"/>
    <w:rsid w:val="000A41D9"/>
    <w:rsid w:val="000A4EA8"/>
    <w:rsid w:val="000A56D2"/>
    <w:rsid w:val="000A57A0"/>
    <w:rsid w:val="000A5989"/>
    <w:rsid w:val="000A663B"/>
    <w:rsid w:val="000A6658"/>
    <w:rsid w:val="000A66FD"/>
    <w:rsid w:val="000A6A03"/>
    <w:rsid w:val="000A6EE6"/>
    <w:rsid w:val="000A6F58"/>
    <w:rsid w:val="000A7076"/>
    <w:rsid w:val="000A7510"/>
    <w:rsid w:val="000B027B"/>
    <w:rsid w:val="000B03E3"/>
    <w:rsid w:val="000B04EE"/>
    <w:rsid w:val="000B067B"/>
    <w:rsid w:val="000B08D2"/>
    <w:rsid w:val="000B0B08"/>
    <w:rsid w:val="000B0E13"/>
    <w:rsid w:val="000B0E50"/>
    <w:rsid w:val="000B1224"/>
    <w:rsid w:val="000B12F2"/>
    <w:rsid w:val="000B18E2"/>
    <w:rsid w:val="000B27E3"/>
    <w:rsid w:val="000B2B08"/>
    <w:rsid w:val="000B2EA0"/>
    <w:rsid w:val="000B2FD3"/>
    <w:rsid w:val="000B3093"/>
    <w:rsid w:val="000B33CB"/>
    <w:rsid w:val="000B3564"/>
    <w:rsid w:val="000B36F4"/>
    <w:rsid w:val="000B3705"/>
    <w:rsid w:val="000B3B0E"/>
    <w:rsid w:val="000B3DC6"/>
    <w:rsid w:val="000B3EE3"/>
    <w:rsid w:val="000B3FB1"/>
    <w:rsid w:val="000B4006"/>
    <w:rsid w:val="000B4618"/>
    <w:rsid w:val="000B47C9"/>
    <w:rsid w:val="000B4CE6"/>
    <w:rsid w:val="000B5049"/>
    <w:rsid w:val="000B5A42"/>
    <w:rsid w:val="000B5DCB"/>
    <w:rsid w:val="000B5ED0"/>
    <w:rsid w:val="000B6F5B"/>
    <w:rsid w:val="000B7117"/>
    <w:rsid w:val="000B76DF"/>
    <w:rsid w:val="000B7DA8"/>
    <w:rsid w:val="000C02F4"/>
    <w:rsid w:val="000C035F"/>
    <w:rsid w:val="000C048A"/>
    <w:rsid w:val="000C052D"/>
    <w:rsid w:val="000C08C1"/>
    <w:rsid w:val="000C0AC5"/>
    <w:rsid w:val="000C12B0"/>
    <w:rsid w:val="000C16F4"/>
    <w:rsid w:val="000C1869"/>
    <w:rsid w:val="000C1A95"/>
    <w:rsid w:val="000C20E9"/>
    <w:rsid w:val="000C2C4C"/>
    <w:rsid w:val="000C2EE9"/>
    <w:rsid w:val="000C31C0"/>
    <w:rsid w:val="000C357E"/>
    <w:rsid w:val="000C3614"/>
    <w:rsid w:val="000C3DCE"/>
    <w:rsid w:val="000C3EE2"/>
    <w:rsid w:val="000C3FE6"/>
    <w:rsid w:val="000C459B"/>
    <w:rsid w:val="000C4930"/>
    <w:rsid w:val="000C4BA2"/>
    <w:rsid w:val="000C4E40"/>
    <w:rsid w:val="000C4FB4"/>
    <w:rsid w:val="000C4FF6"/>
    <w:rsid w:val="000C5356"/>
    <w:rsid w:val="000C5767"/>
    <w:rsid w:val="000C580C"/>
    <w:rsid w:val="000C5A5D"/>
    <w:rsid w:val="000C5D10"/>
    <w:rsid w:val="000C5DBC"/>
    <w:rsid w:val="000C5DE0"/>
    <w:rsid w:val="000C5F65"/>
    <w:rsid w:val="000C61F3"/>
    <w:rsid w:val="000C672F"/>
    <w:rsid w:val="000C674C"/>
    <w:rsid w:val="000C6790"/>
    <w:rsid w:val="000C6AB8"/>
    <w:rsid w:val="000C6DC9"/>
    <w:rsid w:val="000C7402"/>
    <w:rsid w:val="000C7862"/>
    <w:rsid w:val="000C7A14"/>
    <w:rsid w:val="000C7B15"/>
    <w:rsid w:val="000C7E56"/>
    <w:rsid w:val="000C7FF0"/>
    <w:rsid w:val="000D0075"/>
    <w:rsid w:val="000D03C6"/>
    <w:rsid w:val="000D05FD"/>
    <w:rsid w:val="000D0611"/>
    <w:rsid w:val="000D0CCF"/>
    <w:rsid w:val="000D1185"/>
    <w:rsid w:val="000D12D0"/>
    <w:rsid w:val="000D14FD"/>
    <w:rsid w:val="000D188E"/>
    <w:rsid w:val="000D199D"/>
    <w:rsid w:val="000D1F6B"/>
    <w:rsid w:val="000D24AB"/>
    <w:rsid w:val="000D2920"/>
    <w:rsid w:val="000D2E65"/>
    <w:rsid w:val="000D2EE6"/>
    <w:rsid w:val="000D36F3"/>
    <w:rsid w:val="000D3824"/>
    <w:rsid w:val="000D3AC5"/>
    <w:rsid w:val="000D402B"/>
    <w:rsid w:val="000D420E"/>
    <w:rsid w:val="000D54A2"/>
    <w:rsid w:val="000D5500"/>
    <w:rsid w:val="000D5877"/>
    <w:rsid w:val="000D5DE1"/>
    <w:rsid w:val="000D5E2D"/>
    <w:rsid w:val="000D612A"/>
    <w:rsid w:val="000D648C"/>
    <w:rsid w:val="000D69C8"/>
    <w:rsid w:val="000D6F09"/>
    <w:rsid w:val="000D7026"/>
    <w:rsid w:val="000D7341"/>
    <w:rsid w:val="000D7FF6"/>
    <w:rsid w:val="000E079F"/>
    <w:rsid w:val="000E07EB"/>
    <w:rsid w:val="000E0970"/>
    <w:rsid w:val="000E09C2"/>
    <w:rsid w:val="000E0F32"/>
    <w:rsid w:val="000E10AB"/>
    <w:rsid w:val="000E1559"/>
    <w:rsid w:val="000E16F5"/>
    <w:rsid w:val="000E1782"/>
    <w:rsid w:val="000E1BFF"/>
    <w:rsid w:val="000E1D2B"/>
    <w:rsid w:val="000E20FC"/>
    <w:rsid w:val="000E217C"/>
    <w:rsid w:val="000E26AD"/>
    <w:rsid w:val="000E2F51"/>
    <w:rsid w:val="000E2F86"/>
    <w:rsid w:val="000E2FE5"/>
    <w:rsid w:val="000E30AE"/>
    <w:rsid w:val="000E31FD"/>
    <w:rsid w:val="000E341A"/>
    <w:rsid w:val="000E3447"/>
    <w:rsid w:val="000E34DB"/>
    <w:rsid w:val="000E3CE4"/>
    <w:rsid w:val="000E3DCE"/>
    <w:rsid w:val="000E4013"/>
    <w:rsid w:val="000E4448"/>
    <w:rsid w:val="000E45F4"/>
    <w:rsid w:val="000E498A"/>
    <w:rsid w:val="000E4A87"/>
    <w:rsid w:val="000E4E0C"/>
    <w:rsid w:val="000E52F5"/>
    <w:rsid w:val="000E5511"/>
    <w:rsid w:val="000E567A"/>
    <w:rsid w:val="000E5BC0"/>
    <w:rsid w:val="000E5BE6"/>
    <w:rsid w:val="000E5FEF"/>
    <w:rsid w:val="000E6034"/>
    <w:rsid w:val="000E6134"/>
    <w:rsid w:val="000E6421"/>
    <w:rsid w:val="000E689D"/>
    <w:rsid w:val="000E68BC"/>
    <w:rsid w:val="000E6ABA"/>
    <w:rsid w:val="000E6B1A"/>
    <w:rsid w:val="000E7413"/>
    <w:rsid w:val="000F044E"/>
    <w:rsid w:val="000F05F1"/>
    <w:rsid w:val="000F0CA5"/>
    <w:rsid w:val="000F0DD2"/>
    <w:rsid w:val="000F113F"/>
    <w:rsid w:val="000F13B4"/>
    <w:rsid w:val="000F1B62"/>
    <w:rsid w:val="000F1B8D"/>
    <w:rsid w:val="000F1D2F"/>
    <w:rsid w:val="000F2030"/>
    <w:rsid w:val="000F2697"/>
    <w:rsid w:val="000F284A"/>
    <w:rsid w:val="000F296F"/>
    <w:rsid w:val="000F30A4"/>
    <w:rsid w:val="000F3423"/>
    <w:rsid w:val="000F3433"/>
    <w:rsid w:val="000F392D"/>
    <w:rsid w:val="000F398C"/>
    <w:rsid w:val="000F3CB5"/>
    <w:rsid w:val="000F3EA5"/>
    <w:rsid w:val="000F41E8"/>
    <w:rsid w:val="000F4D33"/>
    <w:rsid w:val="000F560B"/>
    <w:rsid w:val="000F58AC"/>
    <w:rsid w:val="000F5A4E"/>
    <w:rsid w:val="000F5B8C"/>
    <w:rsid w:val="000F6146"/>
    <w:rsid w:val="000F6D0C"/>
    <w:rsid w:val="000F6D65"/>
    <w:rsid w:val="000F6F47"/>
    <w:rsid w:val="000F7477"/>
    <w:rsid w:val="000F754D"/>
    <w:rsid w:val="000F75B3"/>
    <w:rsid w:val="000F77E3"/>
    <w:rsid w:val="0010017B"/>
    <w:rsid w:val="0010026D"/>
    <w:rsid w:val="00100AD8"/>
    <w:rsid w:val="00100D27"/>
    <w:rsid w:val="00101181"/>
    <w:rsid w:val="00101338"/>
    <w:rsid w:val="00101C17"/>
    <w:rsid w:val="001021BF"/>
    <w:rsid w:val="00102466"/>
    <w:rsid w:val="001027FA"/>
    <w:rsid w:val="00103070"/>
    <w:rsid w:val="001032C7"/>
    <w:rsid w:val="00103732"/>
    <w:rsid w:val="00104313"/>
    <w:rsid w:val="00104A37"/>
    <w:rsid w:val="0010535B"/>
    <w:rsid w:val="001053DA"/>
    <w:rsid w:val="00105937"/>
    <w:rsid w:val="00105AF0"/>
    <w:rsid w:val="00105BBD"/>
    <w:rsid w:val="00105E6A"/>
    <w:rsid w:val="00106198"/>
    <w:rsid w:val="00106233"/>
    <w:rsid w:val="001062BB"/>
    <w:rsid w:val="00106938"/>
    <w:rsid w:val="00106A01"/>
    <w:rsid w:val="00106FBB"/>
    <w:rsid w:val="001073C5"/>
    <w:rsid w:val="00107576"/>
    <w:rsid w:val="00107655"/>
    <w:rsid w:val="001076BF"/>
    <w:rsid w:val="00107DEE"/>
    <w:rsid w:val="001107F1"/>
    <w:rsid w:val="00110DE1"/>
    <w:rsid w:val="00111008"/>
    <w:rsid w:val="001110C0"/>
    <w:rsid w:val="00111295"/>
    <w:rsid w:val="00111771"/>
    <w:rsid w:val="0011190D"/>
    <w:rsid w:val="001119C2"/>
    <w:rsid w:val="00111A67"/>
    <w:rsid w:val="00111DAD"/>
    <w:rsid w:val="00111DFD"/>
    <w:rsid w:val="001121D0"/>
    <w:rsid w:val="0011244C"/>
    <w:rsid w:val="001128D3"/>
    <w:rsid w:val="00112B65"/>
    <w:rsid w:val="00112CB3"/>
    <w:rsid w:val="00113281"/>
    <w:rsid w:val="001134EB"/>
    <w:rsid w:val="00114197"/>
    <w:rsid w:val="0011499E"/>
    <w:rsid w:val="00114B41"/>
    <w:rsid w:val="00114D30"/>
    <w:rsid w:val="00114DCC"/>
    <w:rsid w:val="00114F5D"/>
    <w:rsid w:val="0011506F"/>
    <w:rsid w:val="0011529A"/>
    <w:rsid w:val="00115F35"/>
    <w:rsid w:val="001160A1"/>
    <w:rsid w:val="00116121"/>
    <w:rsid w:val="00116447"/>
    <w:rsid w:val="0011697C"/>
    <w:rsid w:val="001170CF"/>
    <w:rsid w:val="00117160"/>
    <w:rsid w:val="001172CB"/>
    <w:rsid w:val="0011786D"/>
    <w:rsid w:val="00117D09"/>
    <w:rsid w:val="00117D1C"/>
    <w:rsid w:val="0012016D"/>
    <w:rsid w:val="00120304"/>
    <w:rsid w:val="00120517"/>
    <w:rsid w:val="00121373"/>
    <w:rsid w:val="00121377"/>
    <w:rsid w:val="0012156C"/>
    <w:rsid w:val="00121DED"/>
    <w:rsid w:val="00122103"/>
    <w:rsid w:val="001223C4"/>
    <w:rsid w:val="0012247D"/>
    <w:rsid w:val="0012267F"/>
    <w:rsid w:val="001228A8"/>
    <w:rsid w:val="001228EE"/>
    <w:rsid w:val="00123047"/>
    <w:rsid w:val="00123075"/>
    <w:rsid w:val="001231D7"/>
    <w:rsid w:val="00123332"/>
    <w:rsid w:val="00123741"/>
    <w:rsid w:val="00123968"/>
    <w:rsid w:val="00123CE1"/>
    <w:rsid w:val="00123D63"/>
    <w:rsid w:val="001244A7"/>
    <w:rsid w:val="00124799"/>
    <w:rsid w:val="001256B1"/>
    <w:rsid w:val="00125FC0"/>
    <w:rsid w:val="001261FF"/>
    <w:rsid w:val="00126501"/>
    <w:rsid w:val="00126681"/>
    <w:rsid w:val="00126A9E"/>
    <w:rsid w:val="00126B0F"/>
    <w:rsid w:val="00127F9E"/>
    <w:rsid w:val="0013008A"/>
    <w:rsid w:val="0013062B"/>
    <w:rsid w:val="00130844"/>
    <w:rsid w:val="00130B7E"/>
    <w:rsid w:val="00130E2D"/>
    <w:rsid w:val="00130EEA"/>
    <w:rsid w:val="00131190"/>
    <w:rsid w:val="001311C1"/>
    <w:rsid w:val="001314F1"/>
    <w:rsid w:val="00131983"/>
    <w:rsid w:val="00131F15"/>
    <w:rsid w:val="001324DB"/>
    <w:rsid w:val="001325D1"/>
    <w:rsid w:val="001327A3"/>
    <w:rsid w:val="00132A2D"/>
    <w:rsid w:val="0013345E"/>
    <w:rsid w:val="00133E07"/>
    <w:rsid w:val="001340DE"/>
    <w:rsid w:val="001343FE"/>
    <w:rsid w:val="00134AD1"/>
    <w:rsid w:val="00134E51"/>
    <w:rsid w:val="00135150"/>
    <w:rsid w:val="0013544A"/>
    <w:rsid w:val="00135453"/>
    <w:rsid w:val="001354E3"/>
    <w:rsid w:val="00135741"/>
    <w:rsid w:val="00135B0D"/>
    <w:rsid w:val="00135C1C"/>
    <w:rsid w:val="00135E95"/>
    <w:rsid w:val="0013605D"/>
    <w:rsid w:val="00136682"/>
    <w:rsid w:val="00136DC2"/>
    <w:rsid w:val="00137753"/>
    <w:rsid w:val="0013775A"/>
    <w:rsid w:val="00137E9A"/>
    <w:rsid w:val="00137FC1"/>
    <w:rsid w:val="001401F5"/>
    <w:rsid w:val="00140225"/>
    <w:rsid w:val="00140307"/>
    <w:rsid w:val="00140916"/>
    <w:rsid w:val="00140BB9"/>
    <w:rsid w:val="00140DA7"/>
    <w:rsid w:val="001410B9"/>
    <w:rsid w:val="001411BD"/>
    <w:rsid w:val="001413A3"/>
    <w:rsid w:val="001416FD"/>
    <w:rsid w:val="001417CA"/>
    <w:rsid w:val="001419E0"/>
    <w:rsid w:val="00141C68"/>
    <w:rsid w:val="00141E6C"/>
    <w:rsid w:val="00142198"/>
    <w:rsid w:val="0014228E"/>
    <w:rsid w:val="001422D9"/>
    <w:rsid w:val="001424DD"/>
    <w:rsid w:val="0014260A"/>
    <w:rsid w:val="001428D8"/>
    <w:rsid w:val="00142954"/>
    <w:rsid w:val="00142AD7"/>
    <w:rsid w:val="00142B35"/>
    <w:rsid w:val="001432F1"/>
    <w:rsid w:val="0014344C"/>
    <w:rsid w:val="00144229"/>
    <w:rsid w:val="00144653"/>
    <w:rsid w:val="00144C5D"/>
    <w:rsid w:val="00144CA5"/>
    <w:rsid w:val="00144E95"/>
    <w:rsid w:val="00144ED2"/>
    <w:rsid w:val="001452C2"/>
    <w:rsid w:val="001454A7"/>
    <w:rsid w:val="001462B7"/>
    <w:rsid w:val="001469DB"/>
    <w:rsid w:val="0014735E"/>
    <w:rsid w:val="0014784D"/>
    <w:rsid w:val="001478C3"/>
    <w:rsid w:val="00147B1E"/>
    <w:rsid w:val="001507E0"/>
    <w:rsid w:val="001507E7"/>
    <w:rsid w:val="00150BAB"/>
    <w:rsid w:val="001510B4"/>
    <w:rsid w:val="001516BF"/>
    <w:rsid w:val="00151821"/>
    <w:rsid w:val="00151A9D"/>
    <w:rsid w:val="00151C9E"/>
    <w:rsid w:val="00151E35"/>
    <w:rsid w:val="001520BF"/>
    <w:rsid w:val="00152388"/>
    <w:rsid w:val="001523DF"/>
    <w:rsid w:val="00152A11"/>
    <w:rsid w:val="00152AEF"/>
    <w:rsid w:val="00152DF0"/>
    <w:rsid w:val="001532FD"/>
    <w:rsid w:val="00153676"/>
    <w:rsid w:val="001537E2"/>
    <w:rsid w:val="00153B46"/>
    <w:rsid w:val="00153BCA"/>
    <w:rsid w:val="00153C35"/>
    <w:rsid w:val="0015403D"/>
    <w:rsid w:val="001545AA"/>
    <w:rsid w:val="001545AE"/>
    <w:rsid w:val="00155494"/>
    <w:rsid w:val="0015599E"/>
    <w:rsid w:val="00155B4E"/>
    <w:rsid w:val="00155D3D"/>
    <w:rsid w:val="0015606F"/>
    <w:rsid w:val="00156255"/>
    <w:rsid w:val="00156496"/>
    <w:rsid w:val="00156BA8"/>
    <w:rsid w:val="00156BEF"/>
    <w:rsid w:val="001574BB"/>
    <w:rsid w:val="00157517"/>
    <w:rsid w:val="001577F4"/>
    <w:rsid w:val="00157889"/>
    <w:rsid w:val="001578BF"/>
    <w:rsid w:val="00157D6B"/>
    <w:rsid w:val="00157F05"/>
    <w:rsid w:val="00160BAE"/>
    <w:rsid w:val="00161013"/>
    <w:rsid w:val="001616D0"/>
    <w:rsid w:val="00161C23"/>
    <w:rsid w:val="00161C3E"/>
    <w:rsid w:val="00161D9D"/>
    <w:rsid w:val="00161FA9"/>
    <w:rsid w:val="00161FAB"/>
    <w:rsid w:val="001620E1"/>
    <w:rsid w:val="00162198"/>
    <w:rsid w:val="001622DD"/>
    <w:rsid w:val="0016253F"/>
    <w:rsid w:val="00163C0B"/>
    <w:rsid w:val="00163D6D"/>
    <w:rsid w:val="00164068"/>
    <w:rsid w:val="001640D8"/>
    <w:rsid w:val="00164182"/>
    <w:rsid w:val="00164798"/>
    <w:rsid w:val="00164862"/>
    <w:rsid w:val="00164C7F"/>
    <w:rsid w:val="0016547F"/>
    <w:rsid w:val="00165FFC"/>
    <w:rsid w:val="0016616E"/>
    <w:rsid w:val="00166470"/>
    <w:rsid w:val="00166579"/>
    <w:rsid w:val="001667A7"/>
    <w:rsid w:val="00167266"/>
    <w:rsid w:val="00167793"/>
    <w:rsid w:val="0017000A"/>
    <w:rsid w:val="001701D8"/>
    <w:rsid w:val="001706C7"/>
    <w:rsid w:val="001706CA"/>
    <w:rsid w:val="0017083E"/>
    <w:rsid w:val="00170E64"/>
    <w:rsid w:val="001712C5"/>
    <w:rsid w:val="0017134E"/>
    <w:rsid w:val="0017139F"/>
    <w:rsid w:val="001713F1"/>
    <w:rsid w:val="00171413"/>
    <w:rsid w:val="001716EF"/>
    <w:rsid w:val="00171952"/>
    <w:rsid w:val="001719BE"/>
    <w:rsid w:val="00171C8F"/>
    <w:rsid w:val="00171D2B"/>
    <w:rsid w:val="00171DA7"/>
    <w:rsid w:val="00171DC6"/>
    <w:rsid w:val="001724A5"/>
    <w:rsid w:val="001727ED"/>
    <w:rsid w:val="00172A8C"/>
    <w:rsid w:val="00172AFA"/>
    <w:rsid w:val="00172F29"/>
    <w:rsid w:val="00172FA3"/>
    <w:rsid w:val="0017305B"/>
    <w:rsid w:val="00173442"/>
    <w:rsid w:val="00173ACC"/>
    <w:rsid w:val="00173B01"/>
    <w:rsid w:val="00173BED"/>
    <w:rsid w:val="00174742"/>
    <w:rsid w:val="00174DD4"/>
    <w:rsid w:val="00175D0D"/>
    <w:rsid w:val="00175DAF"/>
    <w:rsid w:val="00176324"/>
    <w:rsid w:val="00176669"/>
    <w:rsid w:val="00176802"/>
    <w:rsid w:val="001768F8"/>
    <w:rsid w:val="00176EBF"/>
    <w:rsid w:val="00177387"/>
    <w:rsid w:val="00177584"/>
    <w:rsid w:val="0017786D"/>
    <w:rsid w:val="00177F3D"/>
    <w:rsid w:val="00180281"/>
    <w:rsid w:val="00180612"/>
    <w:rsid w:val="00180834"/>
    <w:rsid w:val="00180837"/>
    <w:rsid w:val="00180910"/>
    <w:rsid w:val="00180A80"/>
    <w:rsid w:val="00180B45"/>
    <w:rsid w:val="001816C1"/>
    <w:rsid w:val="00181807"/>
    <w:rsid w:val="00181F23"/>
    <w:rsid w:val="00182467"/>
    <w:rsid w:val="001824AA"/>
    <w:rsid w:val="00182B13"/>
    <w:rsid w:val="00182EF5"/>
    <w:rsid w:val="00182F27"/>
    <w:rsid w:val="00183620"/>
    <w:rsid w:val="0018373D"/>
    <w:rsid w:val="00183A73"/>
    <w:rsid w:val="00183AB1"/>
    <w:rsid w:val="00183F18"/>
    <w:rsid w:val="00185172"/>
    <w:rsid w:val="00185362"/>
    <w:rsid w:val="001854EC"/>
    <w:rsid w:val="00185536"/>
    <w:rsid w:val="00185A32"/>
    <w:rsid w:val="00185B0F"/>
    <w:rsid w:val="00185E45"/>
    <w:rsid w:val="001868C1"/>
    <w:rsid w:val="001869BB"/>
    <w:rsid w:val="00186A3F"/>
    <w:rsid w:val="00186D16"/>
    <w:rsid w:val="001872B0"/>
    <w:rsid w:val="00187308"/>
    <w:rsid w:val="0018748C"/>
    <w:rsid w:val="001877E7"/>
    <w:rsid w:val="00187E0D"/>
    <w:rsid w:val="00187EC7"/>
    <w:rsid w:val="00190118"/>
    <w:rsid w:val="0019037B"/>
    <w:rsid w:val="001905E0"/>
    <w:rsid w:val="00190D98"/>
    <w:rsid w:val="00191001"/>
    <w:rsid w:val="00191025"/>
    <w:rsid w:val="0019126B"/>
    <w:rsid w:val="00191CA6"/>
    <w:rsid w:val="00191CC9"/>
    <w:rsid w:val="00191CFC"/>
    <w:rsid w:val="00191F2E"/>
    <w:rsid w:val="0019201F"/>
    <w:rsid w:val="00192069"/>
    <w:rsid w:val="001926C5"/>
    <w:rsid w:val="00192B54"/>
    <w:rsid w:val="00192BAA"/>
    <w:rsid w:val="00192BC9"/>
    <w:rsid w:val="00192F04"/>
    <w:rsid w:val="001930A3"/>
    <w:rsid w:val="00193725"/>
    <w:rsid w:val="001937DF"/>
    <w:rsid w:val="00193BEC"/>
    <w:rsid w:val="00193D8A"/>
    <w:rsid w:val="00194076"/>
    <w:rsid w:val="00194357"/>
    <w:rsid w:val="00194401"/>
    <w:rsid w:val="00194423"/>
    <w:rsid w:val="00194D72"/>
    <w:rsid w:val="00194E24"/>
    <w:rsid w:val="001954BC"/>
    <w:rsid w:val="001957A3"/>
    <w:rsid w:val="001959EB"/>
    <w:rsid w:val="00195FD0"/>
    <w:rsid w:val="001962EC"/>
    <w:rsid w:val="001966BE"/>
    <w:rsid w:val="001967FC"/>
    <w:rsid w:val="001968EB"/>
    <w:rsid w:val="001969E9"/>
    <w:rsid w:val="00196BEB"/>
    <w:rsid w:val="0019774C"/>
    <w:rsid w:val="001977C6"/>
    <w:rsid w:val="00197B04"/>
    <w:rsid w:val="00197CEA"/>
    <w:rsid w:val="001A0171"/>
    <w:rsid w:val="001A02D7"/>
    <w:rsid w:val="001A0449"/>
    <w:rsid w:val="001A0667"/>
    <w:rsid w:val="001A0929"/>
    <w:rsid w:val="001A0944"/>
    <w:rsid w:val="001A0B89"/>
    <w:rsid w:val="001A0BF0"/>
    <w:rsid w:val="001A10C6"/>
    <w:rsid w:val="001A1551"/>
    <w:rsid w:val="001A1D98"/>
    <w:rsid w:val="001A1E13"/>
    <w:rsid w:val="001A21AE"/>
    <w:rsid w:val="001A2256"/>
    <w:rsid w:val="001A2A1C"/>
    <w:rsid w:val="001A2B81"/>
    <w:rsid w:val="001A2D4D"/>
    <w:rsid w:val="001A2EE9"/>
    <w:rsid w:val="001A2F04"/>
    <w:rsid w:val="001A31AD"/>
    <w:rsid w:val="001A3775"/>
    <w:rsid w:val="001A3BC7"/>
    <w:rsid w:val="001A3E26"/>
    <w:rsid w:val="001A3F7C"/>
    <w:rsid w:val="001A401F"/>
    <w:rsid w:val="001A4100"/>
    <w:rsid w:val="001A4262"/>
    <w:rsid w:val="001A4412"/>
    <w:rsid w:val="001A4517"/>
    <w:rsid w:val="001A4E4D"/>
    <w:rsid w:val="001A4E57"/>
    <w:rsid w:val="001A4F7A"/>
    <w:rsid w:val="001A503B"/>
    <w:rsid w:val="001A5FAC"/>
    <w:rsid w:val="001A6470"/>
    <w:rsid w:val="001A6845"/>
    <w:rsid w:val="001A6A57"/>
    <w:rsid w:val="001A6A82"/>
    <w:rsid w:val="001A6BCE"/>
    <w:rsid w:val="001A6EF0"/>
    <w:rsid w:val="001A7035"/>
    <w:rsid w:val="001A705F"/>
    <w:rsid w:val="001A794F"/>
    <w:rsid w:val="001B06ED"/>
    <w:rsid w:val="001B0A69"/>
    <w:rsid w:val="001B130E"/>
    <w:rsid w:val="001B15A7"/>
    <w:rsid w:val="001B1A4C"/>
    <w:rsid w:val="001B1AC2"/>
    <w:rsid w:val="001B1DA9"/>
    <w:rsid w:val="001B2A4F"/>
    <w:rsid w:val="001B30EC"/>
    <w:rsid w:val="001B32AF"/>
    <w:rsid w:val="001B3553"/>
    <w:rsid w:val="001B3A12"/>
    <w:rsid w:val="001B506B"/>
    <w:rsid w:val="001B52BE"/>
    <w:rsid w:val="001B53F3"/>
    <w:rsid w:val="001B5946"/>
    <w:rsid w:val="001B6223"/>
    <w:rsid w:val="001B6229"/>
    <w:rsid w:val="001B63C2"/>
    <w:rsid w:val="001B667C"/>
    <w:rsid w:val="001B69F8"/>
    <w:rsid w:val="001B6D42"/>
    <w:rsid w:val="001B71A2"/>
    <w:rsid w:val="001B72A3"/>
    <w:rsid w:val="001B72B9"/>
    <w:rsid w:val="001B74CC"/>
    <w:rsid w:val="001B754C"/>
    <w:rsid w:val="001B7FE1"/>
    <w:rsid w:val="001C01B6"/>
    <w:rsid w:val="001C09F3"/>
    <w:rsid w:val="001C0A0E"/>
    <w:rsid w:val="001C11B3"/>
    <w:rsid w:val="001C139C"/>
    <w:rsid w:val="001C13C1"/>
    <w:rsid w:val="001C1639"/>
    <w:rsid w:val="001C1643"/>
    <w:rsid w:val="001C169B"/>
    <w:rsid w:val="001C16B7"/>
    <w:rsid w:val="001C17C6"/>
    <w:rsid w:val="001C243F"/>
    <w:rsid w:val="001C25AC"/>
    <w:rsid w:val="001C25C5"/>
    <w:rsid w:val="001C26EF"/>
    <w:rsid w:val="001C26F0"/>
    <w:rsid w:val="001C2F23"/>
    <w:rsid w:val="001C3104"/>
    <w:rsid w:val="001C3949"/>
    <w:rsid w:val="001C3D45"/>
    <w:rsid w:val="001C423C"/>
    <w:rsid w:val="001C44BF"/>
    <w:rsid w:val="001C44D5"/>
    <w:rsid w:val="001C4B37"/>
    <w:rsid w:val="001C50AB"/>
    <w:rsid w:val="001C5261"/>
    <w:rsid w:val="001C55CA"/>
    <w:rsid w:val="001C56ED"/>
    <w:rsid w:val="001C59CF"/>
    <w:rsid w:val="001C63A5"/>
    <w:rsid w:val="001C7C64"/>
    <w:rsid w:val="001C7F69"/>
    <w:rsid w:val="001D0754"/>
    <w:rsid w:val="001D07FB"/>
    <w:rsid w:val="001D09F0"/>
    <w:rsid w:val="001D0D04"/>
    <w:rsid w:val="001D0EE9"/>
    <w:rsid w:val="001D12F8"/>
    <w:rsid w:val="001D1304"/>
    <w:rsid w:val="001D132B"/>
    <w:rsid w:val="001D1597"/>
    <w:rsid w:val="001D19B4"/>
    <w:rsid w:val="001D1F35"/>
    <w:rsid w:val="001D1F86"/>
    <w:rsid w:val="001D2484"/>
    <w:rsid w:val="001D265E"/>
    <w:rsid w:val="001D2672"/>
    <w:rsid w:val="001D2FF1"/>
    <w:rsid w:val="001D3830"/>
    <w:rsid w:val="001D3CEC"/>
    <w:rsid w:val="001D3DCC"/>
    <w:rsid w:val="001D3E3A"/>
    <w:rsid w:val="001D4110"/>
    <w:rsid w:val="001D44F3"/>
    <w:rsid w:val="001D4638"/>
    <w:rsid w:val="001D4768"/>
    <w:rsid w:val="001D4DB2"/>
    <w:rsid w:val="001D5081"/>
    <w:rsid w:val="001D50FB"/>
    <w:rsid w:val="001D53D3"/>
    <w:rsid w:val="001D56FD"/>
    <w:rsid w:val="001D581F"/>
    <w:rsid w:val="001D5D35"/>
    <w:rsid w:val="001D612A"/>
    <w:rsid w:val="001D68C1"/>
    <w:rsid w:val="001D6A17"/>
    <w:rsid w:val="001D6E43"/>
    <w:rsid w:val="001D7B43"/>
    <w:rsid w:val="001D7E17"/>
    <w:rsid w:val="001E0154"/>
    <w:rsid w:val="001E0205"/>
    <w:rsid w:val="001E10FA"/>
    <w:rsid w:val="001E14E1"/>
    <w:rsid w:val="001E1608"/>
    <w:rsid w:val="001E1A50"/>
    <w:rsid w:val="001E1EE8"/>
    <w:rsid w:val="001E2359"/>
    <w:rsid w:val="001E2B2E"/>
    <w:rsid w:val="001E3879"/>
    <w:rsid w:val="001E38DE"/>
    <w:rsid w:val="001E391D"/>
    <w:rsid w:val="001E489D"/>
    <w:rsid w:val="001E495C"/>
    <w:rsid w:val="001E4C8E"/>
    <w:rsid w:val="001E4F70"/>
    <w:rsid w:val="001E543A"/>
    <w:rsid w:val="001E5E65"/>
    <w:rsid w:val="001E5F60"/>
    <w:rsid w:val="001E5FAB"/>
    <w:rsid w:val="001E5FF7"/>
    <w:rsid w:val="001E604C"/>
    <w:rsid w:val="001E606F"/>
    <w:rsid w:val="001E650F"/>
    <w:rsid w:val="001E6E72"/>
    <w:rsid w:val="001F045E"/>
    <w:rsid w:val="001F075C"/>
    <w:rsid w:val="001F0D3F"/>
    <w:rsid w:val="001F0D5E"/>
    <w:rsid w:val="001F0F19"/>
    <w:rsid w:val="001F1BFE"/>
    <w:rsid w:val="001F1DA3"/>
    <w:rsid w:val="001F1EC3"/>
    <w:rsid w:val="001F207C"/>
    <w:rsid w:val="001F2607"/>
    <w:rsid w:val="001F2922"/>
    <w:rsid w:val="001F2E1A"/>
    <w:rsid w:val="001F2FBD"/>
    <w:rsid w:val="001F30DA"/>
    <w:rsid w:val="001F35F6"/>
    <w:rsid w:val="001F371C"/>
    <w:rsid w:val="001F3A83"/>
    <w:rsid w:val="001F4027"/>
    <w:rsid w:val="001F41AA"/>
    <w:rsid w:val="001F4602"/>
    <w:rsid w:val="001F4BC1"/>
    <w:rsid w:val="001F5048"/>
    <w:rsid w:val="001F534C"/>
    <w:rsid w:val="001F5C58"/>
    <w:rsid w:val="001F6346"/>
    <w:rsid w:val="001F6631"/>
    <w:rsid w:val="001F6A03"/>
    <w:rsid w:val="001F6A0E"/>
    <w:rsid w:val="001F6C41"/>
    <w:rsid w:val="001F6D07"/>
    <w:rsid w:val="001F7673"/>
    <w:rsid w:val="001F7716"/>
    <w:rsid w:val="001F7C22"/>
    <w:rsid w:val="002000B3"/>
    <w:rsid w:val="0020067C"/>
    <w:rsid w:val="00200B77"/>
    <w:rsid w:val="00200E93"/>
    <w:rsid w:val="0020125A"/>
    <w:rsid w:val="002013F3"/>
    <w:rsid w:val="00201EFC"/>
    <w:rsid w:val="00202154"/>
    <w:rsid w:val="00202417"/>
    <w:rsid w:val="00202D2A"/>
    <w:rsid w:val="00203054"/>
    <w:rsid w:val="002033BB"/>
    <w:rsid w:val="00203898"/>
    <w:rsid w:val="00203B7F"/>
    <w:rsid w:val="00203C0E"/>
    <w:rsid w:val="0020412A"/>
    <w:rsid w:val="002054A0"/>
    <w:rsid w:val="00205538"/>
    <w:rsid w:val="00205701"/>
    <w:rsid w:val="00205C70"/>
    <w:rsid w:val="00205F41"/>
    <w:rsid w:val="00206408"/>
    <w:rsid w:val="00206522"/>
    <w:rsid w:val="00206678"/>
    <w:rsid w:val="0020668A"/>
    <w:rsid w:val="00206A98"/>
    <w:rsid w:val="00206E25"/>
    <w:rsid w:val="00206EFC"/>
    <w:rsid w:val="00207272"/>
    <w:rsid w:val="00207C3B"/>
    <w:rsid w:val="00207C9B"/>
    <w:rsid w:val="00207F3E"/>
    <w:rsid w:val="002105B1"/>
    <w:rsid w:val="002108E6"/>
    <w:rsid w:val="00210EB5"/>
    <w:rsid w:val="002110CF"/>
    <w:rsid w:val="00211106"/>
    <w:rsid w:val="0021134F"/>
    <w:rsid w:val="002115C7"/>
    <w:rsid w:val="002115FF"/>
    <w:rsid w:val="00211673"/>
    <w:rsid w:val="00211AD1"/>
    <w:rsid w:val="0021220B"/>
    <w:rsid w:val="0021387B"/>
    <w:rsid w:val="0021389B"/>
    <w:rsid w:val="00213937"/>
    <w:rsid w:val="00213999"/>
    <w:rsid w:val="00213A62"/>
    <w:rsid w:val="00213E41"/>
    <w:rsid w:val="00214619"/>
    <w:rsid w:val="002147C6"/>
    <w:rsid w:val="00214A73"/>
    <w:rsid w:val="00214C6B"/>
    <w:rsid w:val="00214E4B"/>
    <w:rsid w:val="0021519A"/>
    <w:rsid w:val="0021547A"/>
    <w:rsid w:val="00215B6E"/>
    <w:rsid w:val="00215BD4"/>
    <w:rsid w:val="0021606E"/>
    <w:rsid w:val="00216595"/>
    <w:rsid w:val="0021682C"/>
    <w:rsid w:val="00216864"/>
    <w:rsid w:val="002169B3"/>
    <w:rsid w:val="00216C50"/>
    <w:rsid w:val="002173C1"/>
    <w:rsid w:val="00217BE9"/>
    <w:rsid w:val="00217E23"/>
    <w:rsid w:val="00220091"/>
    <w:rsid w:val="00220512"/>
    <w:rsid w:val="002205BC"/>
    <w:rsid w:val="00220CDB"/>
    <w:rsid w:val="00220DEB"/>
    <w:rsid w:val="00220E31"/>
    <w:rsid w:val="00220FBB"/>
    <w:rsid w:val="0022101F"/>
    <w:rsid w:val="002215FE"/>
    <w:rsid w:val="00221C1C"/>
    <w:rsid w:val="00222422"/>
    <w:rsid w:val="0022269B"/>
    <w:rsid w:val="002227D2"/>
    <w:rsid w:val="00222D42"/>
    <w:rsid w:val="00222D61"/>
    <w:rsid w:val="00222E33"/>
    <w:rsid w:val="00222F58"/>
    <w:rsid w:val="00223884"/>
    <w:rsid w:val="00223AE8"/>
    <w:rsid w:val="00223E43"/>
    <w:rsid w:val="0022457A"/>
    <w:rsid w:val="00224B10"/>
    <w:rsid w:val="00224D94"/>
    <w:rsid w:val="00224F98"/>
    <w:rsid w:val="0022516C"/>
    <w:rsid w:val="002254D3"/>
    <w:rsid w:val="002256D5"/>
    <w:rsid w:val="00226061"/>
    <w:rsid w:val="00226364"/>
    <w:rsid w:val="0022696C"/>
    <w:rsid w:val="00226FEC"/>
    <w:rsid w:val="0022750C"/>
    <w:rsid w:val="002278AA"/>
    <w:rsid w:val="0023087C"/>
    <w:rsid w:val="00230C7F"/>
    <w:rsid w:val="00231A25"/>
    <w:rsid w:val="00231CDD"/>
    <w:rsid w:val="002321A2"/>
    <w:rsid w:val="002321A3"/>
    <w:rsid w:val="00232300"/>
    <w:rsid w:val="00232442"/>
    <w:rsid w:val="00232734"/>
    <w:rsid w:val="00232D05"/>
    <w:rsid w:val="00232DB7"/>
    <w:rsid w:val="00232DD7"/>
    <w:rsid w:val="00233406"/>
    <w:rsid w:val="00233451"/>
    <w:rsid w:val="002334DB"/>
    <w:rsid w:val="00233965"/>
    <w:rsid w:val="002339B1"/>
    <w:rsid w:val="00233B8B"/>
    <w:rsid w:val="002340DC"/>
    <w:rsid w:val="002343A7"/>
    <w:rsid w:val="00234B4F"/>
    <w:rsid w:val="00235139"/>
    <w:rsid w:val="002352A4"/>
    <w:rsid w:val="002352DE"/>
    <w:rsid w:val="0023576A"/>
    <w:rsid w:val="002358BC"/>
    <w:rsid w:val="002358C1"/>
    <w:rsid w:val="00235B67"/>
    <w:rsid w:val="0023635A"/>
    <w:rsid w:val="00236B30"/>
    <w:rsid w:val="00236E71"/>
    <w:rsid w:val="00236F02"/>
    <w:rsid w:val="00236F7B"/>
    <w:rsid w:val="00236FAC"/>
    <w:rsid w:val="00237238"/>
    <w:rsid w:val="002376A5"/>
    <w:rsid w:val="00240348"/>
    <w:rsid w:val="002407D2"/>
    <w:rsid w:val="002411F8"/>
    <w:rsid w:val="00241575"/>
    <w:rsid w:val="002416E9"/>
    <w:rsid w:val="00241BDC"/>
    <w:rsid w:val="00241DBD"/>
    <w:rsid w:val="00241F26"/>
    <w:rsid w:val="00242060"/>
    <w:rsid w:val="002426F3"/>
    <w:rsid w:val="00242CF7"/>
    <w:rsid w:val="002430F5"/>
    <w:rsid w:val="0024345C"/>
    <w:rsid w:val="002436C4"/>
    <w:rsid w:val="00243F41"/>
    <w:rsid w:val="00244ADC"/>
    <w:rsid w:val="00244BF0"/>
    <w:rsid w:val="00244D99"/>
    <w:rsid w:val="00244DC4"/>
    <w:rsid w:val="002452D9"/>
    <w:rsid w:val="002456D5"/>
    <w:rsid w:val="002461CF"/>
    <w:rsid w:val="00246493"/>
    <w:rsid w:val="002464EB"/>
    <w:rsid w:val="0024656F"/>
    <w:rsid w:val="0024662E"/>
    <w:rsid w:val="002467B1"/>
    <w:rsid w:val="002469B8"/>
    <w:rsid w:val="00246E65"/>
    <w:rsid w:val="00246F41"/>
    <w:rsid w:val="002471FF"/>
    <w:rsid w:val="002472EA"/>
    <w:rsid w:val="002472FE"/>
    <w:rsid w:val="002477E6"/>
    <w:rsid w:val="002477F8"/>
    <w:rsid w:val="00247BBE"/>
    <w:rsid w:val="00247CF7"/>
    <w:rsid w:val="00250093"/>
    <w:rsid w:val="0025054B"/>
    <w:rsid w:val="00250660"/>
    <w:rsid w:val="00250E69"/>
    <w:rsid w:val="0025117A"/>
    <w:rsid w:val="002512FD"/>
    <w:rsid w:val="00251AFB"/>
    <w:rsid w:val="00251B83"/>
    <w:rsid w:val="00251EB6"/>
    <w:rsid w:val="002522D2"/>
    <w:rsid w:val="00252320"/>
    <w:rsid w:val="00252937"/>
    <w:rsid w:val="00252BCC"/>
    <w:rsid w:val="00252D10"/>
    <w:rsid w:val="00253083"/>
    <w:rsid w:val="00253242"/>
    <w:rsid w:val="00253574"/>
    <w:rsid w:val="00253640"/>
    <w:rsid w:val="00253989"/>
    <w:rsid w:val="00254359"/>
    <w:rsid w:val="00254ED4"/>
    <w:rsid w:val="00254F41"/>
    <w:rsid w:val="00255595"/>
    <w:rsid w:val="00255782"/>
    <w:rsid w:val="00255C1F"/>
    <w:rsid w:val="0025659F"/>
    <w:rsid w:val="00256768"/>
    <w:rsid w:val="00256AFF"/>
    <w:rsid w:val="00256BB1"/>
    <w:rsid w:val="00256CCE"/>
    <w:rsid w:val="00256D2B"/>
    <w:rsid w:val="00256E2A"/>
    <w:rsid w:val="00256EA4"/>
    <w:rsid w:val="00256EB8"/>
    <w:rsid w:val="002572A9"/>
    <w:rsid w:val="002577F6"/>
    <w:rsid w:val="0025791C"/>
    <w:rsid w:val="00257BBE"/>
    <w:rsid w:val="00257C70"/>
    <w:rsid w:val="00257D0E"/>
    <w:rsid w:val="0026086E"/>
    <w:rsid w:val="00260D1C"/>
    <w:rsid w:val="00260DC3"/>
    <w:rsid w:val="00260F35"/>
    <w:rsid w:val="00261071"/>
    <w:rsid w:val="002618CD"/>
    <w:rsid w:val="00261A35"/>
    <w:rsid w:val="00261EE2"/>
    <w:rsid w:val="0026206E"/>
    <w:rsid w:val="00262610"/>
    <w:rsid w:val="002627C7"/>
    <w:rsid w:val="00262E87"/>
    <w:rsid w:val="00262FD2"/>
    <w:rsid w:val="002631F0"/>
    <w:rsid w:val="00263658"/>
    <w:rsid w:val="00263CDA"/>
    <w:rsid w:val="0026417E"/>
    <w:rsid w:val="002644A8"/>
    <w:rsid w:val="002649B5"/>
    <w:rsid w:val="00264C68"/>
    <w:rsid w:val="002651F5"/>
    <w:rsid w:val="002653BA"/>
    <w:rsid w:val="002658FA"/>
    <w:rsid w:val="00266223"/>
    <w:rsid w:val="00266497"/>
    <w:rsid w:val="00266EB9"/>
    <w:rsid w:val="00267598"/>
    <w:rsid w:val="00267855"/>
    <w:rsid w:val="002700FA"/>
    <w:rsid w:val="00270699"/>
    <w:rsid w:val="002706C5"/>
    <w:rsid w:val="002707B7"/>
    <w:rsid w:val="00270CBD"/>
    <w:rsid w:val="00270CCF"/>
    <w:rsid w:val="00270DFE"/>
    <w:rsid w:val="0027102B"/>
    <w:rsid w:val="00271092"/>
    <w:rsid w:val="0027143A"/>
    <w:rsid w:val="00271B21"/>
    <w:rsid w:val="0027214E"/>
    <w:rsid w:val="00272BAA"/>
    <w:rsid w:val="00272CBF"/>
    <w:rsid w:val="00272E1A"/>
    <w:rsid w:val="0027343C"/>
    <w:rsid w:val="00273541"/>
    <w:rsid w:val="002736A7"/>
    <w:rsid w:val="002739D7"/>
    <w:rsid w:val="00273EAF"/>
    <w:rsid w:val="00273F2A"/>
    <w:rsid w:val="00274440"/>
    <w:rsid w:val="00274AA1"/>
    <w:rsid w:val="00274AD7"/>
    <w:rsid w:val="00274B04"/>
    <w:rsid w:val="00274B0B"/>
    <w:rsid w:val="00274D35"/>
    <w:rsid w:val="00274E55"/>
    <w:rsid w:val="00274F65"/>
    <w:rsid w:val="002751CC"/>
    <w:rsid w:val="00275588"/>
    <w:rsid w:val="00275DFE"/>
    <w:rsid w:val="00276077"/>
    <w:rsid w:val="00276460"/>
    <w:rsid w:val="00277472"/>
    <w:rsid w:val="00277596"/>
    <w:rsid w:val="002778CE"/>
    <w:rsid w:val="002779CF"/>
    <w:rsid w:val="00277C9D"/>
    <w:rsid w:val="00277DF1"/>
    <w:rsid w:val="00280720"/>
    <w:rsid w:val="00280875"/>
    <w:rsid w:val="00280989"/>
    <w:rsid w:val="002809FF"/>
    <w:rsid w:val="00280C21"/>
    <w:rsid w:val="00281241"/>
    <w:rsid w:val="002814CD"/>
    <w:rsid w:val="00281703"/>
    <w:rsid w:val="0028195A"/>
    <w:rsid w:val="00281B1E"/>
    <w:rsid w:val="00281FBE"/>
    <w:rsid w:val="0028215F"/>
    <w:rsid w:val="002821BF"/>
    <w:rsid w:val="00282796"/>
    <w:rsid w:val="00283A1A"/>
    <w:rsid w:val="00283B50"/>
    <w:rsid w:val="00283D89"/>
    <w:rsid w:val="0028417C"/>
    <w:rsid w:val="002848A2"/>
    <w:rsid w:val="00284B68"/>
    <w:rsid w:val="00284CE0"/>
    <w:rsid w:val="00285147"/>
    <w:rsid w:val="00285242"/>
    <w:rsid w:val="002856EC"/>
    <w:rsid w:val="00285915"/>
    <w:rsid w:val="002861A0"/>
    <w:rsid w:val="002863CD"/>
    <w:rsid w:val="002868B0"/>
    <w:rsid w:val="00286A5C"/>
    <w:rsid w:val="00286C6A"/>
    <w:rsid w:val="00286E2F"/>
    <w:rsid w:val="00287217"/>
    <w:rsid w:val="00287639"/>
    <w:rsid w:val="0028770E"/>
    <w:rsid w:val="002879CE"/>
    <w:rsid w:val="002879D0"/>
    <w:rsid w:val="00287A7E"/>
    <w:rsid w:val="00287B7D"/>
    <w:rsid w:val="00287FEB"/>
    <w:rsid w:val="00290018"/>
    <w:rsid w:val="00290168"/>
    <w:rsid w:val="0029089E"/>
    <w:rsid w:val="002913F7"/>
    <w:rsid w:val="002915CE"/>
    <w:rsid w:val="00291708"/>
    <w:rsid w:val="00291913"/>
    <w:rsid w:val="00291DC4"/>
    <w:rsid w:val="00291E04"/>
    <w:rsid w:val="00291E98"/>
    <w:rsid w:val="002927DE"/>
    <w:rsid w:val="00292EA6"/>
    <w:rsid w:val="00293238"/>
    <w:rsid w:val="002932DF"/>
    <w:rsid w:val="00294057"/>
    <w:rsid w:val="002941E4"/>
    <w:rsid w:val="002943C0"/>
    <w:rsid w:val="002943CA"/>
    <w:rsid w:val="00294786"/>
    <w:rsid w:val="00294C4E"/>
    <w:rsid w:val="00294CBE"/>
    <w:rsid w:val="00294EF7"/>
    <w:rsid w:val="00294F83"/>
    <w:rsid w:val="002950B9"/>
    <w:rsid w:val="002951B5"/>
    <w:rsid w:val="002954C6"/>
    <w:rsid w:val="002955D5"/>
    <w:rsid w:val="00295612"/>
    <w:rsid w:val="002959D4"/>
    <w:rsid w:val="00295E29"/>
    <w:rsid w:val="00295FC6"/>
    <w:rsid w:val="002969ED"/>
    <w:rsid w:val="00296B7B"/>
    <w:rsid w:val="002972D9"/>
    <w:rsid w:val="002973E9"/>
    <w:rsid w:val="002977A9"/>
    <w:rsid w:val="00297A24"/>
    <w:rsid w:val="002A02F5"/>
    <w:rsid w:val="002A074B"/>
    <w:rsid w:val="002A0795"/>
    <w:rsid w:val="002A0870"/>
    <w:rsid w:val="002A09D9"/>
    <w:rsid w:val="002A0BDE"/>
    <w:rsid w:val="002A0F4D"/>
    <w:rsid w:val="002A118E"/>
    <w:rsid w:val="002A1872"/>
    <w:rsid w:val="002A199A"/>
    <w:rsid w:val="002A1CEA"/>
    <w:rsid w:val="002A1E09"/>
    <w:rsid w:val="002A1F4E"/>
    <w:rsid w:val="002A21C1"/>
    <w:rsid w:val="002A25E2"/>
    <w:rsid w:val="002A3235"/>
    <w:rsid w:val="002A3875"/>
    <w:rsid w:val="002A3C84"/>
    <w:rsid w:val="002A3C87"/>
    <w:rsid w:val="002A3E66"/>
    <w:rsid w:val="002A484E"/>
    <w:rsid w:val="002A4D84"/>
    <w:rsid w:val="002A4DCC"/>
    <w:rsid w:val="002A4EAD"/>
    <w:rsid w:val="002A5A5A"/>
    <w:rsid w:val="002A6051"/>
    <w:rsid w:val="002A625D"/>
    <w:rsid w:val="002A64E8"/>
    <w:rsid w:val="002A67F4"/>
    <w:rsid w:val="002A7786"/>
    <w:rsid w:val="002A7887"/>
    <w:rsid w:val="002A7A9C"/>
    <w:rsid w:val="002A7C02"/>
    <w:rsid w:val="002A7C08"/>
    <w:rsid w:val="002A7D80"/>
    <w:rsid w:val="002A7F8A"/>
    <w:rsid w:val="002B0205"/>
    <w:rsid w:val="002B03C9"/>
    <w:rsid w:val="002B08C1"/>
    <w:rsid w:val="002B0BE6"/>
    <w:rsid w:val="002B0F8E"/>
    <w:rsid w:val="002B1679"/>
    <w:rsid w:val="002B176B"/>
    <w:rsid w:val="002B1770"/>
    <w:rsid w:val="002B1947"/>
    <w:rsid w:val="002B1A6D"/>
    <w:rsid w:val="002B1AA4"/>
    <w:rsid w:val="002B1B6C"/>
    <w:rsid w:val="002B1B71"/>
    <w:rsid w:val="002B2289"/>
    <w:rsid w:val="002B246C"/>
    <w:rsid w:val="002B26F1"/>
    <w:rsid w:val="002B2CBE"/>
    <w:rsid w:val="002B3476"/>
    <w:rsid w:val="002B3EDA"/>
    <w:rsid w:val="002B3F35"/>
    <w:rsid w:val="002B4002"/>
    <w:rsid w:val="002B41D2"/>
    <w:rsid w:val="002B43EC"/>
    <w:rsid w:val="002B4467"/>
    <w:rsid w:val="002B4D4B"/>
    <w:rsid w:val="002B5043"/>
    <w:rsid w:val="002B5276"/>
    <w:rsid w:val="002B52F0"/>
    <w:rsid w:val="002B5F6C"/>
    <w:rsid w:val="002B636E"/>
    <w:rsid w:val="002B6E5D"/>
    <w:rsid w:val="002B6F86"/>
    <w:rsid w:val="002B775A"/>
    <w:rsid w:val="002B7782"/>
    <w:rsid w:val="002B7917"/>
    <w:rsid w:val="002B7BC1"/>
    <w:rsid w:val="002B7CF9"/>
    <w:rsid w:val="002B7F6D"/>
    <w:rsid w:val="002B7F74"/>
    <w:rsid w:val="002C0288"/>
    <w:rsid w:val="002C0356"/>
    <w:rsid w:val="002C07D6"/>
    <w:rsid w:val="002C098E"/>
    <w:rsid w:val="002C0ADE"/>
    <w:rsid w:val="002C0B5F"/>
    <w:rsid w:val="002C0C50"/>
    <w:rsid w:val="002C0F94"/>
    <w:rsid w:val="002C101C"/>
    <w:rsid w:val="002C172B"/>
    <w:rsid w:val="002C19BB"/>
    <w:rsid w:val="002C1B22"/>
    <w:rsid w:val="002C1B49"/>
    <w:rsid w:val="002C1EEC"/>
    <w:rsid w:val="002C27BD"/>
    <w:rsid w:val="002C2A2B"/>
    <w:rsid w:val="002C2CC3"/>
    <w:rsid w:val="002C2EC5"/>
    <w:rsid w:val="002C3A7A"/>
    <w:rsid w:val="002C4109"/>
    <w:rsid w:val="002C4161"/>
    <w:rsid w:val="002C4448"/>
    <w:rsid w:val="002C47BA"/>
    <w:rsid w:val="002C4831"/>
    <w:rsid w:val="002C4B33"/>
    <w:rsid w:val="002C4C69"/>
    <w:rsid w:val="002C4C83"/>
    <w:rsid w:val="002C5242"/>
    <w:rsid w:val="002C5AC9"/>
    <w:rsid w:val="002C5AD6"/>
    <w:rsid w:val="002C5F46"/>
    <w:rsid w:val="002C610F"/>
    <w:rsid w:val="002C612C"/>
    <w:rsid w:val="002C636A"/>
    <w:rsid w:val="002C63F4"/>
    <w:rsid w:val="002C67B4"/>
    <w:rsid w:val="002C6B53"/>
    <w:rsid w:val="002C6EAF"/>
    <w:rsid w:val="002C72A7"/>
    <w:rsid w:val="002C74CC"/>
    <w:rsid w:val="002C7570"/>
    <w:rsid w:val="002C7645"/>
    <w:rsid w:val="002C77B5"/>
    <w:rsid w:val="002C78FA"/>
    <w:rsid w:val="002C7971"/>
    <w:rsid w:val="002C7C76"/>
    <w:rsid w:val="002D04BC"/>
    <w:rsid w:val="002D0FF2"/>
    <w:rsid w:val="002D115B"/>
    <w:rsid w:val="002D1336"/>
    <w:rsid w:val="002D1B70"/>
    <w:rsid w:val="002D2098"/>
    <w:rsid w:val="002D22A3"/>
    <w:rsid w:val="002D2396"/>
    <w:rsid w:val="002D2854"/>
    <w:rsid w:val="002D2B1C"/>
    <w:rsid w:val="002D2EE5"/>
    <w:rsid w:val="002D325A"/>
    <w:rsid w:val="002D3283"/>
    <w:rsid w:val="002D3745"/>
    <w:rsid w:val="002D37B8"/>
    <w:rsid w:val="002D38DE"/>
    <w:rsid w:val="002D3CEB"/>
    <w:rsid w:val="002D3D16"/>
    <w:rsid w:val="002D3D46"/>
    <w:rsid w:val="002D4226"/>
    <w:rsid w:val="002D42B6"/>
    <w:rsid w:val="002D4642"/>
    <w:rsid w:val="002D4855"/>
    <w:rsid w:val="002D4A32"/>
    <w:rsid w:val="002D4DAB"/>
    <w:rsid w:val="002D51EA"/>
    <w:rsid w:val="002D52DB"/>
    <w:rsid w:val="002D5476"/>
    <w:rsid w:val="002D5477"/>
    <w:rsid w:val="002D564A"/>
    <w:rsid w:val="002D5AA5"/>
    <w:rsid w:val="002D5D7B"/>
    <w:rsid w:val="002D659A"/>
    <w:rsid w:val="002D65B8"/>
    <w:rsid w:val="002D6714"/>
    <w:rsid w:val="002D6D2D"/>
    <w:rsid w:val="002D73FA"/>
    <w:rsid w:val="002D7C38"/>
    <w:rsid w:val="002D7D25"/>
    <w:rsid w:val="002E010A"/>
    <w:rsid w:val="002E0FFA"/>
    <w:rsid w:val="002E1417"/>
    <w:rsid w:val="002E163A"/>
    <w:rsid w:val="002E167F"/>
    <w:rsid w:val="002E1688"/>
    <w:rsid w:val="002E1A57"/>
    <w:rsid w:val="002E1AB2"/>
    <w:rsid w:val="002E1C45"/>
    <w:rsid w:val="002E1E42"/>
    <w:rsid w:val="002E1FE6"/>
    <w:rsid w:val="002E20D6"/>
    <w:rsid w:val="002E247E"/>
    <w:rsid w:val="002E24F0"/>
    <w:rsid w:val="002E291F"/>
    <w:rsid w:val="002E2CC7"/>
    <w:rsid w:val="002E2F07"/>
    <w:rsid w:val="002E318D"/>
    <w:rsid w:val="002E361E"/>
    <w:rsid w:val="002E3D58"/>
    <w:rsid w:val="002E3D6E"/>
    <w:rsid w:val="002E4046"/>
    <w:rsid w:val="002E44AE"/>
    <w:rsid w:val="002E45B3"/>
    <w:rsid w:val="002E47E7"/>
    <w:rsid w:val="002E4FA5"/>
    <w:rsid w:val="002E500E"/>
    <w:rsid w:val="002E50E3"/>
    <w:rsid w:val="002E54B9"/>
    <w:rsid w:val="002E5783"/>
    <w:rsid w:val="002E57A7"/>
    <w:rsid w:val="002E5BD6"/>
    <w:rsid w:val="002E5C74"/>
    <w:rsid w:val="002E60AE"/>
    <w:rsid w:val="002E64FC"/>
    <w:rsid w:val="002E6A28"/>
    <w:rsid w:val="002E6B5E"/>
    <w:rsid w:val="002E6BAB"/>
    <w:rsid w:val="002E7132"/>
    <w:rsid w:val="002E77E4"/>
    <w:rsid w:val="002E7DD4"/>
    <w:rsid w:val="002E7F41"/>
    <w:rsid w:val="002F00C4"/>
    <w:rsid w:val="002F0129"/>
    <w:rsid w:val="002F0495"/>
    <w:rsid w:val="002F0588"/>
    <w:rsid w:val="002F0809"/>
    <w:rsid w:val="002F08F7"/>
    <w:rsid w:val="002F100E"/>
    <w:rsid w:val="002F159B"/>
    <w:rsid w:val="002F1769"/>
    <w:rsid w:val="002F195B"/>
    <w:rsid w:val="002F1D88"/>
    <w:rsid w:val="002F1E7C"/>
    <w:rsid w:val="002F2798"/>
    <w:rsid w:val="002F2D22"/>
    <w:rsid w:val="002F2D7E"/>
    <w:rsid w:val="002F3657"/>
    <w:rsid w:val="002F3B46"/>
    <w:rsid w:val="002F3BF6"/>
    <w:rsid w:val="002F3DE9"/>
    <w:rsid w:val="002F42B5"/>
    <w:rsid w:val="002F4778"/>
    <w:rsid w:val="002F4946"/>
    <w:rsid w:val="002F4B87"/>
    <w:rsid w:val="002F4ECD"/>
    <w:rsid w:val="002F541E"/>
    <w:rsid w:val="002F56D2"/>
    <w:rsid w:val="002F5C76"/>
    <w:rsid w:val="002F605F"/>
    <w:rsid w:val="002F64E8"/>
    <w:rsid w:val="002F653D"/>
    <w:rsid w:val="002F6A2A"/>
    <w:rsid w:val="002F6E5C"/>
    <w:rsid w:val="002F7278"/>
    <w:rsid w:val="002F7809"/>
    <w:rsid w:val="002F7841"/>
    <w:rsid w:val="002F7AD9"/>
    <w:rsid w:val="002F7D92"/>
    <w:rsid w:val="00300221"/>
    <w:rsid w:val="00300681"/>
    <w:rsid w:val="0030111D"/>
    <w:rsid w:val="003019AD"/>
    <w:rsid w:val="003019CD"/>
    <w:rsid w:val="00301E84"/>
    <w:rsid w:val="00302F6A"/>
    <w:rsid w:val="00302FD3"/>
    <w:rsid w:val="003038CB"/>
    <w:rsid w:val="003039E3"/>
    <w:rsid w:val="00303A11"/>
    <w:rsid w:val="00304410"/>
    <w:rsid w:val="003047A5"/>
    <w:rsid w:val="00304992"/>
    <w:rsid w:val="0030529C"/>
    <w:rsid w:val="003057A7"/>
    <w:rsid w:val="00306531"/>
    <w:rsid w:val="00306853"/>
    <w:rsid w:val="00306F93"/>
    <w:rsid w:val="00307018"/>
    <w:rsid w:val="0030725F"/>
    <w:rsid w:val="00307404"/>
    <w:rsid w:val="00307D8B"/>
    <w:rsid w:val="00310051"/>
    <w:rsid w:val="003103FA"/>
    <w:rsid w:val="00310E10"/>
    <w:rsid w:val="00310EA3"/>
    <w:rsid w:val="00311A26"/>
    <w:rsid w:val="00311BCC"/>
    <w:rsid w:val="00311EE9"/>
    <w:rsid w:val="0031223C"/>
    <w:rsid w:val="0031236F"/>
    <w:rsid w:val="0031243B"/>
    <w:rsid w:val="0031249F"/>
    <w:rsid w:val="00312EA3"/>
    <w:rsid w:val="0031317C"/>
    <w:rsid w:val="003142DE"/>
    <w:rsid w:val="0031496C"/>
    <w:rsid w:val="00314B71"/>
    <w:rsid w:val="00314FEF"/>
    <w:rsid w:val="003153AB"/>
    <w:rsid w:val="00316070"/>
    <w:rsid w:val="0031628A"/>
    <w:rsid w:val="003162AE"/>
    <w:rsid w:val="003164D6"/>
    <w:rsid w:val="0031684D"/>
    <w:rsid w:val="003173A4"/>
    <w:rsid w:val="0031765C"/>
    <w:rsid w:val="003177B7"/>
    <w:rsid w:val="003179D3"/>
    <w:rsid w:val="00317E8B"/>
    <w:rsid w:val="0032008B"/>
    <w:rsid w:val="0032014B"/>
    <w:rsid w:val="00320359"/>
    <w:rsid w:val="00320431"/>
    <w:rsid w:val="003204A7"/>
    <w:rsid w:val="00320963"/>
    <w:rsid w:val="00320EB9"/>
    <w:rsid w:val="003210AA"/>
    <w:rsid w:val="003217F2"/>
    <w:rsid w:val="00321A2E"/>
    <w:rsid w:val="00321BC0"/>
    <w:rsid w:val="00321F4F"/>
    <w:rsid w:val="00322048"/>
    <w:rsid w:val="0032222A"/>
    <w:rsid w:val="003222A3"/>
    <w:rsid w:val="00322668"/>
    <w:rsid w:val="00322C48"/>
    <w:rsid w:val="00322C66"/>
    <w:rsid w:val="00323449"/>
    <w:rsid w:val="003237C8"/>
    <w:rsid w:val="00323909"/>
    <w:rsid w:val="00323C34"/>
    <w:rsid w:val="00323CC4"/>
    <w:rsid w:val="00323CC5"/>
    <w:rsid w:val="00323CC9"/>
    <w:rsid w:val="00324457"/>
    <w:rsid w:val="00324D0E"/>
    <w:rsid w:val="00324D13"/>
    <w:rsid w:val="0032535D"/>
    <w:rsid w:val="0032541F"/>
    <w:rsid w:val="0032597E"/>
    <w:rsid w:val="00326206"/>
    <w:rsid w:val="00326348"/>
    <w:rsid w:val="0032658A"/>
    <w:rsid w:val="00326602"/>
    <w:rsid w:val="00326C2C"/>
    <w:rsid w:val="00326EAB"/>
    <w:rsid w:val="00326F67"/>
    <w:rsid w:val="003278E1"/>
    <w:rsid w:val="00327C11"/>
    <w:rsid w:val="003302B9"/>
    <w:rsid w:val="00330CB1"/>
    <w:rsid w:val="0033132B"/>
    <w:rsid w:val="00331388"/>
    <w:rsid w:val="003313A0"/>
    <w:rsid w:val="003314FA"/>
    <w:rsid w:val="00331876"/>
    <w:rsid w:val="003319D5"/>
    <w:rsid w:val="00331FEA"/>
    <w:rsid w:val="0033290D"/>
    <w:rsid w:val="003329A3"/>
    <w:rsid w:val="00332A45"/>
    <w:rsid w:val="00332E94"/>
    <w:rsid w:val="003333E7"/>
    <w:rsid w:val="00333DA4"/>
    <w:rsid w:val="00333EFE"/>
    <w:rsid w:val="00333F72"/>
    <w:rsid w:val="00334217"/>
    <w:rsid w:val="003342EA"/>
    <w:rsid w:val="00334347"/>
    <w:rsid w:val="0033450A"/>
    <w:rsid w:val="003345EE"/>
    <w:rsid w:val="00334776"/>
    <w:rsid w:val="00335173"/>
    <w:rsid w:val="00335350"/>
    <w:rsid w:val="003353C9"/>
    <w:rsid w:val="003359D0"/>
    <w:rsid w:val="00335CA7"/>
    <w:rsid w:val="00335F38"/>
    <w:rsid w:val="003361F8"/>
    <w:rsid w:val="003364D9"/>
    <w:rsid w:val="003366C3"/>
    <w:rsid w:val="00336811"/>
    <w:rsid w:val="00336A72"/>
    <w:rsid w:val="00336E91"/>
    <w:rsid w:val="003375B2"/>
    <w:rsid w:val="00340170"/>
    <w:rsid w:val="0034050F"/>
    <w:rsid w:val="003409A3"/>
    <w:rsid w:val="00340C6A"/>
    <w:rsid w:val="00340DDF"/>
    <w:rsid w:val="00340F62"/>
    <w:rsid w:val="003412A4"/>
    <w:rsid w:val="003412FC"/>
    <w:rsid w:val="003415DE"/>
    <w:rsid w:val="00341B04"/>
    <w:rsid w:val="00341CEC"/>
    <w:rsid w:val="00341F44"/>
    <w:rsid w:val="00342426"/>
    <w:rsid w:val="00342452"/>
    <w:rsid w:val="003426F9"/>
    <w:rsid w:val="00342DB8"/>
    <w:rsid w:val="00342DCD"/>
    <w:rsid w:val="003431AE"/>
    <w:rsid w:val="0034343B"/>
    <w:rsid w:val="003439AD"/>
    <w:rsid w:val="00343BF0"/>
    <w:rsid w:val="00344181"/>
    <w:rsid w:val="003443BA"/>
    <w:rsid w:val="003445C1"/>
    <w:rsid w:val="003449D0"/>
    <w:rsid w:val="00344BF0"/>
    <w:rsid w:val="00345383"/>
    <w:rsid w:val="0034578B"/>
    <w:rsid w:val="003457E6"/>
    <w:rsid w:val="00346336"/>
    <w:rsid w:val="00346945"/>
    <w:rsid w:val="00346C2F"/>
    <w:rsid w:val="00346F49"/>
    <w:rsid w:val="003470E8"/>
    <w:rsid w:val="00347275"/>
    <w:rsid w:val="00347287"/>
    <w:rsid w:val="0034729C"/>
    <w:rsid w:val="00347669"/>
    <w:rsid w:val="00347874"/>
    <w:rsid w:val="00347DA9"/>
    <w:rsid w:val="0035017B"/>
    <w:rsid w:val="003504A6"/>
    <w:rsid w:val="003504EF"/>
    <w:rsid w:val="00350E24"/>
    <w:rsid w:val="00350E54"/>
    <w:rsid w:val="00351905"/>
    <w:rsid w:val="003524D0"/>
    <w:rsid w:val="00352971"/>
    <w:rsid w:val="003529BE"/>
    <w:rsid w:val="00352D3B"/>
    <w:rsid w:val="00353381"/>
    <w:rsid w:val="00353ABA"/>
    <w:rsid w:val="00353E95"/>
    <w:rsid w:val="00353F8B"/>
    <w:rsid w:val="00354202"/>
    <w:rsid w:val="0035470D"/>
    <w:rsid w:val="00354B62"/>
    <w:rsid w:val="00355096"/>
    <w:rsid w:val="0035520A"/>
    <w:rsid w:val="00355296"/>
    <w:rsid w:val="003552FE"/>
    <w:rsid w:val="00355FA4"/>
    <w:rsid w:val="003560C4"/>
    <w:rsid w:val="003566AF"/>
    <w:rsid w:val="00356711"/>
    <w:rsid w:val="003569F7"/>
    <w:rsid w:val="00356B7F"/>
    <w:rsid w:val="003571B7"/>
    <w:rsid w:val="0035739B"/>
    <w:rsid w:val="00357699"/>
    <w:rsid w:val="0035790C"/>
    <w:rsid w:val="00357A09"/>
    <w:rsid w:val="00357A23"/>
    <w:rsid w:val="00357F97"/>
    <w:rsid w:val="0036002F"/>
    <w:rsid w:val="0036008E"/>
    <w:rsid w:val="00360159"/>
    <w:rsid w:val="00360516"/>
    <w:rsid w:val="0036062A"/>
    <w:rsid w:val="00360DE9"/>
    <w:rsid w:val="00361367"/>
    <w:rsid w:val="00361377"/>
    <w:rsid w:val="003613E1"/>
    <w:rsid w:val="003615F9"/>
    <w:rsid w:val="00361B64"/>
    <w:rsid w:val="0036262E"/>
    <w:rsid w:val="003627EE"/>
    <w:rsid w:val="00363461"/>
    <w:rsid w:val="00363562"/>
    <w:rsid w:val="003636DA"/>
    <w:rsid w:val="00363B3A"/>
    <w:rsid w:val="00363E20"/>
    <w:rsid w:val="00363FFE"/>
    <w:rsid w:val="00364A62"/>
    <w:rsid w:val="00364D19"/>
    <w:rsid w:val="00364EAD"/>
    <w:rsid w:val="003651E7"/>
    <w:rsid w:val="00365E74"/>
    <w:rsid w:val="003660E2"/>
    <w:rsid w:val="00366240"/>
    <w:rsid w:val="0036631D"/>
    <w:rsid w:val="003664BD"/>
    <w:rsid w:val="00366D05"/>
    <w:rsid w:val="00367E7C"/>
    <w:rsid w:val="003701A8"/>
    <w:rsid w:val="00370380"/>
    <w:rsid w:val="003707D6"/>
    <w:rsid w:val="00370C60"/>
    <w:rsid w:val="00370DEC"/>
    <w:rsid w:val="00370ECD"/>
    <w:rsid w:val="00371008"/>
    <w:rsid w:val="0037126C"/>
    <w:rsid w:val="003714B4"/>
    <w:rsid w:val="003717EC"/>
    <w:rsid w:val="00371FF1"/>
    <w:rsid w:val="0037250E"/>
    <w:rsid w:val="0037258C"/>
    <w:rsid w:val="003729CD"/>
    <w:rsid w:val="00372A27"/>
    <w:rsid w:val="00372B22"/>
    <w:rsid w:val="00372DDC"/>
    <w:rsid w:val="00372EE1"/>
    <w:rsid w:val="003737E9"/>
    <w:rsid w:val="00373961"/>
    <w:rsid w:val="003739C9"/>
    <w:rsid w:val="003739D7"/>
    <w:rsid w:val="00374266"/>
    <w:rsid w:val="003747DB"/>
    <w:rsid w:val="00374A21"/>
    <w:rsid w:val="00374C8C"/>
    <w:rsid w:val="00375001"/>
    <w:rsid w:val="0037527D"/>
    <w:rsid w:val="00375501"/>
    <w:rsid w:val="003755A7"/>
    <w:rsid w:val="003755D0"/>
    <w:rsid w:val="003756C6"/>
    <w:rsid w:val="00375BAA"/>
    <w:rsid w:val="00375BC2"/>
    <w:rsid w:val="00375D03"/>
    <w:rsid w:val="00375DBF"/>
    <w:rsid w:val="00375EE3"/>
    <w:rsid w:val="00376448"/>
    <w:rsid w:val="00376811"/>
    <w:rsid w:val="00376CBE"/>
    <w:rsid w:val="00376EB9"/>
    <w:rsid w:val="003775BF"/>
    <w:rsid w:val="00377BC3"/>
    <w:rsid w:val="003807B4"/>
    <w:rsid w:val="00381657"/>
    <w:rsid w:val="00381902"/>
    <w:rsid w:val="00382011"/>
    <w:rsid w:val="00382179"/>
    <w:rsid w:val="00382327"/>
    <w:rsid w:val="0038241F"/>
    <w:rsid w:val="00382446"/>
    <w:rsid w:val="00382B10"/>
    <w:rsid w:val="00382ECC"/>
    <w:rsid w:val="00383056"/>
    <w:rsid w:val="00383156"/>
    <w:rsid w:val="00383194"/>
    <w:rsid w:val="0038346D"/>
    <w:rsid w:val="00383756"/>
    <w:rsid w:val="0038385B"/>
    <w:rsid w:val="00383AE7"/>
    <w:rsid w:val="00383E3E"/>
    <w:rsid w:val="00383F92"/>
    <w:rsid w:val="00384251"/>
    <w:rsid w:val="0038437F"/>
    <w:rsid w:val="0038439B"/>
    <w:rsid w:val="003844B9"/>
    <w:rsid w:val="00384ADD"/>
    <w:rsid w:val="00384B40"/>
    <w:rsid w:val="00384CFE"/>
    <w:rsid w:val="00384E37"/>
    <w:rsid w:val="00384E66"/>
    <w:rsid w:val="0038581F"/>
    <w:rsid w:val="00386C4B"/>
    <w:rsid w:val="00386E55"/>
    <w:rsid w:val="00386F7E"/>
    <w:rsid w:val="00387026"/>
    <w:rsid w:val="003872C3"/>
    <w:rsid w:val="00387438"/>
    <w:rsid w:val="003877E4"/>
    <w:rsid w:val="003878CF"/>
    <w:rsid w:val="00387DE2"/>
    <w:rsid w:val="0039051E"/>
    <w:rsid w:val="003909A5"/>
    <w:rsid w:val="00390E5A"/>
    <w:rsid w:val="00390F57"/>
    <w:rsid w:val="003912A1"/>
    <w:rsid w:val="00391C15"/>
    <w:rsid w:val="00392465"/>
    <w:rsid w:val="00392503"/>
    <w:rsid w:val="00392916"/>
    <w:rsid w:val="00392928"/>
    <w:rsid w:val="003929BB"/>
    <w:rsid w:val="00392E01"/>
    <w:rsid w:val="00392E97"/>
    <w:rsid w:val="0039381D"/>
    <w:rsid w:val="003939B5"/>
    <w:rsid w:val="00393E4F"/>
    <w:rsid w:val="00394263"/>
    <w:rsid w:val="003945F4"/>
    <w:rsid w:val="003946D2"/>
    <w:rsid w:val="00394744"/>
    <w:rsid w:val="003949A0"/>
    <w:rsid w:val="0039516A"/>
    <w:rsid w:val="003952BC"/>
    <w:rsid w:val="0039547E"/>
    <w:rsid w:val="00395856"/>
    <w:rsid w:val="00395DC2"/>
    <w:rsid w:val="00395DE6"/>
    <w:rsid w:val="003961ED"/>
    <w:rsid w:val="003961F3"/>
    <w:rsid w:val="003963D1"/>
    <w:rsid w:val="003966BD"/>
    <w:rsid w:val="003967D6"/>
    <w:rsid w:val="00396A7D"/>
    <w:rsid w:val="00396D3A"/>
    <w:rsid w:val="00396DAA"/>
    <w:rsid w:val="00396F33"/>
    <w:rsid w:val="00397591"/>
    <w:rsid w:val="00397A72"/>
    <w:rsid w:val="00397BFC"/>
    <w:rsid w:val="003A009E"/>
    <w:rsid w:val="003A0474"/>
    <w:rsid w:val="003A077A"/>
    <w:rsid w:val="003A0A62"/>
    <w:rsid w:val="003A0E77"/>
    <w:rsid w:val="003A1102"/>
    <w:rsid w:val="003A117F"/>
    <w:rsid w:val="003A139C"/>
    <w:rsid w:val="003A28FE"/>
    <w:rsid w:val="003A2C6B"/>
    <w:rsid w:val="003A2EC1"/>
    <w:rsid w:val="003A30A5"/>
    <w:rsid w:val="003A33F0"/>
    <w:rsid w:val="003A341C"/>
    <w:rsid w:val="003A37B4"/>
    <w:rsid w:val="003A3B2E"/>
    <w:rsid w:val="003A3F2D"/>
    <w:rsid w:val="003A4071"/>
    <w:rsid w:val="003A408B"/>
    <w:rsid w:val="003A419A"/>
    <w:rsid w:val="003A41A6"/>
    <w:rsid w:val="003A44A8"/>
    <w:rsid w:val="003A4A1F"/>
    <w:rsid w:val="003A4E21"/>
    <w:rsid w:val="003A4FAD"/>
    <w:rsid w:val="003A503C"/>
    <w:rsid w:val="003A56CA"/>
    <w:rsid w:val="003A5AD6"/>
    <w:rsid w:val="003A67BB"/>
    <w:rsid w:val="003A6A76"/>
    <w:rsid w:val="003A6CBA"/>
    <w:rsid w:val="003A6F6C"/>
    <w:rsid w:val="003A7020"/>
    <w:rsid w:val="003A72D1"/>
    <w:rsid w:val="003A7DA9"/>
    <w:rsid w:val="003A7DCF"/>
    <w:rsid w:val="003A7EBB"/>
    <w:rsid w:val="003B0082"/>
    <w:rsid w:val="003B021B"/>
    <w:rsid w:val="003B02FB"/>
    <w:rsid w:val="003B079C"/>
    <w:rsid w:val="003B0CC3"/>
    <w:rsid w:val="003B0EBE"/>
    <w:rsid w:val="003B0EEB"/>
    <w:rsid w:val="003B13D2"/>
    <w:rsid w:val="003B1605"/>
    <w:rsid w:val="003B1840"/>
    <w:rsid w:val="003B19B5"/>
    <w:rsid w:val="003B19D0"/>
    <w:rsid w:val="003B1D8B"/>
    <w:rsid w:val="003B2048"/>
    <w:rsid w:val="003B2202"/>
    <w:rsid w:val="003B2410"/>
    <w:rsid w:val="003B2900"/>
    <w:rsid w:val="003B29BF"/>
    <w:rsid w:val="003B2D2E"/>
    <w:rsid w:val="003B3665"/>
    <w:rsid w:val="003B3D33"/>
    <w:rsid w:val="003B3EAB"/>
    <w:rsid w:val="003B3F45"/>
    <w:rsid w:val="003B3FB9"/>
    <w:rsid w:val="003B4027"/>
    <w:rsid w:val="003B410E"/>
    <w:rsid w:val="003B4526"/>
    <w:rsid w:val="003B460D"/>
    <w:rsid w:val="003B4DDC"/>
    <w:rsid w:val="003B56F2"/>
    <w:rsid w:val="003B58B3"/>
    <w:rsid w:val="003B5C12"/>
    <w:rsid w:val="003B6525"/>
    <w:rsid w:val="003B68B1"/>
    <w:rsid w:val="003B6A90"/>
    <w:rsid w:val="003B6ABE"/>
    <w:rsid w:val="003B6EE2"/>
    <w:rsid w:val="003B7281"/>
    <w:rsid w:val="003B76F2"/>
    <w:rsid w:val="003B7766"/>
    <w:rsid w:val="003B7885"/>
    <w:rsid w:val="003B7C8D"/>
    <w:rsid w:val="003C0A25"/>
    <w:rsid w:val="003C0D1C"/>
    <w:rsid w:val="003C0DB2"/>
    <w:rsid w:val="003C0EA2"/>
    <w:rsid w:val="003C0FFC"/>
    <w:rsid w:val="003C13EA"/>
    <w:rsid w:val="003C1487"/>
    <w:rsid w:val="003C1869"/>
    <w:rsid w:val="003C1B0A"/>
    <w:rsid w:val="003C1BE8"/>
    <w:rsid w:val="003C1D58"/>
    <w:rsid w:val="003C1EC6"/>
    <w:rsid w:val="003C200E"/>
    <w:rsid w:val="003C27E0"/>
    <w:rsid w:val="003C28CD"/>
    <w:rsid w:val="003C2A5A"/>
    <w:rsid w:val="003C2D49"/>
    <w:rsid w:val="003C2DCA"/>
    <w:rsid w:val="003C2E00"/>
    <w:rsid w:val="003C2EFB"/>
    <w:rsid w:val="003C3241"/>
    <w:rsid w:val="003C37D6"/>
    <w:rsid w:val="003C40CB"/>
    <w:rsid w:val="003C4285"/>
    <w:rsid w:val="003C4626"/>
    <w:rsid w:val="003C48C3"/>
    <w:rsid w:val="003C4FB4"/>
    <w:rsid w:val="003C5193"/>
    <w:rsid w:val="003C520E"/>
    <w:rsid w:val="003C55C7"/>
    <w:rsid w:val="003C59B0"/>
    <w:rsid w:val="003C616B"/>
    <w:rsid w:val="003C61FF"/>
    <w:rsid w:val="003C6744"/>
    <w:rsid w:val="003C6CD6"/>
    <w:rsid w:val="003C70B7"/>
    <w:rsid w:val="003C7202"/>
    <w:rsid w:val="003C728F"/>
    <w:rsid w:val="003C7E18"/>
    <w:rsid w:val="003D08D9"/>
    <w:rsid w:val="003D0B35"/>
    <w:rsid w:val="003D0DC4"/>
    <w:rsid w:val="003D0E99"/>
    <w:rsid w:val="003D108B"/>
    <w:rsid w:val="003D16A2"/>
    <w:rsid w:val="003D1779"/>
    <w:rsid w:val="003D191F"/>
    <w:rsid w:val="003D1BD9"/>
    <w:rsid w:val="003D21CC"/>
    <w:rsid w:val="003D2277"/>
    <w:rsid w:val="003D276F"/>
    <w:rsid w:val="003D2A54"/>
    <w:rsid w:val="003D2B04"/>
    <w:rsid w:val="003D3062"/>
    <w:rsid w:val="003D3181"/>
    <w:rsid w:val="003D3C46"/>
    <w:rsid w:val="003D3F53"/>
    <w:rsid w:val="003D43FB"/>
    <w:rsid w:val="003D4853"/>
    <w:rsid w:val="003D4951"/>
    <w:rsid w:val="003D502D"/>
    <w:rsid w:val="003D524D"/>
    <w:rsid w:val="003D5A7E"/>
    <w:rsid w:val="003D5CC5"/>
    <w:rsid w:val="003D61A7"/>
    <w:rsid w:val="003D6680"/>
    <w:rsid w:val="003D68A2"/>
    <w:rsid w:val="003D7A33"/>
    <w:rsid w:val="003D7E4D"/>
    <w:rsid w:val="003D7E60"/>
    <w:rsid w:val="003D7E9F"/>
    <w:rsid w:val="003E02B8"/>
    <w:rsid w:val="003E0636"/>
    <w:rsid w:val="003E06D8"/>
    <w:rsid w:val="003E081D"/>
    <w:rsid w:val="003E0A5F"/>
    <w:rsid w:val="003E14B5"/>
    <w:rsid w:val="003E1A35"/>
    <w:rsid w:val="003E1EBC"/>
    <w:rsid w:val="003E239F"/>
    <w:rsid w:val="003E2668"/>
    <w:rsid w:val="003E2771"/>
    <w:rsid w:val="003E2844"/>
    <w:rsid w:val="003E2B23"/>
    <w:rsid w:val="003E2D0D"/>
    <w:rsid w:val="003E2D67"/>
    <w:rsid w:val="003E322B"/>
    <w:rsid w:val="003E3371"/>
    <w:rsid w:val="003E3779"/>
    <w:rsid w:val="003E3871"/>
    <w:rsid w:val="003E3DBC"/>
    <w:rsid w:val="003E47B8"/>
    <w:rsid w:val="003E4B9C"/>
    <w:rsid w:val="003E50BE"/>
    <w:rsid w:val="003E5377"/>
    <w:rsid w:val="003E5471"/>
    <w:rsid w:val="003E5613"/>
    <w:rsid w:val="003E5AAE"/>
    <w:rsid w:val="003E5D90"/>
    <w:rsid w:val="003E5EA5"/>
    <w:rsid w:val="003E5FCF"/>
    <w:rsid w:val="003E60CB"/>
    <w:rsid w:val="003E6255"/>
    <w:rsid w:val="003E6639"/>
    <w:rsid w:val="003E6925"/>
    <w:rsid w:val="003E72E0"/>
    <w:rsid w:val="003E74BE"/>
    <w:rsid w:val="003E7861"/>
    <w:rsid w:val="003E79D0"/>
    <w:rsid w:val="003E7C20"/>
    <w:rsid w:val="003F006C"/>
    <w:rsid w:val="003F0BB8"/>
    <w:rsid w:val="003F0DF6"/>
    <w:rsid w:val="003F1733"/>
    <w:rsid w:val="003F18E4"/>
    <w:rsid w:val="003F193D"/>
    <w:rsid w:val="003F1BD1"/>
    <w:rsid w:val="003F1E2F"/>
    <w:rsid w:val="003F1F42"/>
    <w:rsid w:val="003F2049"/>
    <w:rsid w:val="003F22BE"/>
    <w:rsid w:val="003F2ECF"/>
    <w:rsid w:val="003F32A6"/>
    <w:rsid w:val="003F3581"/>
    <w:rsid w:val="003F3690"/>
    <w:rsid w:val="003F3937"/>
    <w:rsid w:val="003F3BEA"/>
    <w:rsid w:val="003F469A"/>
    <w:rsid w:val="003F4C5D"/>
    <w:rsid w:val="003F4DAD"/>
    <w:rsid w:val="003F524A"/>
    <w:rsid w:val="003F5400"/>
    <w:rsid w:val="003F5675"/>
    <w:rsid w:val="003F5919"/>
    <w:rsid w:val="003F5AF3"/>
    <w:rsid w:val="003F63CD"/>
    <w:rsid w:val="003F66AC"/>
    <w:rsid w:val="003F68A7"/>
    <w:rsid w:val="003F6F17"/>
    <w:rsid w:val="003F731B"/>
    <w:rsid w:val="003F7407"/>
    <w:rsid w:val="003F76BD"/>
    <w:rsid w:val="003F7B2B"/>
    <w:rsid w:val="0040001A"/>
    <w:rsid w:val="00400054"/>
    <w:rsid w:val="0040054F"/>
    <w:rsid w:val="0040063A"/>
    <w:rsid w:val="004006EE"/>
    <w:rsid w:val="004007B4"/>
    <w:rsid w:val="004007BD"/>
    <w:rsid w:val="00401012"/>
    <w:rsid w:val="0040123B"/>
    <w:rsid w:val="004012A8"/>
    <w:rsid w:val="00401B99"/>
    <w:rsid w:val="00401D6B"/>
    <w:rsid w:val="0040222F"/>
    <w:rsid w:val="004022FB"/>
    <w:rsid w:val="004028D9"/>
    <w:rsid w:val="00402B2A"/>
    <w:rsid w:val="00403217"/>
    <w:rsid w:val="004032A9"/>
    <w:rsid w:val="00403498"/>
    <w:rsid w:val="004034E6"/>
    <w:rsid w:val="0040368D"/>
    <w:rsid w:val="0040377B"/>
    <w:rsid w:val="004039B3"/>
    <w:rsid w:val="00403DB3"/>
    <w:rsid w:val="004041E8"/>
    <w:rsid w:val="00404440"/>
    <w:rsid w:val="004048F0"/>
    <w:rsid w:val="004049CD"/>
    <w:rsid w:val="004049D4"/>
    <w:rsid w:val="00404A4F"/>
    <w:rsid w:val="00404A6F"/>
    <w:rsid w:val="00404ABC"/>
    <w:rsid w:val="00404FB4"/>
    <w:rsid w:val="00405103"/>
    <w:rsid w:val="00405230"/>
    <w:rsid w:val="004052C0"/>
    <w:rsid w:val="004052CF"/>
    <w:rsid w:val="004055C0"/>
    <w:rsid w:val="004060FA"/>
    <w:rsid w:val="004061E2"/>
    <w:rsid w:val="00406228"/>
    <w:rsid w:val="00406561"/>
    <w:rsid w:val="00406B46"/>
    <w:rsid w:val="00406D0F"/>
    <w:rsid w:val="00407475"/>
    <w:rsid w:val="004074AA"/>
    <w:rsid w:val="00407502"/>
    <w:rsid w:val="0040777B"/>
    <w:rsid w:val="00407832"/>
    <w:rsid w:val="00407898"/>
    <w:rsid w:val="00407D71"/>
    <w:rsid w:val="00407F0D"/>
    <w:rsid w:val="0041016E"/>
    <w:rsid w:val="0041029C"/>
    <w:rsid w:val="0041085C"/>
    <w:rsid w:val="00410D38"/>
    <w:rsid w:val="004110C8"/>
    <w:rsid w:val="0041119B"/>
    <w:rsid w:val="00411838"/>
    <w:rsid w:val="004120F5"/>
    <w:rsid w:val="004121DD"/>
    <w:rsid w:val="00412287"/>
    <w:rsid w:val="00412B38"/>
    <w:rsid w:val="00413444"/>
    <w:rsid w:val="0041373B"/>
    <w:rsid w:val="00413C5A"/>
    <w:rsid w:val="00413E4E"/>
    <w:rsid w:val="0041430D"/>
    <w:rsid w:val="0041467D"/>
    <w:rsid w:val="00414725"/>
    <w:rsid w:val="0041498F"/>
    <w:rsid w:val="004149D7"/>
    <w:rsid w:val="00414A86"/>
    <w:rsid w:val="00414CCD"/>
    <w:rsid w:val="00414DD8"/>
    <w:rsid w:val="00414E6C"/>
    <w:rsid w:val="00415196"/>
    <w:rsid w:val="00415893"/>
    <w:rsid w:val="00415DDB"/>
    <w:rsid w:val="0041654D"/>
    <w:rsid w:val="00416695"/>
    <w:rsid w:val="00417116"/>
    <w:rsid w:val="004176F3"/>
    <w:rsid w:val="00417CE3"/>
    <w:rsid w:val="004202B2"/>
    <w:rsid w:val="004205C0"/>
    <w:rsid w:val="004209B0"/>
    <w:rsid w:val="00420D0B"/>
    <w:rsid w:val="004211F6"/>
    <w:rsid w:val="00421469"/>
    <w:rsid w:val="004214DD"/>
    <w:rsid w:val="00421897"/>
    <w:rsid w:val="00421B2D"/>
    <w:rsid w:val="00421DCB"/>
    <w:rsid w:val="00421F3B"/>
    <w:rsid w:val="00421FE9"/>
    <w:rsid w:val="004222AC"/>
    <w:rsid w:val="004223B8"/>
    <w:rsid w:val="004224F3"/>
    <w:rsid w:val="00422A63"/>
    <w:rsid w:val="00422E81"/>
    <w:rsid w:val="00423000"/>
    <w:rsid w:val="00423D57"/>
    <w:rsid w:val="00424512"/>
    <w:rsid w:val="004249A5"/>
    <w:rsid w:val="004249F8"/>
    <w:rsid w:val="00424CA6"/>
    <w:rsid w:val="00424DB2"/>
    <w:rsid w:val="004250E3"/>
    <w:rsid w:val="0042532C"/>
    <w:rsid w:val="004259F9"/>
    <w:rsid w:val="00425DDC"/>
    <w:rsid w:val="00425E91"/>
    <w:rsid w:val="004269F6"/>
    <w:rsid w:val="00426B29"/>
    <w:rsid w:val="00426BDC"/>
    <w:rsid w:val="00426C86"/>
    <w:rsid w:val="00426D55"/>
    <w:rsid w:val="00427A55"/>
    <w:rsid w:val="00427B0E"/>
    <w:rsid w:val="00427BCC"/>
    <w:rsid w:val="00427D0A"/>
    <w:rsid w:val="00430C64"/>
    <w:rsid w:val="00430C69"/>
    <w:rsid w:val="004312D7"/>
    <w:rsid w:val="0043255C"/>
    <w:rsid w:val="00432834"/>
    <w:rsid w:val="00432BA2"/>
    <w:rsid w:val="00432DE6"/>
    <w:rsid w:val="00432F36"/>
    <w:rsid w:val="004336AB"/>
    <w:rsid w:val="00433F07"/>
    <w:rsid w:val="00434310"/>
    <w:rsid w:val="004346DB"/>
    <w:rsid w:val="00434734"/>
    <w:rsid w:val="004348F8"/>
    <w:rsid w:val="00434960"/>
    <w:rsid w:val="00434AED"/>
    <w:rsid w:val="00435390"/>
    <w:rsid w:val="00435CFE"/>
    <w:rsid w:val="00435F31"/>
    <w:rsid w:val="00436067"/>
    <w:rsid w:val="004361C1"/>
    <w:rsid w:val="00436208"/>
    <w:rsid w:val="00436523"/>
    <w:rsid w:val="00436785"/>
    <w:rsid w:val="00436C4C"/>
    <w:rsid w:val="004374C8"/>
    <w:rsid w:val="00437554"/>
    <w:rsid w:val="0043781F"/>
    <w:rsid w:val="00437C83"/>
    <w:rsid w:val="00437DB8"/>
    <w:rsid w:val="0044022D"/>
    <w:rsid w:val="0044081F"/>
    <w:rsid w:val="00440CBF"/>
    <w:rsid w:val="00440E87"/>
    <w:rsid w:val="004419E1"/>
    <w:rsid w:val="00441BC2"/>
    <w:rsid w:val="00442061"/>
    <w:rsid w:val="00442186"/>
    <w:rsid w:val="0044277A"/>
    <w:rsid w:val="0044279D"/>
    <w:rsid w:val="004427EE"/>
    <w:rsid w:val="0044314A"/>
    <w:rsid w:val="00443BCF"/>
    <w:rsid w:val="00443DEB"/>
    <w:rsid w:val="00444112"/>
    <w:rsid w:val="00444211"/>
    <w:rsid w:val="0044442F"/>
    <w:rsid w:val="00444594"/>
    <w:rsid w:val="00444A93"/>
    <w:rsid w:val="00444BD8"/>
    <w:rsid w:val="00444E99"/>
    <w:rsid w:val="00445545"/>
    <w:rsid w:val="004459AD"/>
    <w:rsid w:val="004459FC"/>
    <w:rsid w:val="00445D7A"/>
    <w:rsid w:val="00445F7E"/>
    <w:rsid w:val="00446046"/>
    <w:rsid w:val="0044631E"/>
    <w:rsid w:val="004464C9"/>
    <w:rsid w:val="004465D8"/>
    <w:rsid w:val="0044672C"/>
    <w:rsid w:val="0044678C"/>
    <w:rsid w:val="004468AC"/>
    <w:rsid w:val="004469B1"/>
    <w:rsid w:val="00446E28"/>
    <w:rsid w:val="0044715F"/>
    <w:rsid w:val="00447305"/>
    <w:rsid w:val="0044738F"/>
    <w:rsid w:val="00447638"/>
    <w:rsid w:val="00447AF9"/>
    <w:rsid w:val="00447CAD"/>
    <w:rsid w:val="00450196"/>
    <w:rsid w:val="00450565"/>
    <w:rsid w:val="0045067C"/>
    <w:rsid w:val="00450852"/>
    <w:rsid w:val="00450A22"/>
    <w:rsid w:val="00450DA5"/>
    <w:rsid w:val="00450F49"/>
    <w:rsid w:val="00450FE1"/>
    <w:rsid w:val="00451260"/>
    <w:rsid w:val="004516BA"/>
    <w:rsid w:val="00451AE5"/>
    <w:rsid w:val="00451CF1"/>
    <w:rsid w:val="00451E8F"/>
    <w:rsid w:val="0045213D"/>
    <w:rsid w:val="00452228"/>
    <w:rsid w:val="004522FF"/>
    <w:rsid w:val="00452833"/>
    <w:rsid w:val="00452E19"/>
    <w:rsid w:val="00453006"/>
    <w:rsid w:val="004541D7"/>
    <w:rsid w:val="004541FF"/>
    <w:rsid w:val="004543DC"/>
    <w:rsid w:val="00454A24"/>
    <w:rsid w:val="00455836"/>
    <w:rsid w:val="004559A8"/>
    <w:rsid w:val="00455DD2"/>
    <w:rsid w:val="004560A5"/>
    <w:rsid w:val="00456124"/>
    <w:rsid w:val="00456185"/>
    <w:rsid w:val="004561E1"/>
    <w:rsid w:val="00456937"/>
    <w:rsid w:val="00457472"/>
    <w:rsid w:val="0045763F"/>
    <w:rsid w:val="0045777C"/>
    <w:rsid w:val="00457885"/>
    <w:rsid w:val="00457EDA"/>
    <w:rsid w:val="00457F4E"/>
    <w:rsid w:val="00457F87"/>
    <w:rsid w:val="0046028A"/>
    <w:rsid w:val="004602F8"/>
    <w:rsid w:val="00460395"/>
    <w:rsid w:val="004604D6"/>
    <w:rsid w:val="004609D9"/>
    <w:rsid w:val="00460E4F"/>
    <w:rsid w:val="004612D8"/>
    <w:rsid w:val="004612E1"/>
    <w:rsid w:val="004614BE"/>
    <w:rsid w:val="004615CE"/>
    <w:rsid w:val="00461983"/>
    <w:rsid w:val="00461D4A"/>
    <w:rsid w:val="00461E10"/>
    <w:rsid w:val="0046255D"/>
    <w:rsid w:val="00462D8E"/>
    <w:rsid w:val="00462DEF"/>
    <w:rsid w:val="00462FC3"/>
    <w:rsid w:val="0046369F"/>
    <w:rsid w:val="0046370B"/>
    <w:rsid w:val="004638FE"/>
    <w:rsid w:val="00463980"/>
    <w:rsid w:val="00463B07"/>
    <w:rsid w:val="0046490C"/>
    <w:rsid w:val="0046491F"/>
    <w:rsid w:val="00464928"/>
    <w:rsid w:val="00464997"/>
    <w:rsid w:val="00464BA5"/>
    <w:rsid w:val="00465202"/>
    <w:rsid w:val="0046539A"/>
    <w:rsid w:val="004655B8"/>
    <w:rsid w:val="004657FF"/>
    <w:rsid w:val="00465863"/>
    <w:rsid w:val="004658AC"/>
    <w:rsid w:val="00465B71"/>
    <w:rsid w:val="00465D85"/>
    <w:rsid w:val="00465DCE"/>
    <w:rsid w:val="00466153"/>
    <w:rsid w:val="00466B09"/>
    <w:rsid w:val="00466CD7"/>
    <w:rsid w:val="00467135"/>
    <w:rsid w:val="00467252"/>
    <w:rsid w:val="004673F3"/>
    <w:rsid w:val="00467414"/>
    <w:rsid w:val="00467789"/>
    <w:rsid w:val="0046789E"/>
    <w:rsid w:val="00467A39"/>
    <w:rsid w:val="00467FDF"/>
    <w:rsid w:val="004703E3"/>
    <w:rsid w:val="0047052B"/>
    <w:rsid w:val="00470694"/>
    <w:rsid w:val="00470BE7"/>
    <w:rsid w:val="00470F01"/>
    <w:rsid w:val="00471039"/>
    <w:rsid w:val="004712BE"/>
    <w:rsid w:val="004714F4"/>
    <w:rsid w:val="0047209F"/>
    <w:rsid w:val="00472259"/>
    <w:rsid w:val="00472CAB"/>
    <w:rsid w:val="00472EFC"/>
    <w:rsid w:val="00472F35"/>
    <w:rsid w:val="00472F55"/>
    <w:rsid w:val="00473615"/>
    <w:rsid w:val="00473831"/>
    <w:rsid w:val="00473CAC"/>
    <w:rsid w:val="0047423E"/>
    <w:rsid w:val="004749E5"/>
    <w:rsid w:val="00474E66"/>
    <w:rsid w:val="00475116"/>
    <w:rsid w:val="00475A78"/>
    <w:rsid w:val="0047600F"/>
    <w:rsid w:val="00476628"/>
    <w:rsid w:val="004769B2"/>
    <w:rsid w:val="00476A7B"/>
    <w:rsid w:val="00476AD5"/>
    <w:rsid w:val="00476D3D"/>
    <w:rsid w:val="00476FAB"/>
    <w:rsid w:val="004771FF"/>
    <w:rsid w:val="00477956"/>
    <w:rsid w:val="004802A3"/>
    <w:rsid w:val="00480581"/>
    <w:rsid w:val="004805CE"/>
    <w:rsid w:val="00480A68"/>
    <w:rsid w:val="00480C0B"/>
    <w:rsid w:val="00480C1D"/>
    <w:rsid w:val="00480CCC"/>
    <w:rsid w:val="0048118E"/>
    <w:rsid w:val="0048177E"/>
    <w:rsid w:val="00481EA6"/>
    <w:rsid w:val="004824CB"/>
    <w:rsid w:val="00482851"/>
    <w:rsid w:val="00482995"/>
    <w:rsid w:val="00482D03"/>
    <w:rsid w:val="00482FC4"/>
    <w:rsid w:val="00483311"/>
    <w:rsid w:val="00483546"/>
    <w:rsid w:val="0048354C"/>
    <w:rsid w:val="004836C1"/>
    <w:rsid w:val="004836DF"/>
    <w:rsid w:val="00484821"/>
    <w:rsid w:val="00484A66"/>
    <w:rsid w:val="00484ECD"/>
    <w:rsid w:val="0048519E"/>
    <w:rsid w:val="00485BEA"/>
    <w:rsid w:val="004862C1"/>
    <w:rsid w:val="00486C6C"/>
    <w:rsid w:val="00486E38"/>
    <w:rsid w:val="0048704B"/>
    <w:rsid w:val="00487122"/>
    <w:rsid w:val="004876B2"/>
    <w:rsid w:val="004879A5"/>
    <w:rsid w:val="00487A90"/>
    <w:rsid w:val="00487E71"/>
    <w:rsid w:val="004904F2"/>
    <w:rsid w:val="004904F3"/>
    <w:rsid w:val="004917BF"/>
    <w:rsid w:val="00491A4E"/>
    <w:rsid w:val="0049208B"/>
    <w:rsid w:val="0049243A"/>
    <w:rsid w:val="00492708"/>
    <w:rsid w:val="00492C47"/>
    <w:rsid w:val="0049303A"/>
    <w:rsid w:val="004937D7"/>
    <w:rsid w:val="00493C76"/>
    <w:rsid w:val="004945F1"/>
    <w:rsid w:val="00495431"/>
    <w:rsid w:val="0049569D"/>
    <w:rsid w:val="0049584B"/>
    <w:rsid w:val="00495CA8"/>
    <w:rsid w:val="00495D4A"/>
    <w:rsid w:val="00496237"/>
    <w:rsid w:val="00496391"/>
    <w:rsid w:val="00496A84"/>
    <w:rsid w:val="00496B90"/>
    <w:rsid w:val="00496CA0"/>
    <w:rsid w:val="00496EB4"/>
    <w:rsid w:val="00496F59"/>
    <w:rsid w:val="004971D7"/>
    <w:rsid w:val="00497341"/>
    <w:rsid w:val="00497528"/>
    <w:rsid w:val="0049763B"/>
    <w:rsid w:val="00497861"/>
    <w:rsid w:val="004A0124"/>
    <w:rsid w:val="004A0132"/>
    <w:rsid w:val="004A087D"/>
    <w:rsid w:val="004A0A29"/>
    <w:rsid w:val="004A18F2"/>
    <w:rsid w:val="004A1CAD"/>
    <w:rsid w:val="004A20EC"/>
    <w:rsid w:val="004A2259"/>
    <w:rsid w:val="004A2BA4"/>
    <w:rsid w:val="004A3406"/>
    <w:rsid w:val="004A35A0"/>
    <w:rsid w:val="004A36D9"/>
    <w:rsid w:val="004A3E45"/>
    <w:rsid w:val="004A4101"/>
    <w:rsid w:val="004A4422"/>
    <w:rsid w:val="004A4620"/>
    <w:rsid w:val="004A48AE"/>
    <w:rsid w:val="004A48C4"/>
    <w:rsid w:val="004A4F7F"/>
    <w:rsid w:val="004A503F"/>
    <w:rsid w:val="004A6024"/>
    <w:rsid w:val="004A6580"/>
    <w:rsid w:val="004A6C53"/>
    <w:rsid w:val="004A6E4E"/>
    <w:rsid w:val="004A749F"/>
    <w:rsid w:val="004A7696"/>
    <w:rsid w:val="004A7772"/>
    <w:rsid w:val="004A7868"/>
    <w:rsid w:val="004A7929"/>
    <w:rsid w:val="004A7AB0"/>
    <w:rsid w:val="004A7B09"/>
    <w:rsid w:val="004B00C0"/>
    <w:rsid w:val="004B0159"/>
    <w:rsid w:val="004B0323"/>
    <w:rsid w:val="004B05F6"/>
    <w:rsid w:val="004B0791"/>
    <w:rsid w:val="004B0F6E"/>
    <w:rsid w:val="004B1337"/>
    <w:rsid w:val="004B1458"/>
    <w:rsid w:val="004B1D87"/>
    <w:rsid w:val="004B2135"/>
    <w:rsid w:val="004B21B4"/>
    <w:rsid w:val="004B2466"/>
    <w:rsid w:val="004B2582"/>
    <w:rsid w:val="004B2734"/>
    <w:rsid w:val="004B2A37"/>
    <w:rsid w:val="004B2A4E"/>
    <w:rsid w:val="004B2B75"/>
    <w:rsid w:val="004B2E83"/>
    <w:rsid w:val="004B3A18"/>
    <w:rsid w:val="004B3B12"/>
    <w:rsid w:val="004B3BDD"/>
    <w:rsid w:val="004B557A"/>
    <w:rsid w:val="004B56E8"/>
    <w:rsid w:val="004B56FE"/>
    <w:rsid w:val="004B5B16"/>
    <w:rsid w:val="004B5D29"/>
    <w:rsid w:val="004B6C4A"/>
    <w:rsid w:val="004B6DAA"/>
    <w:rsid w:val="004B6DBF"/>
    <w:rsid w:val="004B6E7F"/>
    <w:rsid w:val="004B7238"/>
    <w:rsid w:val="004B74D2"/>
    <w:rsid w:val="004B7C65"/>
    <w:rsid w:val="004C002A"/>
    <w:rsid w:val="004C0251"/>
    <w:rsid w:val="004C0594"/>
    <w:rsid w:val="004C0851"/>
    <w:rsid w:val="004C09A8"/>
    <w:rsid w:val="004C0F20"/>
    <w:rsid w:val="004C147C"/>
    <w:rsid w:val="004C1587"/>
    <w:rsid w:val="004C1842"/>
    <w:rsid w:val="004C1D31"/>
    <w:rsid w:val="004C240B"/>
    <w:rsid w:val="004C2B1F"/>
    <w:rsid w:val="004C2E2E"/>
    <w:rsid w:val="004C3108"/>
    <w:rsid w:val="004C382A"/>
    <w:rsid w:val="004C3880"/>
    <w:rsid w:val="004C38A1"/>
    <w:rsid w:val="004C3F2C"/>
    <w:rsid w:val="004C4601"/>
    <w:rsid w:val="004C47E1"/>
    <w:rsid w:val="004C4BA5"/>
    <w:rsid w:val="004C4C46"/>
    <w:rsid w:val="004C4D0D"/>
    <w:rsid w:val="004C4D77"/>
    <w:rsid w:val="004C4E8A"/>
    <w:rsid w:val="004C5056"/>
    <w:rsid w:val="004C53C8"/>
    <w:rsid w:val="004C549C"/>
    <w:rsid w:val="004C5CCF"/>
    <w:rsid w:val="004C6AA6"/>
    <w:rsid w:val="004C6BAE"/>
    <w:rsid w:val="004C76BC"/>
    <w:rsid w:val="004D0158"/>
    <w:rsid w:val="004D0679"/>
    <w:rsid w:val="004D0B72"/>
    <w:rsid w:val="004D1119"/>
    <w:rsid w:val="004D1319"/>
    <w:rsid w:val="004D13BA"/>
    <w:rsid w:val="004D1434"/>
    <w:rsid w:val="004D15E0"/>
    <w:rsid w:val="004D1953"/>
    <w:rsid w:val="004D1DF1"/>
    <w:rsid w:val="004D1FB7"/>
    <w:rsid w:val="004D27F0"/>
    <w:rsid w:val="004D2847"/>
    <w:rsid w:val="004D28BA"/>
    <w:rsid w:val="004D29E5"/>
    <w:rsid w:val="004D2B83"/>
    <w:rsid w:val="004D2B98"/>
    <w:rsid w:val="004D2E32"/>
    <w:rsid w:val="004D2F26"/>
    <w:rsid w:val="004D2FA9"/>
    <w:rsid w:val="004D36A0"/>
    <w:rsid w:val="004D3844"/>
    <w:rsid w:val="004D444D"/>
    <w:rsid w:val="004D49D3"/>
    <w:rsid w:val="004D4D11"/>
    <w:rsid w:val="004D4D84"/>
    <w:rsid w:val="004D5042"/>
    <w:rsid w:val="004D52EB"/>
    <w:rsid w:val="004D53D0"/>
    <w:rsid w:val="004D5534"/>
    <w:rsid w:val="004D55FF"/>
    <w:rsid w:val="004D566C"/>
    <w:rsid w:val="004D5903"/>
    <w:rsid w:val="004D5F79"/>
    <w:rsid w:val="004D64E1"/>
    <w:rsid w:val="004D68E7"/>
    <w:rsid w:val="004D7539"/>
    <w:rsid w:val="004D7EB9"/>
    <w:rsid w:val="004D7EE1"/>
    <w:rsid w:val="004E00CA"/>
    <w:rsid w:val="004E048F"/>
    <w:rsid w:val="004E058A"/>
    <w:rsid w:val="004E0EF0"/>
    <w:rsid w:val="004E1B24"/>
    <w:rsid w:val="004E2123"/>
    <w:rsid w:val="004E2578"/>
    <w:rsid w:val="004E25F1"/>
    <w:rsid w:val="004E2995"/>
    <w:rsid w:val="004E2CF6"/>
    <w:rsid w:val="004E2E82"/>
    <w:rsid w:val="004E2F5F"/>
    <w:rsid w:val="004E3105"/>
    <w:rsid w:val="004E317D"/>
    <w:rsid w:val="004E32E4"/>
    <w:rsid w:val="004E3899"/>
    <w:rsid w:val="004E46BF"/>
    <w:rsid w:val="004E4815"/>
    <w:rsid w:val="004E4A46"/>
    <w:rsid w:val="004E4BA2"/>
    <w:rsid w:val="004E4C1E"/>
    <w:rsid w:val="004E4CAD"/>
    <w:rsid w:val="004E5333"/>
    <w:rsid w:val="004E536E"/>
    <w:rsid w:val="004E574A"/>
    <w:rsid w:val="004E594F"/>
    <w:rsid w:val="004E5B16"/>
    <w:rsid w:val="004E5E09"/>
    <w:rsid w:val="004E5E54"/>
    <w:rsid w:val="004E64B0"/>
    <w:rsid w:val="004E6B4A"/>
    <w:rsid w:val="004E6C2C"/>
    <w:rsid w:val="004E6C4B"/>
    <w:rsid w:val="004F003A"/>
    <w:rsid w:val="004F0082"/>
    <w:rsid w:val="004F0183"/>
    <w:rsid w:val="004F0395"/>
    <w:rsid w:val="004F0AE9"/>
    <w:rsid w:val="004F0D7C"/>
    <w:rsid w:val="004F1878"/>
    <w:rsid w:val="004F22A0"/>
    <w:rsid w:val="004F2579"/>
    <w:rsid w:val="004F2692"/>
    <w:rsid w:val="004F292C"/>
    <w:rsid w:val="004F2A03"/>
    <w:rsid w:val="004F2BDE"/>
    <w:rsid w:val="004F2F3F"/>
    <w:rsid w:val="004F34E8"/>
    <w:rsid w:val="004F3859"/>
    <w:rsid w:val="004F3DFA"/>
    <w:rsid w:val="004F43A7"/>
    <w:rsid w:val="004F4538"/>
    <w:rsid w:val="004F499E"/>
    <w:rsid w:val="004F5194"/>
    <w:rsid w:val="004F5A3C"/>
    <w:rsid w:val="004F5C31"/>
    <w:rsid w:val="004F5C82"/>
    <w:rsid w:val="004F5D6C"/>
    <w:rsid w:val="004F6680"/>
    <w:rsid w:val="004F66D7"/>
    <w:rsid w:val="004F6868"/>
    <w:rsid w:val="004F6CBB"/>
    <w:rsid w:val="004F7347"/>
    <w:rsid w:val="004F7415"/>
    <w:rsid w:val="004F7653"/>
    <w:rsid w:val="00500040"/>
    <w:rsid w:val="0050005A"/>
    <w:rsid w:val="0050009E"/>
    <w:rsid w:val="005002E3"/>
    <w:rsid w:val="005006FA"/>
    <w:rsid w:val="00500EE5"/>
    <w:rsid w:val="00501D2A"/>
    <w:rsid w:val="00501E5F"/>
    <w:rsid w:val="005026D8"/>
    <w:rsid w:val="0050296C"/>
    <w:rsid w:val="0050383C"/>
    <w:rsid w:val="00503AE5"/>
    <w:rsid w:val="00503C73"/>
    <w:rsid w:val="00503DDA"/>
    <w:rsid w:val="0050410C"/>
    <w:rsid w:val="00504540"/>
    <w:rsid w:val="00504910"/>
    <w:rsid w:val="00504A07"/>
    <w:rsid w:val="00504A5D"/>
    <w:rsid w:val="00504B56"/>
    <w:rsid w:val="00504B62"/>
    <w:rsid w:val="00505090"/>
    <w:rsid w:val="005050D5"/>
    <w:rsid w:val="005053B2"/>
    <w:rsid w:val="00505696"/>
    <w:rsid w:val="0050572C"/>
    <w:rsid w:val="005058B8"/>
    <w:rsid w:val="00506486"/>
    <w:rsid w:val="00506844"/>
    <w:rsid w:val="0050702F"/>
    <w:rsid w:val="00507205"/>
    <w:rsid w:val="00507535"/>
    <w:rsid w:val="00507AE4"/>
    <w:rsid w:val="00507DBC"/>
    <w:rsid w:val="00507E0E"/>
    <w:rsid w:val="0051015A"/>
    <w:rsid w:val="00510457"/>
    <w:rsid w:val="00510510"/>
    <w:rsid w:val="005106DB"/>
    <w:rsid w:val="005110BB"/>
    <w:rsid w:val="005117E0"/>
    <w:rsid w:val="0051187D"/>
    <w:rsid w:val="00511943"/>
    <w:rsid w:val="00511A56"/>
    <w:rsid w:val="00511C30"/>
    <w:rsid w:val="005120E9"/>
    <w:rsid w:val="00512330"/>
    <w:rsid w:val="0051237C"/>
    <w:rsid w:val="00512390"/>
    <w:rsid w:val="0051258C"/>
    <w:rsid w:val="00512BE1"/>
    <w:rsid w:val="00512EAD"/>
    <w:rsid w:val="00513199"/>
    <w:rsid w:val="00513349"/>
    <w:rsid w:val="00513A8F"/>
    <w:rsid w:val="00513DC1"/>
    <w:rsid w:val="0051418A"/>
    <w:rsid w:val="00514392"/>
    <w:rsid w:val="00514962"/>
    <w:rsid w:val="00514B11"/>
    <w:rsid w:val="00514B53"/>
    <w:rsid w:val="00514C73"/>
    <w:rsid w:val="00514E46"/>
    <w:rsid w:val="005151A2"/>
    <w:rsid w:val="00515D37"/>
    <w:rsid w:val="00515DAC"/>
    <w:rsid w:val="005160CF"/>
    <w:rsid w:val="0051629C"/>
    <w:rsid w:val="0051645B"/>
    <w:rsid w:val="005179E3"/>
    <w:rsid w:val="00517D43"/>
    <w:rsid w:val="00517D63"/>
    <w:rsid w:val="00520867"/>
    <w:rsid w:val="00520887"/>
    <w:rsid w:val="005208B9"/>
    <w:rsid w:val="00520A63"/>
    <w:rsid w:val="00520C0B"/>
    <w:rsid w:val="005219D3"/>
    <w:rsid w:val="005219E9"/>
    <w:rsid w:val="00521BC1"/>
    <w:rsid w:val="00521E03"/>
    <w:rsid w:val="00521E4F"/>
    <w:rsid w:val="005220DC"/>
    <w:rsid w:val="0052292F"/>
    <w:rsid w:val="005229BD"/>
    <w:rsid w:val="00522F59"/>
    <w:rsid w:val="00523070"/>
    <w:rsid w:val="00523483"/>
    <w:rsid w:val="00523782"/>
    <w:rsid w:val="00523CD1"/>
    <w:rsid w:val="00523D1B"/>
    <w:rsid w:val="00523E74"/>
    <w:rsid w:val="00524035"/>
    <w:rsid w:val="00524CED"/>
    <w:rsid w:val="00524D55"/>
    <w:rsid w:val="00524E2F"/>
    <w:rsid w:val="00525056"/>
    <w:rsid w:val="00525137"/>
    <w:rsid w:val="00525644"/>
    <w:rsid w:val="005257A1"/>
    <w:rsid w:val="00525ADB"/>
    <w:rsid w:val="00525E61"/>
    <w:rsid w:val="00525EAA"/>
    <w:rsid w:val="00526BB9"/>
    <w:rsid w:val="00527201"/>
    <w:rsid w:val="0052720E"/>
    <w:rsid w:val="005272F0"/>
    <w:rsid w:val="005273F6"/>
    <w:rsid w:val="005277F6"/>
    <w:rsid w:val="00527BA2"/>
    <w:rsid w:val="00527BB1"/>
    <w:rsid w:val="0053043A"/>
    <w:rsid w:val="00530824"/>
    <w:rsid w:val="005309D4"/>
    <w:rsid w:val="0053104A"/>
    <w:rsid w:val="00531124"/>
    <w:rsid w:val="00531446"/>
    <w:rsid w:val="0053188E"/>
    <w:rsid w:val="00531AA2"/>
    <w:rsid w:val="00532436"/>
    <w:rsid w:val="0053381F"/>
    <w:rsid w:val="00533C14"/>
    <w:rsid w:val="00534632"/>
    <w:rsid w:val="00534E97"/>
    <w:rsid w:val="00534F16"/>
    <w:rsid w:val="005350A6"/>
    <w:rsid w:val="00535706"/>
    <w:rsid w:val="00535F72"/>
    <w:rsid w:val="00536472"/>
    <w:rsid w:val="00536D0E"/>
    <w:rsid w:val="00536FA9"/>
    <w:rsid w:val="00537D43"/>
    <w:rsid w:val="0054015F"/>
    <w:rsid w:val="0054037B"/>
    <w:rsid w:val="00540E48"/>
    <w:rsid w:val="0054114D"/>
    <w:rsid w:val="005417EE"/>
    <w:rsid w:val="00541CB3"/>
    <w:rsid w:val="005423C7"/>
    <w:rsid w:val="0054253B"/>
    <w:rsid w:val="0054282C"/>
    <w:rsid w:val="00542AD7"/>
    <w:rsid w:val="00543ADB"/>
    <w:rsid w:val="00543D18"/>
    <w:rsid w:val="00543F93"/>
    <w:rsid w:val="005441CA"/>
    <w:rsid w:val="005445D2"/>
    <w:rsid w:val="00544C8D"/>
    <w:rsid w:val="00544EE5"/>
    <w:rsid w:val="005450D0"/>
    <w:rsid w:val="00545615"/>
    <w:rsid w:val="00545B9A"/>
    <w:rsid w:val="00546232"/>
    <w:rsid w:val="005465F8"/>
    <w:rsid w:val="00546644"/>
    <w:rsid w:val="005470CC"/>
    <w:rsid w:val="00547883"/>
    <w:rsid w:val="005509DB"/>
    <w:rsid w:val="00551921"/>
    <w:rsid w:val="0055194F"/>
    <w:rsid w:val="00551FFD"/>
    <w:rsid w:val="005520DD"/>
    <w:rsid w:val="005520EF"/>
    <w:rsid w:val="005522DC"/>
    <w:rsid w:val="005528D1"/>
    <w:rsid w:val="00552AA0"/>
    <w:rsid w:val="005530CA"/>
    <w:rsid w:val="0055388F"/>
    <w:rsid w:val="00553A84"/>
    <w:rsid w:val="00553B5F"/>
    <w:rsid w:val="005540BE"/>
    <w:rsid w:val="00555090"/>
    <w:rsid w:val="0055598A"/>
    <w:rsid w:val="00555AB2"/>
    <w:rsid w:val="00555AD6"/>
    <w:rsid w:val="00556107"/>
    <w:rsid w:val="00556BBD"/>
    <w:rsid w:val="00556EA9"/>
    <w:rsid w:val="005570AE"/>
    <w:rsid w:val="005571EE"/>
    <w:rsid w:val="005572DE"/>
    <w:rsid w:val="00557406"/>
    <w:rsid w:val="00557415"/>
    <w:rsid w:val="005607FC"/>
    <w:rsid w:val="00560DA1"/>
    <w:rsid w:val="00560E0C"/>
    <w:rsid w:val="00561655"/>
    <w:rsid w:val="00561D0C"/>
    <w:rsid w:val="005620A2"/>
    <w:rsid w:val="005624C1"/>
    <w:rsid w:val="00562DB0"/>
    <w:rsid w:val="00563483"/>
    <w:rsid w:val="005639D4"/>
    <w:rsid w:val="00563CAD"/>
    <w:rsid w:val="00563CE6"/>
    <w:rsid w:val="00563E23"/>
    <w:rsid w:val="0056420A"/>
    <w:rsid w:val="00564236"/>
    <w:rsid w:val="0056432D"/>
    <w:rsid w:val="005647DE"/>
    <w:rsid w:val="00564899"/>
    <w:rsid w:val="00564A2E"/>
    <w:rsid w:val="00564A5C"/>
    <w:rsid w:val="00564CF9"/>
    <w:rsid w:val="00564E3A"/>
    <w:rsid w:val="005653A1"/>
    <w:rsid w:val="005653C9"/>
    <w:rsid w:val="00565494"/>
    <w:rsid w:val="0056553A"/>
    <w:rsid w:val="00565680"/>
    <w:rsid w:val="005659B1"/>
    <w:rsid w:val="00565E63"/>
    <w:rsid w:val="00566033"/>
    <w:rsid w:val="0056618C"/>
    <w:rsid w:val="00567461"/>
    <w:rsid w:val="005675EC"/>
    <w:rsid w:val="0056780E"/>
    <w:rsid w:val="005678AF"/>
    <w:rsid w:val="00567A47"/>
    <w:rsid w:val="00567F3D"/>
    <w:rsid w:val="0057003D"/>
    <w:rsid w:val="00571296"/>
    <w:rsid w:val="005717C7"/>
    <w:rsid w:val="00571BCE"/>
    <w:rsid w:val="00571BFE"/>
    <w:rsid w:val="005722E2"/>
    <w:rsid w:val="005724AB"/>
    <w:rsid w:val="00572E57"/>
    <w:rsid w:val="005734D0"/>
    <w:rsid w:val="00573565"/>
    <w:rsid w:val="00573885"/>
    <w:rsid w:val="00573D7B"/>
    <w:rsid w:val="00573F0E"/>
    <w:rsid w:val="005742AE"/>
    <w:rsid w:val="005742FF"/>
    <w:rsid w:val="00574D1E"/>
    <w:rsid w:val="00574F4F"/>
    <w:rsid w:val="00574FC4"/>
    <w:rsid w:val="00575069"/>
    <w:rsid w:val="005756C2"/>
    <w:rsid w:val="0057590F"/>
    <w:rsid w:val="00575A66"/>
    <w:rsid w:val="00575B28"/>
    <w:rsid w:val="00575C6E"/>
    <w:rsid w:val="00575E20"/>
    <w:rsid w:val="00575E73"/>
    <w:rsid w:val="00576529"/>
    <w:rsid w:val="00576C6D"/>
    <w:rsid w:val="00576C8B"/>
    <w:rsid w:val="005773C0"/>
    <w:rsid w:val="00577EF0"/>
    <w:rsid w:val="0058002A"/>
    <w:rsid w:val="005802B5"/>
    <w:rsid w:val="0058033A"/>
    <w:rsid w:val="005808F7"/>
    <w:rsid w:val="00580B81"/>
    <w:rsid w:val="005810A5"/>
    <w:rsid w:val="00581489"/>
    <w:rsid w:val="00581BA4"/>
    <w:rsid w:val="00581CAA"/>
    <w:rsid w:val="0058243B"/>
    <w:rsid w:val="00582645"/>
    <w:rsid w:val="0058285D"/>
    <w:rsid w:val="005831B3"/>
    <w:rsid w:val="0058328B"/>
    <w:rsid w:val="005834DF"/>
    <w:rsid w:val="0058420F"/>
    <w:rsid w:val="00584A66"/>
    <w:rsid w:val="00584AC6"/>
    <w:rsid w:val="00585AA5"/>
    <w:rsid w:val="00585D6B"/>
    <w:rsid w:val="0058601F"/>
    <w:rsid w:val="00586AAB"/>
    <w:rsid w:val="00587289"/>
    <w:rsid w:val="00587303"/>
    <w:rsid w:val="005875FA"/>
    <w:rsid w:val="00587FA6"/>
    <w:rsid w:val="005901DD"/>
    <w:rsid w:val="0059096F"/>
    <w:rsid w:val="005909B4"/>
    <w:rsid w:val="0059152C"/>
    <w:rsid w:val="00591DFA"/>
    <w:rsid w:val="00591F97"/>
    <w:rsid w:val="005927C6"/>
    <w:rsid w:val="0059280B"/>
    <w:rsid w:val="005929E4"/>
    <w:rsid w:val="00592B70"/>
    <w:rsid w:val="00592EA1"/>
    <w:rsid w:val="00593059"/>
    <w:rsid w:val="0059389A"/>
    <w:rsid w:val="00593B30"/>
    <w:rsid w:val="005947B8"/>
    <w:rsid w:val="00594CA3"/>
    <w:rsid w:val="00594DE3"/>
    <w:rsid w:val="005955F8"/>
    <w:rsid w:val="005958AA"/>
    <w:rsid w:val="00595CC1"/>
    <w:rsid w:val="00595D66"/>
    <w:rsid w:val="00596286"/>
    <w:rsid w:val="005964D3"/>
    <w:rsid w:val="00596521"/>
    <w:rsid w:val="00596742"/>
    <w:rsid w:val="0059691B"/>
    <w:rsid w:val="00596B95"/>
    <w:rsid w:val="00596CE8"/>
    <w:rsid w:val="00596F61"/>
    <w:rsid w:val="0059702D"/>
    <w:rsid w:val="005979A1"/>
    <w:rsid w:val="00597A9D"/>
    <w:rsid w:val="00597BE3"/>
    <w:rsid w:val="005A0079"/>
    <w:rsid w:val="005A0184"/>
    <w:rsid w:val="005A0593"/>
    <w:rsid w:val="005A0927"/>
    <w:rsid w:val="005A0A6E"/>
    <w:rsid w:val="005A0CF0"/>
    <w:rsid w:val="005A15E4"/>
    <w:rsid w:val="005A1C37"/>
    <w:rsid w:val="005A1C53"/>
    <w:rsid w:val="005A2619"/>
    <w:rsid w:val="005A2CE3"/>
    <w:rsid w:val="005A32D0"/>
    <w:rsid w:val="005A3491"/>
    <w:rsid w:val="005A34C3"/>
    <w:rsid w:val="005A39D6"/>
    <w:rsid w:val="005A3AA0"/>
    <w:rsid w:val="005A3BA0"/>
    <w:rsid w:val="005A3D08"/>
    <w:rsid w:val="005A3D1C"/>
    <w:rsid w:val="005A3DD0"/>
    <w:rsid w:val="005A43FC"/>
    <w:rsid w:val="005A47B5"/>
    <w:rsid w:val="005A4879"/>
    <w:rsid w:val="005A4DE1"/>
    <w:rsid w:val="005A53DC"/>
    <w:rsid w:val="005A57BA"/>
    <w:rsid w:val="005A57F7"/>
    <w:rsid w:val="005A5952"/>
    <w:rsid w:val="005A5BDE"/>
    <w:rsid w:val="005A5D05"/>
    <w:rsid w:val="005A6368"/>
    <w:rsid w:val="005A63B3"/>
    <w:rsid w:val="005A6B76"/>
    <w:rsid w:val="005A7266"/>
    <w:rsid w:val="005A7811"/>
    <w:rsid w:val="005B004F"/>
    <w:rsid w:val="005B0173"/>
    <w:rsid w:val="005B0345"/>
    <w:rsid w:val="005B0807"/>
    <w:rsid w:val="005B0CDF"/>
    <w:rsid w:val="005B0F26"/>
    <w:rsid w:val="005B1AB4"/>
    <w:rsid w:val="005B21DE"/>
    <w:rsid w:val="005B24E2"/>
    <w:rsid w:val="005B26B0"/>
    <w:rsid w:val="005B2827"/>
    <w:rsid w:val="005B2A57"/>
    <w:rsid w:val="005B2AAC"/>
    <w:rsid w:val="005B2EA4"/>
    <w:rsid w:val="005B319E"/>
    <w:rsid w:val="005B363F"/>
    <w:rsid w:val="005B37D8"/>
    <w:rsid w:val="005B3BC5"/>
    <w:rsid w:val="005B41BF"/>
    <w:rsid w:val="005B4222"/>
    <w:rsid w:val="005B49D6"/>
    <w:rsid w:val="005B4B11"/>
    <w:rsid w:val="005B4C1F"/>
    <w:rsid w:val="005B514F"/>
    <w:rsid w:val="005B5319"/>
    <w:rsid w:val="005B5D46"/>
    <w:rsid w:val="005B6083"/>
    <w:rsid w:val="005B685D"/>
    <w:rsid w:val="005B6A17"/>
    <w:rsid w:val="005B7258"/>
    <w:rsid w:val="005B7276"/>
    <w:rsid w:val="005B74C2"/>
    <w:rsid w:val="005B7AF4"/>
    <w:rsid w:val="005B7F75"/>
    <w:rsid w:val="005C00A8"/>
    <w:rsid w:val="005C036D"/>
    <w:rsid w:val="005C0377"/>
    <w:rsid w:val="005C0495"/>
    <w:rsid w:val="005C056C"/>
    <w:rsid w:val="005C0643"/>
    <w:rsid w:val="005C08A9"/>
    <w:rsid w:val="005C09D3"/>
    <w:rsid w:val="005C1127"/>
    <w:rsid w:val="005C12B4"/>
    <w:rsid w:val="005C1A93"/>
    <w:rsid w:val="005C25D3"/>
    <w:rsid w:val="005C282D"/>
    <w:rsid w:val="005C2848"/>
    <w:rsid w:val="005C2876"/>
    <w:rsid w:val="005C28C9"/>
    <w:rsid w:val="005C2AEA"/>
    <w:rsid w:val="005C2CCE"/>
    <w:rsid w:val="005C2D69"/>
    <w:rsid w:val="005C2F67"/>
    <w:rsid w:val="005C3014"/>
    <w:rsid w:val="005C3222"/>
    <w:rsid w:val="005C3527"/>
    <w:rsid w:val="005C354F"/>
    <w:rsid w:val="005C3A4F"/>
    <w:rsid w:val="005C3DFF"/>
    <w:rsid w:val="005C3F20"/>
    <w:rsid w:val="005C420B"/>
    <w:rsid w:val="005C4508"/>
    <w:rsid w:val="005C47EB"/>
    <w:rsid w:val="005C4825"/>
    <w:rsid w:val="005C4AC2"/>
    <w:rsid w:val="005C4EA1"/>
    <w:rsid w:val="005C4FF7"/>
    <w:rsid w:val="005C68F8"/>
    <w:rsid w:val="005C6B60"/>
    <w:rsid w:val="005C6EAC"/>
    <w:rsid w:val="005C6ECE"/>
    <w:rsid w:val="005C7035"/>
    <w:rsid w:val="005C7369"/>
    <w:rsid w:val="005C79A4"/>
    <w:rsid w:val="005C7F74"/>
    <w:rsid w:val="005C7FE9"/>
    <w:rsid w:val="005D0BA5"/>
    <w:rsid w:val="005D0CA8"/>
    <w:rsid w:val="005D14EA"/>
    <w:rsid w:val="005D1656"/>
    <w:rsid w:val="005D1A05"/>
    <w:rsid w:val="005D1A1D"/>
    <w:rsid w:val="005D1A84"/>
    <w:rsid w:val="005D1BDB"/>
    <w:rsid w:val="005D20D4"/>
    <w:rsid w:val="005D2BE2"/>
    <w:rsid w:val="005D2C1A"/>
    <w:rsid w:val="005D2CE4"/>
    <w:rsid w:val="005D30E6"/>
    <w:rsid w:val="005D3175"/>
    <w:rsid w:val="005D332C"/>
    <w:rsid w:val="005D388C"/>
    <w:rsid w:val="005D395C"/>
    <w:rsid w:val="005D3982"/>
    <w:rsid w:val="005D40A4"/>
    <w:rsid w:val="005D4E01"/>
    <w:rsid w:val="005D4E06"/>
    <w:rsid w:val="005D4E14"/>
    <w:rsid w:val="005D503B"/>
    <w:rsid w:val="005D519F"/>
    <w:rsid w:val="005D5336"/>
    <w:rsid w:val="005D54B6"/>
    <w:rsid w:val="005D590F"/>
    <w:rsid w:val="005D5BC1"/>
    <w:rsid w:val="005D5CC0"/>
    <w:rsid w:val="005D617B"/>
    <w:rsid w:val="005D64A0"/>
    <w:rsid w:val="005D67EB"/>
    <w:rsid w:val="005D6809"/>
    <w:rsid w:val="005D687E"/>
    <w:rsid w:val="005D687F"/>
    <w:rsid w:val="005D6D17"/>
    <w:rsid w:val="005D6DC9"/>
    <w:rsid w:val="005D6E12"/>
    <w:rsid w:val="005D7B91"/>
    <w:rsid w:val="005E01CB"/>
    <w:rsid w:val="005E0343"/>
    <w:rsid w:val="005E05C2"/>
    <w:rsid w:val="005E101F"/>
    <w:rsid w:val="005E12FE"/>
    <w:rsid w:val="005E1530"/>
    <w:rsid w:val="005E197A"/>
    <w:rsid w:val="005E1CD0"/>
    <w:rsid w:val="005E2373"/>
    <w:rsid w:val="005E293C"/>
    <w:rsid w:val="005E2C00"/>
    <w:rsid w:val="005E2DF3"/>
    <w:rsid w:val="005E2E28"/>
    <w:rsid w:val="005E30A1"/>
    <w:rsid w:val="005E318B"/>
    <w:rsid w:val="005E3573"/>
    <w:rsid w:val="005E3A89"/>
    <w:rsid w:val="005E3B6A"/>
    <w:rsid w:val="005E3C04"/>
    <w:rsid w:val="005E3ED6"/>
    <w:rsid w:val="005E414A"/>
    <w:rsid w:val="005E419C"/>
    <w:rsid w:val="005E457A"/>
    <w:rsid w:val="005E4A8E"/>
    <w:rsid w:val="005E4CC1"/>
    <w:rsid w:val="005E55F0"/>
    <w:rsid w:val="005E55F2"/>
    <w:rsid w:val="005E5663"/>
    <w:rsid w:val="005E56D1"/>
    <w:rsid w:val="005E5781"/>
    <w:rsid w:val="005E5805"/>
    <w:rsid w:val="005E592F"/>
    <w:rsid w:val="005E59BB"/>
    <w:rsid w:val="005E5AFF"/>
    <w:rsid w:val="005E5BD6"/>
    <w:rsid w:val="005E6234"/>
    <w:rsid w:val="005E66CA"/>
    <w:rsid w:val="005E7A0B"/>
    <w:rsid w:val="005E7DBE"/>
    <w:rsid w:val="005E7E91"/>
    <w:rsid w:val="005E7F58"/>
    <w:rsid w:val="005E7FD6"/>
    <w:rsid w:val="005F0311"/>
    <w:rsid w:val="005F042F"/>
    <w:rsid w:val="005F06DD"/>
    <w:rsid w:val="005F0B52"/>
    <w:rsid w:val="005F1123"/>
    <w:rsid w:val="005F1337"/>
    <w:rsid w:val="005F1416"/>
    <w:rsid w:val="005F15A8"/>
    <w:rsid w:val="005F1894"/>
    <w:rsid w:val="005F1A96"/>
    <w:rsid w:val="005F1D58"/>
    <w:rsid w:val="005F201A"/>
    <w:rsid w:val="005F208F"/>
    <w:rsid w:val="005F2132"/>
    <w:rsid w:val="005F2735"/>
    <w:rsid w:val="005F2B64"/>
    <w:rsid w:val="005F2FD2"/>
    <w:rsid w:val="005F3089"/>
    <w:rsid w:val="005F3645"/>
    <w:rsid w:val="005F36A7"/>
    <w:rsid w:val="005F38B8"/>
    <w:rsid w:val="005F39A6"/>
    <w:rsid w:val="005F43D5"/>
    <w:rsid w:val="005F454B"/>
    <w:rsid w:val="005F45D8"/>
    <w:rsid w:val="005F4DF0"/>
    <w:rsid w:val="005F54B4"/>
    <w:rsid w:val="005F5A25"/>
    <w:rsid w:val="005F5BB6"/>
    <w:rsid w:val="005F6085"/>
    <w:rsid w:val="005F63AA"/>
    <w:rsid w:val="005F64F1"/>
    <w:rsid w:val="005F66B5"/>
    <w:rsid w:val="005F674C"/>
    <w:rsid w:val="005F6BE3"/>
    <w:rsid w:val="005F71F4"/>
    <w:rsid w:val="005F77E9"/>
    <w:rsid w:val="005F7BC4"/>
    <w:rsid w:val="005F7EA5"/>
    <w:rsid w:val="00600173"/>
    <w:rsid w:val="006002B2"/>
    <w:rsid w:val="00600551"/>
    <w:rsid w:val="00600F6E"/>
    <w:rsid w:val="00601104"/>
    <w:rsid w:val="0060140C"/>
    <w:rsid w:val="0060180C"/>
    <w:rsid w:val="00601B4E"/>
    <w:rsid w:val="00601CF0"/>
    <w:rsid w:val="006021AC"/>
    <w:rsid w:val="006024EB"/>
    <w:rsid w:val="00602F06"/>
    <w:rsid w:val="006039E4"/>
    <w:rsid w:val="006043B3"/>
    <w:rsid w:val="006045C3"/>
    <w:rsid w:val="006045F1"/>
    <w:rsid w:val="00604674"/>
    <w:rsid w:val="006046F8"/>
    <w:rsid w:val="00604C71"/>
    <w:rsid w:val="006051E5"/>
    <w:rsid w:val="0060539C"/>
    <w:rsid w:val="0060543A"/>
    <w:rsid w:val="0060593A"/>
    <w:rsid w:val="0060594A"/>
    <w:rsid w:val="00605C3B"/>
    <w:rsid w:val="00606040"/>
    <w:rsid w:val="0060606E"/>
    <w:rsid w:val="00606219"/>
    <w:rsid w:val="0060652D"/>
    <w:rsid w:val="006065DA"/>
    <w:rsid w:val="00606669"/>
    <w:rsid w:val="006067F0"/>
    <w:rsid w:val="00606826"/>
    <w:rsid w:val="0060687D"/>
    <w:rsid w:val="00606973"/>
    <w:rsid w:val="00606DC2"/>
    <w:rsid w:val="00606E37"/>
    <w:rsid w:val="00606F98"/>
    <w:rsid w:val="006074A3"/>
    <w:rsid w:val="00607D55"/>
    <w:rsid w:val="00610947"/>
    <w:rsid w:val="00610E7E"/>
    <w:rsid w:val="00611A95"/>
    <w:rsid w:val="00611B91"/>
    <w:rsid w:val="00611D6B"/>
    <w:rsid w:val="00612761"/>
    <w:rsid w:val="00612CAF"/>
    <w:rsid w:val="00612EF9"/>
    <w:rsid w:val="00613086"/>
    <w:rsid w:val="006131C9"/>
    <w:rsid w:val="00613299"/>
    <w:rsid w:val="00613A65"/>
    <w:rsid w:val="00613DBB"/>
    <w:rsid w:val="00614885"/>
    <w:rsid w:val="006148C9"/>
    <w:rsid w:val="00614AEF"/>
    <w:rsid w:val="00614FFA"/>
    <w:rsid w:val="00615165"/>
    <w:rsid w:val="00615311"/>
    <w:rsid w:val="00615334"/>
    <w:rsid w:val="00615395"/>
    <w:rsid w:val="0061628D"/>
    <w:rsid w:val="00616436"/>
    <w:rsid w:val="006165F8"/>
    <w:rsid w:val="0061688D"/>
    <w:rsid w:val="00616BD1"/>
    <w:rsid w:val="00616BFB"/>
    <w:rsid w:val="00616DF9"/>
    <w:rsid w:val="0061704B"/>
    <w:rsid w:val="00617288"/>
    <w:rsid w:val="00617606"/>
    <w:rsid w:val="00617EEC"/>
    <w:rsid w:val="00620160"/>
    <w:rsid w:val="00620BE5"/>
    <w:rsid w:val="00620D24"/>
    <w:rsid w:val="00620D73"/>
    <w:rsid w:val="0062159C"/>
    <w:rsid w:val="0062178E"/>
    <w:rsid w:val="00621B81"/>
    <w:rsid w:val="00621E19"/>
    <w:rsid w:val="006220C5"/>
    <w:rsid w:val="006225D3"/>
    <w:rsid w:val="00622C00"/>
    <w:rsid w:val="006232CA"/>
    <w:rsid w:val="0062339B"/>
    <w:rsid w:val="0062373D"/>
    <w:rsid w:val="00623AE5"/>
    <w:rsid w:val="00623D63"/>
    <w:rsid w:val="00623DDA"/>
    <w:rsid w:val="00623EC3"/>
    <w:rsid w:val="00623F6D"/>
    <w:rsid w:val="00624265"/>
    <w:rsid w:val="0062456A"/>
    <w:rsid w:val="006246BB"/>
    <w:rsid w:val="00624745"/>
    <w:rsid w:val="00624A0B"/>
    <w:rsid w:val="00624A58"/>
    <w:rsid w:val="00624E08"/>
    <w:rsid w:val="00624E14"/>
    <w:rsid w:val="00624FF4"/>
    <w:rsid w:val="00625193"/>
    <w:rsid w:val="006252CE"/>
    <w:rsid w:val="00625448"/>
    <w:rsid w:val="006255E7"/>
    <w:rsid w:val="00625823"/>
    <w:rsid w:val="00625E99"/>
    <w:rsid w:val="00626826"/>
    <w:rsid w:val="00627644"/>
    <w:rsid w:val="00627879"/>
    <w:rsid w:val="00627AE8"/>
    <w:rsid w:val="006300C5"/>
    <w:rsid w:val="00630151"/>
    <w:rsid w:val="006306D7"/>
    <w:rsid w:val="0063073F"/>
    <w:rsid w:val="00630AEB"/>
    <w:rsid w:val="00630C77"/>
    <w:rsid w:val="00630C84"/>
    <w:rsid w:val="00630EB7"/>
    <w:rsid w:val="00630FE9"/>
    <w:rsid w:val="00631004"/>
    <w:rsid w:val="0063134C"/>
    <w:rsid w:val="006316D4"/>
    <w:rsid w:val="00631C87"/>
    <w:rsid w:val="00631D37"/>
    <w:rsid w:val="00631DCF"/>
    <w:rsid w:val="006326B0"/>
    <w:rsid w:val="00632935"/>
    <w:rsid w:val="00632DE7"/>
    <w:rsid w:val="00632EF9"/>
    <w:rsid w:val="0063308E"/>
    <w:rsid w:val="00633145"/>
    <w:rsid w:val="006332B7"/>
    <w:rsid w:val="00633650"/>
    <w:rsid w:val="006339CD"/>
    <w:rsid w:val="00633B1F"/>
    <w:rsid w:val="00633B4E"/>
    <w:rsid w:val="00633F17"/>
    <w:rsid w:val="00634237"/>
    <w:rsid w:val="006344C7"/>
    <w:rsid w:val="00634652"/>
    <w:rsid w:val="00634A04"/>
    <w:rsid w:val="00634CFD"/>
    <w:rsid w:val="00634F10"/>
    <w:rsid w:val="00635353"/>
    <w:rsid w:val="0063595C"/>
    <w:rsid w:val="00635F23"/>
    <w:rsid w:val="006361C6"/>
    <w:rsid w:val="00636221"/>
    <w:rsid w:val="006365B0"/>
    <w:rsid w:val="00636E41"/>
    <w:rsid w:val="00636EB2"/>
    <w:rsid w:val="00637283"/>
    <w:rsid w:val="0063767C"/>
    <w:rsid w:val="00637AAC"/>
    <w:rsid w:val="00637AEB"/>
    <w:rsid w:val="00637F2E"/>
    <w:rsid w:val="006400BE"/>
    <w:rsid w:val="00640343"/>
    <w:rsid w:val="006404BF"/>
    <w:rsid w:val="006405D5"/>
    <w:rsid w:val="00640639"/>
    <w:rsid w:val="00641383"/>
    <w:rsid w:val="0064139F"/>
    <w:rsid w:val="006416A8"/>
    <w:rsid w:val="00642099"/>
    <w:rsid w:val="00642CBF"/>
    <w:rsid w:val="006438D7"/>
    <w:rsid w:val="00643954"/>
    <w:rsid w:val="00643C2E"/>
    <w:rsid w:val="00643D10"/>
    <w:rsid w:val="00645776"/>
    <w:rsid w:val="00645B81"/>
    <w:rsid w:val="00645BBE"/>
    <w:rsid w:val="00645CC3"/>
    <w:rsid w:val="00645CD8"/>
    <w:rsid w:val="00645D54"/>
    <w:rsid w:val="00645ED0"/>
    <w:rsid w:val="00645F2B"/>
    <w:rsid w:val="00646262"/>
    <w:rsid w:val="0064649C"/>
    <w:rsid w:val="00646E06"/>
    <w:rsid w:val="00646EDC"/>
    <w:rsid w:val="00646EFE"/>
    <w:rsid w:val="006474CE"/>
    <w:rsid w:val="00647D91"/>
    <w:rsid w:val="0065038C"/>
    <w:rsid w:val="00650547"/>
    <w:rsid w:val="00650725"/>
    <w:rsid w:val="00650C26"/>
    <w:rsid w:val="006510E2"/>
    <w:rsid w:val="006517D4"/>
    <w:rsid w:val="00651C50"/>
    <w:rsid w:val="0065214C"/>
    <w:rsid w:val="006521E6"/>
    <w:rsid w:val="00652258"/>
    <w:rsid w:val="006524A5"/>
    <w:rsid w:val="00652800"/>
    <w:rsid w:val="00652A38"/>
    <w:rsid w:val="00652B08"/>
    <w:rsid w:val="00652C46"/>
    <w:rsid w:val="00652C89"/>
    <w:rsid w:val="00652CB2"/>
    <w:rsid w:val="006530C2"/>
    <w:rsid w:val="0065337A"/>
    <w:rsid w:val="006533BB"/>
    <w:rsid w:val="006535EB"/>
    <w:rsid w:val="006536C8"/>
    <w:rsid w:val="0065399B"/>
    <w:rsid w:val="00653AA5"/>
    <w:rsid w:val="00653C65"/>
    <w:rsid w:val="006540BA"/>
    <w:rsid w:val="0065416A"/>
    <w:rsid w:val="006546CB"/>
    <w:rsid w:val="00654CE1"/>
    <w:rsid w:val="00654E4E"/>
    <w:rsid w:val="006551AF"/>
    <w:rsid w:val="006556F1"/>
    <w:rsid w:val="00655CF7"/>
    <w:rsid w:val="00655DB7"/>
    <w:rsid w:val="00655F73"/>
    <w:rsid w:val="00655F8C"/>
    <w:rsid w:val="00656331"/>
    <w:rsid w:val="006569E3"/>
    <w:rsid w:val="00656E88"/>
    <w:rsid w:val="00656F8D"/>
    <w:rsid w:val="00657F0E"/>
    <w:rsid w:val="0066016D"/>
    <w:rsid w:val="006602AE"/>
    <w:rsid w:val="0066049E"/>
    <w:rsid w:val="006610C3"/>
    <w:rsid w:val="006614ED"/>
    <w:rsid w:val="0066150B"/>
    <w:rsid w:val="006616A2"/>
    <w:rsid w:val="00661CB7"/>
    <w:rsid w:val="006623BA"/>
    <w:rsid w:val="006629BB"/>
    <w:rsid w:val="00662B0A"/>
    <w:rsid w:val="00662C41"/>
    <w:rsid w:val="00662DAC"/>
    <w:rsid w:val="00663083"/>
    <w:rsid w:val="0066314D"/>
    <w:rsid w:val="00663308"/>
    <w:rsid w:val="0066348F"/>
    <w:rsid w:val="00663B9C"/>
    <w:rsid w:val="00663C6F"/>
    <w:rsid w:val="00664174"/>
    <w:rsid w:val="006642FD"/>
    <w:rsid w:val="00664A1C"/>
    <w:rsid w:val="00664B27"/>
    <w:rsid w:val="00664CAC"/>
    <w:rsid w:val="0066569C"/>
    <w:rsid w:val="0066619F"/>
    <w:rsid w:val="00666917"/>
    <w:rsid w:val="00666B51"/>
    <w:rsid w:val="00666DA7"/>
    <w:rsid w:val="00666FC3"/>
    <w:rsid w:val="0066733B"/>
    <w:rsid w:val="00667534"/>
    <w:rsid w:val="0066761A"/>
    <w:rsid w:val="00667BEB"/>
    <w:rsid w:val="00667CCC"/>
    <w:rsid w:val="00667CF4"/>
    <w:rsid w:val="00670CFA"/>
    <w:rsid w:val="00670D56"/>
    <w:rsid w:val="006710DD"/>
    <w:rsid w:val="00671A85"/>
    <w:rsid w:val="00671CEF"/>
    <w:rsid w:val="00671DB4"/>
    <w:rsid w:val="00672300"/>
    <w:rsid w:val="00672B84"/>
    <w:rsid w:val="00672E1F"/>
    <w:rsid w:val="00673042"/>
    <w:rsid w:val="00674126"/>
    <w:rsid w:val="006743BA"/>
    <w:rsid w:val="006744EB"/>
    <w:rsid w:val="006744ED"/>
    <w:rsid w:val="00674A49"/>
    <w:rsid w:val="00674B8E"/>
    <w:rsid w:val="00675C75"/>
    <w:rsid w:val="00675CB4"/>
    <w:rsid w:val="00676473"/>
    <w:rsid w:val="00676910"/>
    <w:rsid w:val="00676B3B"/>
    <w:rsid w:val="00676B89"/>
    <w:rsid w:val="00676BCC"/>
    <w:rsid w:val="00676C24"/>
    <w:rsid w:val="00676C7E"/>
    <w:rsid w:val="006770FB"/>
    <w:rsid w:val="00677160"/>
    <w:rsid w:val="0067733B"/>
    <w:rsid w:val="006775A5"/>
    <w:rsid w:val="00680276"/>
    <w:rsid w:val="006802DF"/>
    <w:rsid w:val="006804B5"/>
    <w:rsid w:val="006808F4"/>
    <w:rsid w:val="0068094F"/>
    <w:rsid w:val="00680D6D"/>
    <w:rsid w:val="00680E11"/>
    <w:rsid w:val="00681028"/>
    <w:rsid w:val="006810C2"/>
    <w:rsid w:val="0068173E"/>
    <w:rsid w:val="00681B82"/>
    <w:rsid w:val="00681F66"/>
    <w:rsid w:val="00681FA4"/>
    <w:rsid w:val="00682112"/>
    <w:rsid w:val="006822F1"/>
    <w:rsid w:val="00682406"/>
    <w:rsid w:val="0068294D"/>
    <w:rsid w:val="00682B17"/>
    <w:rsid w:val="00682BF5"/>
    <w:rsid w:val="00682C9C"/>
    <w:rsid w:val="00682F8F"/>
    <w:rsid w:val="00683024"/>
    <w:rsid w:val="0068381C"/>
    <w:rsid w:val="00683A84"/>
    <w:rsid w:val="00683D96"/>
    <w:rsid w:val="00684295"/>
    <w:rsid w:val="0068450E"/>
    <w:rsid w:val="006845E7"/>
    <w:rsid w:val="00684642"/>
    <w:rsid w:val="00684D7A"/>
    <w:rsid w:val="00685037"/>
    <w:rsid w:val="00685336"/>
    <w:rsid w:val="0068568D"/>
    <w:rsid w:val="00685B6E"/>
    <w:rsid w:val="00685E3F"/>
    <w:rsid w:val="006866A4"/>
    <w:rsid w:val="00687418"/>
    <w:rsid w:val="00687AE0"/>
    <w:rsid w:val="00687B69"/>
    <w:rsid w:val="00690045"/>
    <w:rsid w:val="00690059"/>
    <w:rsid w:val="00690AF4"/>
    <w:rsid w:val="00690DCA"/>
    <w:rsid w:val="0069120F"/>
    <w:rsid w:val="0069151C"/>
    <w:rsid w:val="00691D12"/>
    <w:rsid w:val="0069239A"/>
    <w:rsid w:val="006926E9"/>
    <w:rsid w:val="00692816"/>
    <w:rsid w:val="006929EF"/>
    <w:rsid w:val="00692C37"/>
    <w:rsid w:val="00692CDE"/>
    <w:rsid w:val="00693B4B"/>
    <w:rsid w:val="006941C2"/>
    <w:rsid w:val="00694583"/>
    <w:rsid w:val="00694AF6"/>
    <w:rsid w:val="006951CF"/>
    <w:rsid w:val="00695647"/>
    <w:rsid w:val="0069597F"/>
    <w:rsid w:val="00695A8A"/>
    <w:rsid w:val="006961AC"/>
    <w:rsid w:val="0069648A"/>
    <w:rsid w:val="00696C43"/>
    <w:rsid w:val="0069718A"/>
    <w:rsid w:val="006971B3"/>
    <w:rsid w:val="00697750"/>
    <w:rsid w:val="006A020C"/>
    <w:rsid w:val="006A02AE"/>
    <w:rsid w:val="006A034E"/>
    <w:rsid w:val="006A0A3D"/>
    <w:rsid w:val="006A1315"/>
    <w:rsid w:val="006A27F8"/>
    <w:rsid w:val="006A2839"/>
    <w:rsid w:val="006A2BAE"/>
    <w:rsid w:val="006A304C"/>
    <w:rsid w:val="006A3159"/>
    <w:rsid w:val="006A340D"/>
    <w:rsid w:val="006A357D"/>
    <w:rsid w:val="006A39C8"/>
    <w:rsid w:val="006A462E"/>
    <w:rsid w:val="006A472D"/>
    <w:rsid w:val="006A4B52"/>
    <w:rsid w:val="006A4DCE"/>
    <w:rsid w:val="006A517B"/>
    <w:rsid w:val="006A588C"/>
    <w:rsid w:val="006A58BF"/>
    <w:rsid w:val="006A5F89"/>
    <w:rsid w:val="006A62A4"/>
    <w:rsid w:val="006A6571"/>
    <w:rsid w:val="006A6636"/>
    <w:rsid w:val="006A7171"/>
    <w:rsid w:val="006A7463"/>
    <w:rsid w:val="006A74CE"/>
    <w:rsid w:val="006A7709"/>
    <w:rsid w:val="006A7CB5"/>
    <w:rsid w:val="006A7EFF"/>
    <w:rsid w:val="006B07E3"/>
    <w:rsid w:val="006B0E21"/>
    <w:rsid w:val="006B14A6"/>
    <w:rsid w:val="006B14E5"/>
    <w:rsid w:val="006B16C6"/>
    <w:rsid w:val="006B1939"/>
    <w:rsid w:val="006B1CCE"/>
    <w:rsid w:val="006B1E77"/>
    <w:rsid w:val="006B2031"/>
    <w:rsid w:val="006B2248"/>
    <w:rsid w:val="006B2BE8"/>
    <w:rsid w:val="006B2DFF"/>
    <w:rsid w:val="006B2FFA"/>
    <w:rsid w:val="006B315E"/>
    <w:rsid w:val="006B3821"/>
    <w:rsid w:val="006B3CBE"/>
    <w:rsid w:val="006B3CD7"/>
    <w:rsid w:val="006B3E38"/>
    <w:rsid w:val="006B3F87"/>
    <w:rsid w:val="006B4094"/>
    <w:rsid w:val="006B40D8"/>
    <w:rsid w:val="006B4136"/>
    <w:rsid w:val="006B467C"/>
    <w:rsid w:val="006B4872"/>
    <w:rsid w:val="006B49FB"/>
    <w:rsid w:val="006B4AB8"/>
    <w:rsid w:val="006B4C8A"/>
    <w:rsid w:val="006B4F3B"/>
    <w:rsid w:val="006B5192"/>
    <w:rsid w:val="006B5327"/>
    <w:rsid w:val="006B5457"/>
    <w:rsid w:val="006B55BB"/>
    <w:rsid w:val="006B55DD"/>
    <w:rsid w:val="006B574D"/>
    <w:rsid w:val="006B59D4"/>
    <w:rsid w:val="006B5B2C"/>
    <w:rsid w:val="006B5FA8"/>
    <w:rsid w:val="006B64A5"/>
    <w:rsid w:val="006B6C34"/>
    <w:rsid w:val="006B7248"/>
    <w:rsid w:val="006B725C"/>
    <w:rsid w:val="006B7367"/>
    <w:rsid w:val="006B74E1"/>
    <w:rsid w:val="006C0048"/>
    <w:rsid w:val="006C02C7"/>
    <w:rsid w:val="006C060B"/>
    <w:rsid w:val="006C0903"/>
    <w:rsid w:val="006C0FDF"/>
    <w:rsid w:val="006C1420"/>
    <w:rsid w:val="006C154A"/>
    <w:rsid w:val="006C1F66"/>
    <w:rsid w:val="006C1F71"/>
    <w:rsid w:val="006C1F85"/>
    <w:rsid w:val="006C2099"/>
    <w:rsid w:val="006C20D6"/>
    <w:rsid w:val="006C27BE"/>
    <w:rsid w:val="006C2C58"/>
    <w:rsid w:val="006C2D26"/>
    <w:rsid w:val="006C2DD7"/>
    <w:rsid w:val="006C31C8"/>
    <w:rsid w:val="006C345C"/>
    <w:rsid w:val="006C38EB"/>
    <w:rsid w:val="006C395E"/>
    <w:rsid w:val="006C3C2E"/>
    <w:rsid w:val="006C3C83"/>
    <w:rsid w:val="006C3E3E"/>
    <w:rsid w:val="006C403B"/>
    <w:rsid w:val="006C40B8"/>
    <w:rsid w:val="006C410E"/>
    <w:rsid w:val="006C41DD"/>
    <w:rsid w:val="006C42CF"/>
    <w:rsid w:val="006C45C3"/>
    <w:rsid w:val="006C47F0"/>
    <w:rsid w:val="006C49D5"/>
    <w:rsid w:val="006C52C5"/>
    <w:rsid w:val="006C588C"/>
    <w:rsid w:val="006C5BCD"/>
    <w:rsid w:val="006C6355"/>
    <w:rsid w:val="006C66D4"/>
    <w:rsid w:val="006C6B14"/>
    <w:rsid w:val="006C6BA0"/>
    <w:rsid w:val="006C6DB3"/>
    <w:rsid w:val="006C78BA"/>
    <w:rsid w:val="006C79B3"/>
    <w:rsid w:val="006C7B83"/>
    <w:rsid w:val="006C7E21"/>
    <w:rsid w:val="006C7EB6"/>
    <w:rsid w:val="006D09CA"/>
    <w:rsid w:val="006D0A65"/>
    <w:rsid w:val="006D0C59"/>
    <w:rsid w:val="006D0FE1"/>
    <w:rsid w:val="006D1618"/>
    <w:rsid w:val="006D195F"/>
    <w:rsid w:val="006D1B91"/>
    <w:rsid w:val="006D1BCB"/>
    <w:rsid w:val="006D1BE5"/>
    <w:rsid w:val="006D1C24"/>
    <w:rsid w:val="006D1D4A"/>
    <w:rsid w:val="006D2371"/>
    <w:rsid w:val="006D2810"/>
    <w:rsid w:val="006D2B79"/>
    <w:rsid w:val="006D2CF6"/>
    <w:rsid w:val="006D2E93"/>
    <w:rsid w:val="006D2E9E"/>
    <w:rsid w:val="006D30B8"/>
    <w:rsid w:val="006D32A6"/>
    <w:rsid w:val="006D333A"/>
    <w:rsid w:val="006D34B1"/>
    <w:rsid w:val="006D3B7F"/>
    <w:rsid w:val="006D3DB3"/>
    <w:rsid w:val="006D420D"/>
    <w:rsid w:val="006D4413"/>
    <w:rsid w:val="006D46B5"/>
    <w:rsid w:val="006D48DD"/>
    <w:rsid w:val="006D4F4B"/>
    <w:rsid w:val="006D5427"/>
    <w:rsid w:val="006D6821"/>
    <w:rsid w:val="006D69F0"/>
    <w:rsid w:val="006D6A4E"/>
    <w:rsid w:val="006D6AA5"/>
    <w:rsid w:val="006D6C70"/>
    <w:rsid w:val="006D6CC3"/>
    <w:rsid w:val="006D719B"/>
    <w:rsid w:val="006D7201"/>
    <w:rsid w:val="006D7225"/>
    <w:rsid w:val="006D730E"/>
    <w:rsid w:val="006D783A"/>
    <w:rsid w:val="006D7885"/>
    <w:rsid w:val="006D7AB8"/>
    <w:rsid w:val="006D7D08"/>
    <w:rsid w:val="006D7E7A"/>
    <w:rsid w:val="006E0469"/>
    <w:rsid w:val="006E08B9"/>
    <w:rsid w:val="006E104B"/>
    <w:rsid w:val="006E141D"/>
    <w:rsid w:val="006E163F"/>
    <w:rsid w:val="006E17F8"/>
    <w:rsid w:val="006E1A6B"/>
    <w:rsid w:val="006E21D5"/>
    <w:rsid w:val="006E2318"/>
    <w:rsid w:val="006E2494"/>
    <w:rsid w:val="006E2776"/>
    <w:rsid w:val="006E3036"/>
    <w:rsid w:val="006E31B6"/>
    <w:rsid w:val="006E32AF"/>
    <w:rsid w:val="006E3377"/>
    <w:rsid w:val="006E3775"/>
    <w:rsid w:val="006E3A8F"/>
    <w:rsid w:val="006E3B3D"/>
    <w:rsid w:val="006E4318"/>
    <w:rsid w:val="006E4950"/>
    <w:rsid w:val="006E49A6"/>
    <w:rsid w:val="006E4E52"/>
    <w:rsid w:val="006E4FAC"/>
    <w:rsid w:val="006E544E"/>
    <w:rsid w:val="006E5488"/>
    <w:rsid w:val="006E58ED"/>
    <w:rsid w:val="006E5971"/>
    <w:rsid w:val="006E5E95"/>
    <w:rsid w:val="006E6225"/>
    <w:rsid w:val="006E624A"/>
    <w:rsid w:val="006E731E"/>
    <w:rsid w:val="006E7412"/>
    <w:rsid w:val="006E77AD"/>
    <w:rsid w:val="006E7CA4"/>
    <w:rsid w:val="006F0056"/>
    <w:rsid w:val="006F0201"/>
    <w:rsid w:val="006F0D05"/>
    <w:rsid w:val="006F167E"/>
    <w:rsid w:val="006F1CF9"/>
    <w:rsid w:val="006F1EF6"/>
    <w:rsid w:val="006F2276"/>
    <w:rsid w:val="006F2351"/>
    <w:rsid w:val="006F241A"/>
    <w:rsid w:val="006F2A6B"/>
    <w:rsid w:val="006F2C9A"/>
    <w:rsid w:val="006F2FB7"/>
    <w:rsid w:val="006F2FD1"/>
    <w:rsid w:val="006F313F"/>
    <w:rsid w:val="006F35DD"/>
    <w:rsid w:val="006F39EA"/>
    <w:rsid w:val="006F3CD9"/>
    <w:rsid w:val="006F3D1C"/>
    <w:rsid w:val="006F463F"/>
    <w:rsid w:val="006F46D5"/>
    <w:rsid w:val="006F49EF"/>
    <w:rsid w:val="006F4D9A"/>
    <w:rsid w:val="006F4DD1"/>
    <w:rsid w:val="006F4DD4"/>
    <w:rsid w:val="006F5143"/>
    <w:rsid w:val="006F59DA"/>
    <w:rsid w:val="006F5A30"/>
    <w:rsid w:val="006F5ACC"/>
    <w:rsid w:val="006F5C0C"/>
    <w:rsid w:val="006F601C"/>
    <w:rsid w:val="006F60E7"/>
    <w:rsid w:val="006F611D"/>
    <w:rsid w:val="006F6629"/>
    <w:rsid w:val="006F6A5B"/>
    <w:rsid w:val="006F7001"/>
    <w:rsid w:val="006F7470"/>
    <w:rsid w:val="006F783F"/>
    <w:rsid w:val="006F7857"/>
    <w:rsid w:val="0070007F"/>
    <w:rsid w:val="007002B4"/>
    <w:rsid w:val="0070034E"/>
    <w:rsid w:val="007009B6"/>
    <w:rsid w:val="00700BB4"/>
    <w:rsid w:val="00700F80"/>
    <w:rsid w:val="00701124"/>
    <w:rsid w:val="0070136B"/>
    <w:rsid w:val="00701448"/>
    <w:rsid w:val="007016B0"/>
    <w:rsid w:val="00701922"/>
    <w:rsid w:val="007019D7"/>
    <w:rsid w:val="00701CDC"/>
    <w:rsid w:val="007020BC"/>
    <w:rsid w:val="00702397"/>
    <w:rsid w:val="00702438"/>
    <w:rsid w:val="00703269"/>
    <w:rsid w:val="007033AA"/>
    <w:rsid w:val="007038CA"/>
    <w:rsid w:val="007039EA"/>
    <w:rsid w:val="00703EA1"/>
    <w:rsid w:val="007046AD"/>
    <w:rsid w:val="007047EB"/>
    <w:rsid w:val="00704B79"/>
    <w:rsid w:val="00704D56"/>
    <w:rsid w:val="0070506A"/>
    <w:rsid w:val="007050AC"/>
    <w:rsid w:val="00705441"/>
    <w:rsid w:val="00705542"/>
    <w:rsid w:val="0070554E"/>
    <w:rsid w:val="007059EB"/>
    <w:rsid w:val="00705A33"/>
    <w:rsid w:val="00705B5E"/>
    <w:rsid w:val="00705C96"/>
    <w:rsid w:val="0070624E"/>
    <w:rsid w:val="00706262"/>
    <w:rsid w:val="007062D9"/>
    <w:rsid w:val="0070636C"/>
    <w:rsid w:val="007068F6"/>
    <w:rsid w:val="007069DE"/>
    <w:rsid w:val="00706B4E"/>
    <w:rsid w:val="007071D7"/>
    <w:rsid w:val="00707E09"/>
    <w:rsid w:val="00707E6E"/>
    <w:rsid w:val="007101E3"/>
    <w:rsid w:val="007102B0"/>
    <w:rsid w:val="007105E5"/>
    <w:rsid w:val="00710C55"/>
    <w:rsid w:val="00710DD5"/>
    <w:rsid w:val="00710F1B"/>
    <w:rsid w:val="0071122B"/>
    <w:rsid w:val="00711270"/>
    <w:rsid w:val="00711683"/>
    <w:rsid w:val="007123E4"/>
    <w:rsid w:val="007127DA"/>
    <w:rsid w:val="0071295F"/>
    <w:rsid w:val="00712BEF"/>
    <w:rsid w:val="00712C5E"/>
    <w:rsid w:val="00712F38"/>
    <w:rsid w:val="00713227"/>
    <w:rsid w:val="00713425"/>
    <w:rsid w:val="00713E91"/>
    <w:rsid w:val="00714249"/>
    <w:rsid w:val="00714A9A"/>
    <w:rsid w:val="007153C7"/>
    <w:rsid w:val="007157AE"/>
    <w:rsid w:val="00715DD7"/>
    <w:rsid w:val="00715F97"/>
    <w:rsid w:val="00716008"/>
    <w:rsid w:val="0071600B"/>
    <w:rsid w:val="007160EA"/>
    <w:rsid w:val="007164F2"/>
    <w:rsid w:val="00716769"/>
    <w:rsid w:val="00716AB8"/>
    <w:rsid w:val="00716D80"/>
    <w:rsid w:val="00717110"/>
    <w:rsid w:val="00717238"/>
    <w:rsid w:val="00717AA1"/>
    <w:rsid w:val="00717E46"/>
    <w:rsid w:val="007204BD"/>
    <w:rsid w:val="00720563"/>
    <w:rsid w:val="00720834"/>
    <w:rsid w:val="00720BC8"/>
    <w:rsid w:val="00720E55"/>
    <w:rsid w:val="00721167"/>
    <w:rsid w:val="00721218"/>
    <w:rsid w:val="007219A6"/>
    <w:rsid w:val="00721B0C"/>
    <w:rsid w:val="00721D83"/>
    <w:rsid w:val="00721DC6"/>
    <w:rsid w:val="007222A9"/>
    <w:rsid w:val="007225E3"/>
    <w:rsid w:val="007229ED"/>
    <w:rsid w:val="00722CBC"/>
    <w:rsid w:val="00722D0B"/>
    <w:rsid w:val="007230EF"/>
    <w:rsid w:val="007235DF"/>
    <w:rsid w:val="00723963"/>
    <w:rsid w:val="00723D99"/>
    <w:rsid w:val="0072431D"/>
    <w:rsid w:val="00724AA4"/>
    <w:rsid w:val="00724E8A"/>
    <w:rsid w:val="00724F7B"/>
    <w:rsid w:val="007255BA"/>
    <w:rsid w:val="00725982"/>
    <w:rsid w:val="00725A03"/>
    <w:rsid w:val="00725F9E"/>
    <w:rsid w:val="0072677C"/>
    <w:rsid w:val="00727250"/>
    <w:rsid w:val="0072752A"/>
    <w:rsid w:val="00727D1A"/>
    <w:rsid w:val="00730026"/>
    <w:rsid w:val="00730347"/>
    <w:rsid w:val="00730C64"/>
    <w:rsid w:val="00730C89"/>
    <w:rsid w:val="00730D59"/>
    <w:rsid w:val="00730D69"/>
    <w:rsid w:val="007314B7"/>
    <w:rsid w:val="00731B9E"/>
    <w:rsid w:val="00732160"/>
    <w:rsid w:val="007323F2"/>
    <w:rsid w:val="007324DC"/>
    <w:rsid w:val="007327E0"/>
    <w:rsid w:val="00732B69"/>
    <w:rsid w:val="00732EBF"/>
    <w:rsid w:val="00733427"/>
    <w:rsid w:val="0073367C"/>
    <w:rsid w:val="007336AD"/>
    <w:rsid w:val="007336FC"/>
    <w:rsid w:val="00733A61"/>
    <w:rsid w:val="00733B4A"/>
    <w:rsid w:val="00733C59"/>
    <w:rsid w:val="0073415B"/>
    <w:rsid w:val="00734342"/>
    <w:rsid w:val="007343D1"/>
    <w:rsid w:val="0073491C"/>
    <w:rsid w:val="00734CE6"/>
    <w:rsid w:val="00734D7E"/>
    <w:rsid w:val="00734FD6"/>
    <w:rsid w:val="007352B9"/>
    <w:rsid w:val="00735A68"/>
    <w:rsid w:val="00735C33"/>
    <w:rsid w:val="00736178"/>
    <w:rsid w:val="007363D2"/>
    <w:rsid w:val="0073688E"/>
    <w:rsid w:val="007373AB"/>
    <w:rsid w:val="0073761C"/>
    <w:rsid w:val="00737B45"/>
    <w:rsid w:val="0074014E"/>
    <w:rsid w:val="007401A6"/>
    <w:rsid w:val="00740310"/>
    <w:rsid w:val="00740334"/>
    <w:rsid w:val="007403A7"/>
    <w:rsid w:val="00740B5D"/>
    <w:rsid w:val="00740CFE"/>
    <w:rsid w:val="00740E9C"/>
    <w:rsid w:val="00740F87"/>
    <w:rsid w:val="00740F92"/>
    <w:rsid w:val="00741459"/>
    <w:rsid w:val="0074163C"/>
    <w:rsid w:val="00741FCA"/>
    <w:rsid w:val="0074218D"/>
    <w:rsid w:val="00742247"/>
    <w:rsid w:val="007423BD"/>
    <w:rsid w:val="0074284A"/>
    <w:rsid w:val="00742B87"/>
    <w:rsid w:val="00742C43"/>
    <w:rsid w:val="00743043"/>
    <w:rsid w:val="00743681"/>
    <w:rsid w:val="0074396F"/>
    <w:rsid w:val="00743FA9"/>
    <w:rsid w:val="00744102"/>
    <w:rsid w:val="007443AC"/>
    <w:rsid w:val="00744628"/>
    <w:rsid w:val="00744825"/>
    <w:rsid w:val="00744849"/>
    <w:rsid w:val="00744892"/>
    <w:rsid w:val="00744BE2"/>
    <w:rsid w:val="007455C3"/>
    <w:rsid w:val="0074584E"/>
    <w:rsid w:val="00745F05"/>
    <w:rsid w:val="007469B6"/>
    <w:rsid w:val="00746BC7"/>
    <w:rsid w:val="0074702D"/>
    <w:rsid w:val="0074761E"/>
    <w:rsid w:val="00747A30"/>
    <w:rsid w:val="00747CFC"/>
    <w:rsid w:val="00747F11"/>
    <w:rsid w:val="00750695"/>
    <w:rsid w:val="00750874"/>
    <w:rsid w:val="00751427"/>
    <w:rsid w:val="007518A4"/>
    <w:rsid w:val="007519D7"/>
    <w:rsid w:val="007527AC"/>
    <w:rsid w:val="00752A08"/>
    <w:rsid w:val="007531B0"/>
    <w:rsid w:val="00753829"/>
    <w:rsid w:val="00753C82"/>
    <w:rsid w:val="00753E81"/>
    <w:rsid w:val="00753EA7"/>
    <w:rsid w:val="00754660"/>
    <w:rsid w:val="0075479E"/>
    <w:rsid w:val="00754EA1"/>
    <w:rsid w:val="007550A8"/>
    <w:rsid w:val="007560AD"/>
    <w:rsid w:val="007563EE"/>
    <w:rsid w:val="007564C6"/>
    <w:rsid w:val="0075665A"/>
    <w:rsid w:val="00756A1F"/>
    <w:rsid w:val="00756F61"/>
    <w:rsid w:val="00757354"/>
    <w:rsid w:val="0075755D"/>
    <w:rsid w:val="007606E8"/>
    <w:rsid w:val="00760B9F"/>
    <w:rsid w:val="00761D39"/>
    <w:rsid w:val="0076217C"/>
    <w:rsid w:val="00762223"/>
    <w:rsid w:val="007623D3"/>
    <w:rsid w:val="007625A6"/>
    <w:rsid w:val="007627B6"/>
    <w:rsid w:val="0076285B"/>
    <w:rsid w:val="00762AA3"/>
    <w:rsid w:val="00762BB0"/>
    <w:rsid w:val="00762C31"/>
    <w:rsid w:val="00762C56"/>
    <w:rsid w:val="00762CB4"/>
    <w:rsid w:val="0076342E"/>
    <w:rsid w:val="00763B1A"/>
    <w:rsid w:val="00763DB2"/>
    <w:rsid w:val="00764D7B"/>
    <w:rsid w:val="00764EA0"/>
    <w:rsid w:val="00765490"/>
    <w:rsid w:val="007655A4"/>
    <w:rsid w:val="00765674"/>
    <w:rsid w:val="00765911"/>
    <w:rsid w:val="00765C7A"/>
    <w:rsid w:val="0076606A"/>
    <w:rsid w:val="007661E4"/>
    <w:rsid w:val="0076628F"/>
    <w:rsid w:val="00766C50"/>
    <w:rsid w:val="00767688"/>
    <w:rsid w:val="00767AA6"/>
    <w:rsid w:val="00767C61"/>
    <w:rsid w:val="00767CA0"/>
    <w:rsid w:val="00767F8B"/>
    <w:rsid w:val="00767FBA"/>
    <w:rsid w:val="0077006A"/>
    <w:rsid w:val="007702F5"/>
    <w:rsid w:val="007702FC"/>
    <w:rsid w:val="007705DC"/>
    <w:rsid w:val="00770CB2"/>
    <w:rsid w:val="00770DC4"/>
    <w:rsid w:val="0077173B"/>
    <w:rsid w:val="00771AE3"/>
    <w:rsid w:val="00771BDC"/>
    <w:rsid w:val="00772DB9"/>
    <w:rsid w:val="00772F2B"/>
    <w:rsid w:val="00773052"/>
    <w:rsid w:val="00773405"/>
    <w:rsid w:val="007736C3"/>
    <w:rsid w:val="00773A1A"/>
    <w:rsid w:val="007740AF"/>
    <w:rsid w:val="00774246"/>
    <w:rsid w:val="007747C2"/>
    <w:rsid w:val="00774C41"/>
    <w:rsid w:val="00774F88"/>
    <w:rsid w:val="00775082"/>
    <w:rsid w:val="00775105"/>
    <w:rsid w:val="00775134"/>
    <w:rsid w:val="007751DD"/>
    <w:rsid w:val="00775774"/>
    <w:rsid w:val="007757CA"/>
    <w:rsid w:val="00775EAF"/>
    <w:rsid w:val="00776533"/>
    <w:rsid w:val="007768DC"/>
    <w:rsid w:val="00776B2D"/>
    <w:rsid w:val="00777156"/>
    <w:rsid w:val="007777D4"/>
    <w:rsid w:val="00777E02"/>
    <w:rsid w:val="007802DB"/>
    <w:rsid w:val="007803A6"/>
    <w:rsid w:val="007804DD"/>
    <w:rsid w:val="00780E7C"/>
    <w:rsid w:val="007814FE"/>
    <w:rsid w:val="0078197E"/>
    <w:rsid w:val="00781BA2"/>
    <w:rsid w:val="00781C2D"/>
    <w:rsid w:val="00782243"/>
    <w:rsid w:val="0078230E"/>
    <w:rsid w:val="007829F4"/>
    <w:rsid w:val="00782D17"/>
    <w:rsid w:val="00782E5F"/>
    <w:rsid w:val="00782F24"/>
    <w:rsid w:val="00783126"/>
    <w:rsid w:val="007832C8"/>
    <w:rsid w:val="007833DB"/>
    <w:rsid w:val="00783493"/>
    <w:rsid w:val="00783BED"/>
    <w:rsid w:val="0078407E"/>
    <w:rsid w:val="00784E61"/>
    <w:rsid w:val="00784EFC"/>
    <w:rsid w:val="00785332"/>
    <w:rsid w:val="007856E5"/>
    <w:rsid w:val="00785706"/>
    <w:rsid w:val="00785CF5"/>
    <w:rsid w:val="00785EB4"/>
    <w:rsid w:val="00785EF3"/>
    <w:rsid w:val="007860BB"/>
    <w:rsid w:val="007861A2"/>
    <w:rsid w:val="007865C6"/>
    <w:rsid w:val="00786D94"/>
    <w:rsid w:val="00787158"/>
    <w:rsid w:val="007876AB"/>
    <w:rsid w:val="007906FB"/>
    <w:rsid w:val="00790941"/>
    <w:rsid w:val="00790EA8"/>
    <w:rsid w:val="00791317"/>
    <w:rsid w:val="00791688"/>
    <w:rsid w:val="00791780"/>
    <w:rsid w:val="007917DE"/>
    <w:rsid w:val="00791986"/>
    <w:rsid w:val="00791EC5"/>
    <w:rsid w:val="00792079"/>
    <w:rsid w:val="007925BC"/>
    <w:rsid w:val="00792B01"/>
    <w:rsid w:val="00793BC9"/>
    <w:rsid w:val="00793F00"/>
    <w:rsid w:val="0079414F"/>
    <w:rsid w:val="007941B5"/>
    <w:rsid w:val="007942D5"/>
    <w:rsid w:val="007946F6"/>
    <w:rsid w:val="00794839"/>
    <w:rsid w:val="00794A59"/>
    <w:rsid w:val="00795850"/>
    <w:rsid w:val="00795A1E"/>
    <w:rsid w:val="00795E12"/>
    <w:rsid w:val="00795F68"/>
    <w:rsid w:val="00796310"/>
    <w:rsid w:val="0079663D"/>
    <w:rsid w:val="00797293"/>
    <w:rsid w:val="0079734D"/>
    <w:rsid w:val="007979B5"/>
    <w:rsid w:val="00797A28"/>
    <w:rsid w:val="00797A6C"/>
    <w:rsid w:val="007A06C9"/>
    <w:rsid w:val="007A0872"/>
    <w:rsid w:val="007A1683"/>
    <w:rsid w:val="007A1BC3"/>
    <w:rsid w:val="007A2056"/>
    <w:rsid w:val="007A2A66"/>
    <w:rsid w:val="007A2CCA"/>
    <w:rsid w:val="007A2D05"/>
    <w:rsid w:val="007A2D4F"/>
    <w:rsid w:val="007A31F3"/>
    <w:rsid w:val="007A3229"/>
    <w:rsid w:val="007A39EC"/>
    <w:rsid w:val="007A3B5F"/>
    <w:rsid w:val="007A3B8F"/>
    <w:rsid w:val="007A3C50"/>
    <w:rsid w:val="007A3D17"/>
    <w:rsid w:val="007A3F9A"/>
    <w:rsid w:val="007A469D"/>
    <w:rsid w:val="007A4A42"/>
    <w:rsid w:val="007A4D3D"/>
    <w:rsid w:val="007A52ED"/>
    <w:rsid w:val="007A56A8"/>
    <w:rsid w:val="007A590C"/>
    <w:rsid w:val="007A5B0C"/>
    <w:rsid w:val="007A5B61"/>
    <w:rsid w:val="007A5D33"/>
    <w:rsid w:val="007A6955"/>
    <w:rsid w:val="007A72CF"/>
    <w:rsid w:val="007A7B57"/>
    <w:rsid w:val="007A7E28"/>
    <w:rsid w:val="007B02D5"/>
    <w:rsid w:val="007B0444"/>
    <w:rsid w:val="007B0616"/>
    <w:rsid w:val="007B12E4"/>
    <w:rsid w:val="007B1749"/>
    <w:rsid w:val="007B2158"/>
    <w:rsid w:val="007B218A"/>
    <w:rsid w:val="007B2230"/>
    <w:rsid w:val="007B226E"/>
    <w:rsid w:val="007B27BD"/>
    <w:rsid w:val="007B27CE"/>
    <w:rsid w:val="007B27D5"/>
    <w:rsid w:val="007B2F20"/>
    <w:rsid w:val="007B35B3"/>
    <w:rsid w:val="007B37EC"/>
    <w:rsid w:val="007B3A17"/>
    <w:rsid w:val="007B49A7"/>
    <w:rsid w:val="007B4F6E"/>
    <w:rsid w:val="007B5254"/>
    <w:rsid w:val="007B5300"/>
    <w:rsid w:val="007B56E0"/>
    <w:rsid w:val="007B5830"/>
    <w:rsid w:val="007B5AD3"/>
    <w:rsid w:val="007B5CBB"/>
    <w:rsid w:val="007B5EC6"/>
    <w:rsid w:val="007B5EC9"/>
    <w:rsid w:val="007B64C3"/>
    <w:rsid w:val="007B6967"/>
    <w:rsid w:val="007B72C1"/>
    <w:rsid w:val="007B755C"/>
    <w:rsid w:val="007B758B"/>
    <w:rsid w:val="007B77A4"/>
    <w:rsid w:val="007B7BFA"/>
    <w:rsid w:val="007C02F2"/>
    <w:rsid w:val="007C1738"/>
    <w:rsid w:val="007C1C9D"/>
    <w:rsid w:val="007C20F5"/>
    <w:rsid w:val="007C241B"/>
    <w:rsid w:val="007C2459"/>
    <w:rsid w:val="007C26B8"/>
    <w:rsid w:val="007C2F7A"/>
    <w:rsid w:val="007C31E0"/>
    <w:rsid w:val="007C45BE"/>
    <w:rsid w:val="007C4C39"/>
    <w:rsid w:val="007C567A"/>
    <w:rsid w:val="007C5795"/>
    <w:rsid w:val="007C6020"/>
    <w:rsid w:val="007C6322"/>
    <w:rsid w:val="007C6A3A"/>
    <w:rsid w:val="007C6A4E"/>
    <w:rsid w:val="007C6F18"/>
    <w:rsid w:val="007C70B0"/>
    <w:rsid w:val="007C767B"/>
    <w:rsid w:val="007C77BE"/>
    <w:rsid w:val="007C7C12"/>
    <w:rsid w:val="007C7E79"/>
    <w:rsid w:val="007D002C"/>
    <w:rsid w:val="007D005F"/>
    <w:rsid w:val="007D0613"/>
    <w:rsid w:val="007D0CF0"/>
    <w:rsid w:val="007D1ABF"/>
    <w:rsid w:val="007D1B89"/>
    <w:rsid w:val="007D1DEE"/>
    <w:rsid w:val="007D2104"/>
    <w:rsid w:val="007D2735"/>
    <w:rsid w:val="007D28FE"/>
    <w:rsid w:val="007D2E98"/>
    <w:rsid w:val="007D317D"/>
    <w:rsid w:val="007D3190"/>
    <w:rsid w:val="007D3203"/>
    <w:rsid w:val="007D356A"/>
    <w:rsid w:val="007D3729"/>
    <w:rsid w:val="007D391C"/>
    <w:rsid w:val="007D3CC2"/>
    <w:rsid w:val="007D40EE"/>
    <w:rsid w:val="007D413F"/>
    <w:rsid w:val="007D41C1"/>
    <w:rsid w:val="007D4693"/>
    <w:rsid w:val="007D470A"/>
    <w:rsid w:val="007D4743"/>
    <w:rsid w:val="007D4B6C"/>
    <w:rsid w:val="007D4BAD"/>
    <w:rsid w:val="007D53D4"/>
    <w:rsid w:val="007D583B"/>
    <w:rsid w:val="007D5880"/>
    <w:rsid w:val="007D651D"/>
    <w:rsid w:val="007D652E"/>
    <w:rsid w:val="007D67FF"/>
    <w:rsid w:val="007D69EE"/>
    <w:rsid w:val="007D6E73"/>
    <w:rsid w:val="007D7204"/>
    <w:rsid w:val="007D7268"/>
    <w:rsid w:val="007D77B7"/>
    <w:rsid w:val="007D7BC8"/>
    <w:rsid w:val="007D7BD8"/>
    <w:rsid w:val="007E0D08"/>
    <w:rsid w:val="007E1201"/>
    <w:rsid w:val="007E15B7"/>
    <w:rsid w:val="007E1C73"/>
    <w:rsid w:val="007E1D4B"/>
    <w:rsid w:val="007E21A3"/>
    <w:rsid w:val="007E2276"/>
    <w:rsid w:val="007E2308"/>
    <w:rsid w:val="007E2564"/>
    <w:rsid w:val="007E28B8"/>
    <w:rsid w:val="007E3300"/>
    <w:rsid w:val="007E3406"/>
    <w:rsid w:val="007E3BAB"/>
    <w:rsid w:val="007E3F5A"/>
    <w:rsid w:val="007E4307"/>
    <w:rsid w:val="007E484F"/>
    <w:rsid w:val="007E4EA4"/>
    <w:rsid w:val="007E4F35"/>
    <w:rsid w:val="007E4F72"/>
    <w:rsid w:val="007E540C"/>
    <w:rsid w:val="007E54C7"/>
    <w:rsid w:val="007E5771"/>
    <w:rsid w:val="007E58BE"/>
    <w:rsid w:val="007E5AB3"/>
    <w:rsid w:val="007E5B98"/>
    <w:rsid w:val="007E6326"/>
    <w:rsid w:val="007E66B6"/>
    <w:rsid w:val="007E6E92"/>
    <w:rsid w:val="007E76AC"/>
    <w:rsid w:val="007E7FA6"/>
    <w:rsid w:val="007F0348"/>
    <w:rsid w:val="007F04FF"/>
    <w:rsid w:val="007F09B4"/>
    <w:rsid w:val="007F0CF5"/>
    <w:rsid w:val="007F0FE6"/>
    <w:rsid w:val="007F1A04"/>
    <w:rsid w:val="007F1A4C"/>
    <w:rsid w:val="007F1C75"/>
    <w:rsid w:val="007F1CB4"/>
    <w:rsid w:val="007F1F1D"/>
    <w:rsid w:val="007F1F54"/>
    <w:rsid w:val="007F26F9"/>
    <w:rsid w:val="007F2A62"/>
    <w:rsid w:val="007F2B9A"/>
    <w:rsid w:val="007F2F24"/>
    <w:rsid w:val="007F3431"/>
    <w:rsid w:val="007F35BB"/>
    <w:rsid w:val="007F3F1D"/>
    <w:rsid w:val="007F41BE"/>
    <w:rsid w:val="007F4977"/>
    <w:rsid w:val="007F4A7C"/>
    <w:rsid w:val="007F4B30"/>
    <w:rsid w:val="007F4D58"/>
    <w:rsid w:val="007F4EB8"/>
    <w:rsid w:val="007F5475"/>
    <w:rsid w:val="007F54CE"/>
    <w:rsid w:val="007F5594"/>
    <w:rsid w:val="007F562B"/>
    <w:rsid w:val="007F56E5"/>
    <w:rsid w:val="007F58FF"/>
    <w:rsid w:val="007F5DAD"/>
    <w:rsid w:val="007F5EF4"/>
    <w:rsid w:val="007F6533"/>
    <w:rsid w:val="007F65A3"/>
    <w:rsid w:val="007F65FE"/>
    <w:rsid w:val="007F680D"/>
    <w:rsid w:val="007F6DB9"/>
    <w:rsid w:val="007F6EA2"/>
    <w:rsid w:val="007F7057"/>
    <w:rsid w:val="007F775A"/>
    <w:rsid w:val="008005B9"/>
    <w:rsid w:val="00801663"/>
    <w:rsid w:val="00801723"/>
    <w:rsid w:val="0080186B"/>
    <w:rsid w:val="00801CA7"/>
    <w:rsid w:val="00801F5E"/>
    <w:rsid w:val="00802171"/>
    <w:rsid w:val="00802189"/>
    <w:rsid w:val="00802325"/>
    <w:rsid w:val="00802790"/>
    <w:rsid w:val="00802DD0"/>
    <w:rsid w:val="00803D31"/>
    <w:rsid w:val="008043BE"/>
    <w:rsid w:val="00804585"/>
    <w:rsid w:val="008046FD"/>
    <w:rsid w:val="00804971"/>
    <w:rsid w:val="00804EDA"/>
    <w:rsid w:val="00804F33"/>
    <w:rsid w:val="00805512"/>
    <w:rsid w:val="00805731"/>
    <w:rsid w:val="00805A54"/>
    <w:rsid w:val="00805CE7"/>
    <w:rsid w:val="00806366"/>
    <w:rsid w:val="0080649A"/>
    <w:rsid w:val="0080665A"/>
    <w:rsid w:val="00806741"/>
    <w:rsid w:val="00806C53"/>
    <w:rsid w:val="00806E34"/>
    <w:rsid w:val="00807713"/>
    <w:rsid w:val="00807818"/>
    <w:rsid w:val="00807DFE"/>
    <w:rsid w:val="008101B5"/>
    <w:rsid w:val="00810365"/>
    <w:rsid w:val="00810CFB"/>
    <w:rsid w:val="008112DD"/>
    <w:rsid w:val="0081134E"/>
    <w:rsid w:val="008116D8"/>
    <w:rsid w:val="0081199B"/>
    <w:rsid w:val="00811AF1"/>
    <w:rsid w:val="00811D6B"/>
    <w:rsid w:val="00811E3A"/>
    <w:rsid w:val="0081202C"/>
    <w:rsid w:val="008120B2"/>
    <w:rsid w:val="008120E8"/>
    <w:rsid w:val="008122F9"/>
    <w:rsid w:val="00812311"/>
    <w:rsid w:val="0081237A"/>
    <w:rsid w:val="00812954"/>
    <w:rsid w:val="0081295D"/>
    <w:rsid w:val="00813369"/>
    <w:rsid w:val="00813761"/>
    <w:rsid w:val="0081384C"/>
    <w:rsid w:val="008139B8"/>
    <w:rsid w:val="008143A5"/>
    <w:rsid w:val="00814644"/>
    <w:rsid w:val="0081487E"/>
    <w:rsid w:val="00814DD7"/>
    <w:rsid w:val="00814DE7"/>
    <w:rsid w:val="00814ECC"/>
    <w:rsid w:val="00815568"/>
    <w:rsid w:val="0081567B"/>
    <w:rsid w:val="00815740"/>
    <w:rsid w:val="008159A2"/>
    <w:rsid w:val="00815D94"/>
    <w:rsid w:val="008161E2"/>
    <w:rsid w:val="0081667C"/>
    <w:rsid w:val="008167AB"/>
    <w:rsid w:val="00816E0F"/>
    <w:rsid w:val="00817377"/>
    <w:rsid w:val="0081799D"/>
    <w:rsid w:val="008179E1"/>
    <w:rsid w:val="00817B38"/>
    <w:rsid w:val="0082042D"/>
    <w:rsid w:val="008204BF"/>
    <w:rsid w:val="008206DC"/>
    <w:rsid w:val="0082118D"/>
    <w:rsid w:val="00821395"/>
    <w:rsid w:val="008218DD"/>
    <w:rsid w:val="008220A2"/>
    <w:rsid w:val="00822416"/>
    <w:rsid w:val="008227B4"/>
    <w:rsid w:val="008228BB"/>
    <w:rsid w:val="008232E1"/>
    <w:rsid w:val="00823A58"/>
    <w:rsid w:val="00823C5D"/>
    <w:rsid w:val="00823DF9"/>
    <w:rsid w:val="00823FE0"/>
    <w:rsid w:val="008247C3"/>
    <w:rsid w:val="00824B10"/>
    <w:rsid w:val="00824F80"/>
    <w:rsid w:val="0082540C"/>
    <w:rsid w:val="00825640"/>
    <w:rsid w:val="008258F1"/>
    <w:rsid w:val="008259C7"/>
    <w:rsid w:val="00825AE9"/>
    <w:rsid w:val="00826070"/>
    <w:rsid w:val="008266A2"/>
    <w:rsid w:val="00826B0A"/>
    <w:rsid w:val="00826E8F"/>
    <w:rsid w:val="0082723B"/>
    <w:rsid w:val="008272AE"/>
    <w:rsid w:val="0082753B"/>
    <w:rsid w:val="00827763"/>
    <w:rsid w:val="0082789D"/>
    <w:rsid w:val="008278A0"/>
    <w:rsid w:val="00830354"/>
    <w:rsid w:val="00830558"/>
    <w:rsid w:val="0083088A"/>
    <w:rsid w:val="008312CB"/>
    <w:rsid w:val="008313ED"/>
    <w:rsid w:val="008319DA"/>
    <w:rsid w:val="00831A41"/>
    <w:rsid w:val="00832271"/>
    <w:rsid w:val="00832441"/>
    <w:rsid w:val="00832460"/>
    <w:rsid w:val="0083262B"/>
    <w:rsid w:val="0083300C"/>
    <w:rsid w:val="00833A67"/>
    <w:rsid w:val="00833FAB"/>
    <w:rsid w:val="00834535"/>
    <w:rsid w:val="00834763"/>
    <w:rsid w:val="00834866"/>
    <w:rsid w:val="008348AD"/>
    <w:rsid w:val="00834A16"/>
    <w:rsid w:val="00834C31"/>
    <w:rsid w:val="00835680"/>
    <w:rsid w:val="00835BBE"/>
    <w:rsid w:val="00835DA4"/>
    <w:rsid w:val="00835F01"/>
    <w:rsid w:val="00836352"/>
    <w:rsid w:val="00836AC1"/>
    <w:rsid w:val="008373D9"/>
    <w:rsid w:val="00837511"/>
    <w:rsid w:val="00837995"/>
    <w:rsid w:val="0084013C"/>
    <w:rsid w:val="00840597"/>
    <w:rsid w:val="0084088F"/>
    <w:rsid w:val="00840A83"/>
    <w:rsid w:val="00841162"/>
    <w:rsid w:val="00841C66"/>
    <w:rsid w:val="0084203A"/>
    <w:rsid w:val="008422E1"/>
    <w:rsid w:val="008426FB"/>
    <w:rsid w:val="00843398"/>
    <w:rsid w:val="00843EE0"/>
    <w:rsid w:val="0084450B"/>
    <w:rsid w:val="0084451B"/>
    <w:rsid w:val="00844571"/>
    <w:rsid w:val="00844674"/>
    <w:rsid w:val="008447BE"/>
    <w:rsid w:val="00844821"/>
    <w:rsid w:val="00844EBA"/>
    <w:rsid w:val="00844FEA"/>
    <w:rsid w:val="00845618"/>
    <w:rsid w:val="00845AD2"/>
    <w:rsid w:val="00845F74"/>
    <w:rsid w:val="0084678B"/>
    <w:rsid w:val="00846A52"/>
    <w:rsid w:val="00846EDC"/>
    <w:rsid w:val="00847488"/>
    <w:rsid w:val="00847AB3"/>
    <w:rsid w:val="00847D01"/>
    <w:rsid w:val="00847F25"/>
    <w:rsid w:val="00850090"/>
    <w:rsid w:val="00850191"/>
    <w:rsid w:val="008504E1"/>
    <w:rsid w:val="008507C5"/>
    <w:rsid w:val="0085085A"/>
    <w:rsid w:val="0085125E"/>
    <w:rsid w:val="00851F01"/>
    <w:rsid w:val="008525D1"/>
    <w:rsid w:val="00852851"/>
    <w:rsid w:val="00852928"/>
    <w:rsid w:val="00852B89"/>
    <w:rsid w:val="00852CE0"/>
    <w:rsid w:val="00852D45"/>
    <w:rsid w:val="00853331"/>
    <w:rsid w:val="00853A6F"/>
    <w:rsid w:val="00853BD4"/>
    <w:rsid w:val="00853EC3"/>
    <w:rsid w:val="008541A2"/>
    <w:rsid w:val="00855822"/>
    <w:rsid w:val="00855897"/>
    <w:rsid w:val="00855CCE"/>
    <w:rsid w:val="0085616A"/>
    <w:rsid w:val="008567B1"/>
    <w:rsid w:val="0085750A"/>
    <w:rsid w:val="008577FC"/>
    <w:rsid w:val="008578A5"/>
    <w:rsid w:val="00857A8C"/>
    <w:rsid w:val="008602B4"/>
    <w:rsid w:val="008604E9"/>
    <w:rsid w:val="008606F9"/>
    <w:rsid w:val="00860920"/>
    <w:rsid w:val="00860DC1"/>
    <w:rsid w:val="008619E2"/>
    <w:rsid w:val="00861BC2"/>
    <w:rsid w:val="00861EB3"/>
    <w:rsid w:val="00862864"/>
    <w:rsid w:val="00862AE7"/>
    <w:rsid w:val="00862E4B"/>
    <w:rsid w:val="00863324"/>
    <w:rsid w:val="00863C39"/>
    <w:rsid w:val="00863F32"/>
    <w:rsid w:val="008640AB"/>
    <w:rsid w:val="00864207"/>
    <w:rsid w:val="008642EA"/>
    <w:rsid w:val="008644BB"/>
    <w:rsid w:val="0086494A"/>
    <w:rsid w:val="008650B4"/>
    <w:rsid w:val="0086517A"/>
    <w:rsid w:val="008652ED"/>
    <w:rsid w:val="008654B1"/>
    <w:rsid w:val="00865529"/>
    <w:rsid w:val="008657B2"/>
    <w:rsid w:val="008657B6"/>
    <w:rsid w:val="00865B78"/>
    <w:rsid w:val="00865F82"/>
    <w:rsid w:val="008664B6"/>
    <w:rsid w:val="00866832"/>
    <w:rsid w:val="00866DE2"/>
    <w:rsid w:val="00867108"/>
    <w:rsid w:val="00867982"/>
    <w:rsid w:val="008679E8"/>
    <w:rsid w:val="00867ACC"/>
    <w:rsid w:val="0087072F"/>
    <w:rsid w:val="00870D20"/>
    <w:rsid w:val="0087144E"/>
    <w:rsid w:val="00871C60"/>
    <w:rsid w:val="00871DC5"/>
    <w:rsid w:val="00871EAC"/>
    <w:rsid w:val="00872016"/>
    <w:rsid w:val="00872763"/>
    <w:rsid w:val="00872F9C"/>
    <w:rsid w:val="008730E7"/>
    <w:rsid w:val="0087334D"/>
    <w:rsid w:val="00873426"/>
    <w:rsid w:val="008739B2"/>
    <w:rsid w:val="00873D66"/>
    <w:rsid w:val="00873E19"/>
    <w:rsid w:val="00873ECC"/>
    <w:rsid w:val="00873F1C"/>
    <w:rsid w:val="00874637"/>
    <w:rsid w:val="008748C2"/>
    <w:rsid w:val="00874A99"/>
    <w:rsid w:val="00874C27"/>
    <w:rsid w:val="00875280"/>
    <w:rsid w:val="008752EE"/>
    <w:rsid w:val="00875F72"/>
    <w:rsid w:val="0087650D"/>
    <w:rsid w:val="0087695F"/>
    <w:rsid w:val="00876B13"/>
    <w:rsid w:val="00876DED"/>
    <w:rsid w:val="008777D5"/>
    <w:rsid w:val="00877C99"/>
    <w:rsid w:val="00880229"/>
    <w:rsid w:val="008802A6"/>
    <w:rsid w:val="008803EF"/>
    <w:rsid w:val="00880666"/>
    <w:rsid w:val="00880871"/>
    <w:rsid w:val="008810A6"/>
    <w:rsid w:val="0088169F"/>
    <w:rsid w:val="0088191E"/>
    <w:rsid w:val="00881BB4"/>
    <w:rsid w:val="00881CA4"/>
    <w:rsid w:val="00881DC1"/>
    <w:rsid w:val="00882213"/>
    <w:rsid w:val="0088238C"/>
    <w:rsid w:val="008826A2"/>
    <w:rsid w:val="00882D15"/>
    <w:rsid w:val="00882EF7"/>
    <w:rsid w:val="00882F83"/>
    <w:rsid w:val="008832BA"/>
    <w:rsid w:val="008834DD"/>
    <w:rsid w:val="008843DE"/>
    <w:rsid w:val="00884CEC"/>
    <w:rsid w:val="00884E00"/>
    <w:rsid w:val="008853BB"/>
    <w:rsid w:val="0088540F"/>
    <w:rsid w:val="008855C7"/>
    <w:rsid w:val="0088564B"/>
    <w:rsid w:val="0088590A"/>
    <w:rsid w:val="00885989"/>
    <w:rsid w:val="00886375"/>
    <w:rsid w:val="0088661E"/>
    <w:rsid w:val="00886AB6"/>
    <w:rsid w:val="00886D7A"/>
    <w:rsid w:val="00886FFF"/>
    <w:rsid w:val="0088719A"/>
    <w:rsid w:val="008871FA"/>
    <w:rsid w:val="00887F07"/>
    <w:rsid w:val="008904A7"/>
    <w:rsid w:val="0089083D"/>
    <w:rsid w:val="0089092A"/>
    <w:rsid w:val="008912AA"/>
    <w:rsid w:val="00891758"/>
    <w:rsid w:val="00891AB0"/>
    <w:rsid w:val="008923A1"/>
    <w:rsid w:val="00892C9B"/>
    <w:rsid w:val="00893784"/>
    <w:rsid w:val="00893878"/>
    <w:rsid w:val="00893902"/>
    <w:rsid w:val="008940CE"/>
    <w:rsid w:val="00894195"/>
    <w:rsid w:val="00894212"/>
    <w:rsid w:val="008946EE"/>
    <w:rsid w:val="0089471E"/>
    <w:rsid w:val="0089476D"/>
    <w:rsid w:val="008949A2"/>
    <w:rsid w:val="00894B2A"/>
    <w:rsid w:val="00894FE5"/>
    <w:rsid w:val="0089540F"/>
    <w:rsid w:val="00895772"/>
    <w:rsid w:val="00896502"/>
    <w:rsid w:val="0089737E"/>
    <w:rsid w:val="0089766E"/>
    <w:rsid w:val="00897852"/>
    <w:rsid w:val="008A00BA"/>
    <w:rsid w:val="008A0610"/>
    <w:rsid w:val="008A0649"/>
    <w:rsid w:val="008A0755"/>
    <w:rsid w:val="008A0939"/>
    <w:rsid w:val="008A12E8"/>
    <w:rsid w:val="008A133D"/>
    <w:rsid w:val="008A1681"/>
    <w:rsid w:val="008A278A"/>
    <w:rsid w:val="008A27B8"/>
    <w:rsid w:val="008A285B"/>
    <w:rsid w:val="008A2C58"/>
    <w:rsid w:val="008A3283"/>
    <w:rsid w:val="008A33D8"/>
    <w:rsid w:val="008A3716"/>
    <w:rsid w:val="008A3745"/>
    <w:rsid w:val="008A3F88"/>
    <w:rsid w:val="008A4369"/>
    <w:rsid w:val="008A46A8"/>
    <w:rsid w:val="008A4AB1"/>
    <w:rsid w:val="008A4C1D"/>
    <w:rsid w:val="008A4D66"/>
    <w:rsid w:val="008A5242"/>
    <w:rsid w:val="008A5607"/>
    <w:rsid w:val="008A5664"/>
    <w:rsid w:val="008A5819"/>
    <w:rsid w:val="008A5ACE"/>
    <w:rsid w:val="008A5C01"/>
    <w:rsid w:val="008A5F49"/>
    <w:rsid w:val="008A60ED"/>
    <w:rsid w:val="008A6181"/>
    <w:rsid w:val="008A64D5"/>
    <w:rsid w:val="008A6669"/>
    <w:rsid w:val="008A6AB1"/>
    <w:rsid w:val="008A6C4C"/>
    <w:rsid w:val="008A6E48"/>
    <w:rsid w:val="008A6F90"/>
    <w:rsid w:val="008A7179"/>
    <w:rsid w:val="008A732B"/>
    <w:rsid w:val="008A790F"/>
    <w:rsid w:val="008A7C3B"/>
    <w:rsid w:val="008A7C46"/>
    <w:rsid w:val="008A7C85"/>
    <w:rsid w:val="008A7D21"/>
    <w:rsid w:val="008A7F13"/>
    <w:rsid w:val="008A7FE3"/>
    <w:rsid w:val="008B040D"/>
    <w:rsid w:val="008B048D"/>
    <w:rsid w:val="008B0B34"/>
    <w:rsid w:val="008B0C4E"/>
    <w:rsid w:val="008B0CBD"/>
    <w:rsid w:val="008B0D7F"/>
    <w:rsid w:val="008B113B"/>
    <w:rsid w:val="008B1441"/>
    <w:rsid w:val="008B1B37"/>
    <w:rsid w:val="008B1C05"/>
    <w:rsid w:val="008B1F53"/>
    <w:rsid w:val="008B2024"/>
    <w:rsid w:val="008B20C9"/>
    <w:rsid w:val="008B2194"/>
    <w:rsid w:val="008B239E"/>
    <w:rsid w:val="008B28A7"/>
    <w:rsid w:val="008B2C0F"/>
    <w:rsid w:val="008B3261"/>
    <w:rsid w:val="008B3380"/>
    <w:rsid w:val="008B3778"/>
    <w:rsid w:val="008B3A96"/>
    <w:rsid w:val="008B3DB3"/>
    <w:rsid w:val="008B3DD3"/>
    <w:rsid w:val="008B3E0E"/>
    <w:rsid w:val="008B3E79"/>
    <w:rsid w:val="008B3F69"/>
    <w:rsid w:val="008B47B2"/>
    <w:rsid w:val="008B4C19"/>
    <w:rsid w:val="008B4E6B"/>
    <w:rsid w:val="008B4E79"/>
    <w:rsid w:val="008B5199"/>
    <w:rsid w:val="008B519F"/>
    <w:rsid w:val="008B5632"/>
    <w:rsid w:val="008B586E"/>
    <w:rsid w:val="008B5FE4"/>
    <w:rsid w:val="008B602A"/>
    <w:rsid w:val="008B6087"/>
    <w:rsid w:val="008B62F8"/>
    <w:rsid w:val="008B66C3"/>
    <w:rsid w:val="008B6806"/>
    <w:rsid w:val="008B693A"/>
    <w:rsid w:val="008B6B02"/>
    <w:rsid w:val="008B6BFB"/>
    <w:rsid w:val="008B6CBD"/>
    <w:rsid w:val="008B6E46"/>
    <w:rsid w:val="008B6FD2"/>
    <w:rsid w:val="008B722A"/>
    <w:rsid w:val="008C0152"/>
    <w:rsid w:val="008C04A6"/>
    <w:rsid w:val="008C0655"/>
    <w:rsid w:val="008C0A49"/>
    <w:rsid w:val="008C0BA8"/>
    <w:rsid w:val="008C0E9B"/>
    <w:rsid w:val="008C0EBB"/>
    <w:rsid w:val="008C12B9"/>
    <w:rsid w:val="008C12C5"/>
    <w:rsid w:val="008C1515"/>
    <w:rsid w:val="008C1A00"/>
    <w:rsid w:val="008C1B4A"/>
    <w:rsid w:val="008C20BC"/>
    <w:rsid w:val="008C22AB"/>
    <w:rsid w:val="008C2B29"/>
    <w:rsid w:val="008C2BAB"/>
    <w:rsid w:val="008C2D4B"/>
    <w:rsid w:val="008C36FD"/>
    <w:rsid w:val="008C381D"/>
    <w:rsid w:val="008C4B06"/>
    <w:rsid w:val="008C4DF5"/>
    <w:rsid w:val="008C4E13"/>
    <w:rsid w:val="008C4F9A"/>
    <w:rsid w:val="008C549F"/>
    <w:rsid w:val="008C5DE8"/>
    <w:rsid w:val="008C5E36"/>
    <w:rsid w:val="008C64B6"/>
    <w:rsid w:val="008C6861"/>
    <w:rsid w:val="008C6A5B"/>
    <w:rsid w:val="008C6AC7"/>
    <w:rsid w:val="008C7119"/>
    <w:rsid w:val="008C716A"/>
    <w:rsid w:val="008C7319"/>
    <w:rsid w:val="008D0170"/>
    <w:rsid w:val="008D01F7"/>
    <w:rsid w:val="008D1B34"/>
    <w:rsid w:val="008D1F55"/>
    <w:rsid w:val="008D2216"/>
    <w:rsid w:val="008D2221"/>
    <w:rsid w:val="008D24E4"/>
    <w:rsid w:val="008D2C16"/>
    <w:rsid w:val="008D3890"/>
    <w:rsid w:val="008D38C0"/>
    <w:rsid w:val="008D3943"/>
    <w:rsid w:val="008D40B0"/>
    <w:rsid w:val="008D4200"/>
    <w:rsid w:val="008D4372"/>
    <w:rsid w:val="008D44FF"/>
    <w:rsid w:val="008D4771"/>
    <w:rsid w:val="008D48F2"/>
    <w:rsid w:val="008D49A6"/>
    <w:rsid w:val="008D4A81"/>
    <w:rsid w:val="008D4BB9"/>
    <w:rsid w:val="008D4C04"/>
    <w:rsid w:val="008D4C68"/>
    <w:rsid w:val="008D53A3"/>
    <w:rsid w:val="008D5705"/>
    <w:rsid w:val="008D5988"/>
    <w:rsid w:val="008D641C"/>
    <w:rsid w:val="008D6459"/>
    <w:rsid w:val="008D64AB"/>
    <w:rsid w:val="008D650C"/>
    <w:rsid w:val="008D751C"/>
    <w:rsid w:val="008D7582"/>
    <w:rsid w:val="008D7657"/>
    <w:rsid w:val="008E002F"/>
    <w:rsid w:val="008E00EF"/>
    <w:rsid w:val="008E0278"/>
    <w:rsid w:val="008E0848"/>
    <w:rsid w:val="008E0A1C"/>
    <w:rsid w:val="008E12E4"/>
    <w:rsid w:val="008E16C1"/>
    <w:rsid w:val="008E218D"/>
    <w:rsid w:val="008E21A2"/>
    <w:rsid w:val="008E221D"/>
    <w:rsid w:val="008E243C"/>
    <w:rsid w:val="008E2519"/>
    <w:rsid w:val="008E2623"/>
    <w:rsid w:val="008E28AF"/>
    <w:rsid w:val="008E29F9"/>
    <w:rsid w:val="008E2AE7"/>
    <w:rsid w:val="008E2C47"/>
    <w:rsid w:val="008E2E60"/>
    <w:rsid w:val="008E2EB9"/>
    <w:rsid w:val="008E300F"/>
    <w:rsid w:val="008E324A"/>
    <w:rsid w:val="008E328F"/>
    <w:rsid w:val="008E3638"/>
    <w:rsid w:val="008E378C"/>
    <w:rsid w:val="008E3DC5"/>
    <w:rsid w:val="008E3F36"/>
    <w:rsid w:val="008E4334"/>
    <w:rsid w:val="008E55D7"/>
    <w:rsid w:val="008E55FB"/>
    <w:rsid w:val="008E5876"/>
    <w:rsid w:val="008E6228"/>
    <w:rsid w:val="008E699D"/>
    <w:rsid w:val="008E6CDA"/>
    <w:rsid w:val="008E6DD5"/>
    <w:rsid w:val="008E6F71"/>
    <w:rsid w:val="008E70A9"/>
    <w:rsid w:val="008E77F8"/>
    <w:rsid w:val="008E7DDE"/>
    <w:rsid w:val="008E7EDB"/>
    <w:rsid w:val="008E7F69"/>
    <w:rsid w:val="008E7FFD"/>
    <w:rsid w:val="008F0367"/>
    <w:rsid w:val="008F04A5"/>
    <w:rsid w:val="008F056B"/>
    <w:rsid w:val="008F07E0"/>
    <w:rsid w:val="008F0BA5"/>
    <w:rsid w:val="008F0C69"/>
    <w:rsid w:val="008F0D30"/>
    <w:rsid w:val="008F12A7"/>
    <w:rsid w:val="008F157A"/>
    <w:rsid w:val="008F1A5C"/>
    <w:rsid w:val="008F1AB9"/>
    <w:rsid w:val="008F1D89"/>
    <w:rsid w:val="008F1EEC"/>
    <w:rsid w:val="008F2966"/>
    <w:rsid w:val="008F2EDF"/>
    <w:rsid w:val="008F30CF"/>
    <w:rsid w:val="008F3239"/>
    <w:rsid w:val="008F32FD"/>
    <w:rsid w:val="008F3693"/>
    <w:rsid w:val="008F3767"/>
    <w:rsid w:val="008F38D0"/>
    <w:rsid w:val="008F41B4"/>
    <w:rsid w:val="008F48B9"/>
    <w:rsid w:val="008F510A"/>
    <w:rsid w:val="008F57A6"/>
    <w:rsid w:val="008F5C78"/>
    <w:rsid w:val="008F5CB2"/>
    <w:rsid w:val="008F5D61"/>
    <w:rsid w:val="008F5F06"/>
    <w:rsid w:val="008F5F31"/>
    <w:rsid w:val="008F62CB"/>
    <w:rsid w:val="008F69B6"/>
    <w:rsid w:val="008F6D55"/>
    <w:rsid w:val="008F72A3"/>
    <w:rsid w:val="008F77DE"/>
    <w:rsid w:val="008F7B0A"/>
    <w:rsid w:val="008F7C94"/>
    <w:rsid w:val="009000AF"/>
    <w:rsid w:val="0090053C"/>
    <w:rsid w:val="00900922"/>
    <w:rsid w:val="00900BA6"/>
    <w:rsid w:val="00901150"/>
    <w:rsid w:val="0090143E"/>
    <w:rsid w:val="009018D8"/>
    <w:rsid w:val="009031AC"/>
    <w:rsid w:val="009032BC"/>
    <w:rsid w:val="00903480"/>
    <w:rsid w:val="00903504"/>
    <w:rsid w:val="0090376D"/>
    <w:rsid w:val="00903DB3"/>
    <w:rsid w:val="00904B71"/>
    <w:rsid w:val="00904D0F"/>
    <w:rsid w:val="00904DD8"/>
    <w:rsid w:val="00904DFA"/>
    <w:rsid w:val="00904E4E"/>
    <w:rsid w:val="0090542D"/>
    <w:rsid w:val="0090557A"/>
    <w:rsid w:val="009059BB"/>
    <w:rsid w:val="00905D11"/>
    <w:rsid w:val="00905FE0"/>
    <w:rsid w:val="0090694C"/>
    <w:rsid w:val="00906CA5"/>
    <w:rsid w:val="00906EBC"/>
    <w:rsid w:val="00907284"/>
    <w:rsid w:val="009072E1"/>
    <w:rsid w:val="009073D2"/>
    <w:rsid w:val="00907658"/>
    <w:rsid w:val="009078BF"/>
    <w:rsid w:val="00907A3E"/>
    <w:rsid w:val="00907D23"/>
    <w:rsid w:val="009101F1"/>
    <w:rsid w:val="0091044E"/>
    <w:rsid w:val="009105AF"/>
    <w:rsid w:val="00910653"/>
    <w:rsid w:val="00911349"/>
    <w:rsid w:val="0091148C"/>
    <w:rsid w:val="00911A01"/>
    <w:rsid w:val="00911B23"/>
    <w:rsid w:val="00911CA6"/>
    <w:rsid w:val="00911F49"/>
    <w:rsid w:val="00912668"/>
    <w:rsid w:val="009132AD"/>
    <w:rsid w:val="00913338"/>
    <w:rsid w:val="009135D0"/>
    <w:rsid w:val="00913754"/>
    <w:rsid w:val="009139B7"/>
    <w:rsid w:val="00913A28"/>
    <w:rsid w:val="00913D4C"/>
    <w:rsid w:val="00914016"/>
    <w:rsid w:val="00914034"/>
    <w:rsid w:val="009149FC"/>
    <w:rsid w:val="00914D65"/>
    <w:rsid w:val="00914D91"/>
    <w:rsid w:val="0091510D"/>
    <w:rsid w:val="009156B3"/>
    <w:rsid w:val="0091588F"/>
    <w:rsid w:val="00915D9C"/>
    <w:rsid w:val="00915F8F"/>
    <w:rsid w:val="009161DD"/>
    <w:rsid w:val="0091625C"/>
    <w:rsid w:val="009163CD"/>
    <w:rsid w:val="009166C8"/>
    <w:rsid w:val="009169F9"/>
    <w:rsid w:val="00916C42"/>
    <w:rsid w:val="00916F14"/>
    <w:rsid w:val="009170C3"/>
    <w:rsid w:val="009178ED"/>
    <w:rsid w:val="0092060E"/>
    <w:rsid w:val="0092061B"/>
    <w:rsid w:val="00920642"/>
    <w:rsid w:val="009207F8"/>
    <w:rsid w:val="00920803"/>
    <w:rsid w:val="00921096"/>
    <w:rsid w:val="00921158"/>
    <w:rsid w:val="00921560"/>
    <w:rsid w:val="00921622"/>
    <w:rsid w:val="0092178B"/>
    <w:rsid w:val="00922172"/>
    <w:rsid w:val="0092241D"/>
    <w:rsid w:val="0092262E"/>
    <w:rsid w:val="00922E54"/>
    <w:rsid w:val="00923108"/>
    <w:rsid w:val="009237D7"/>
    <w:rsid w:val="00923853"/>
    <w:rsid w:val="0092389B"/>
    <w:rsid w:val="009240ED"/>
    <w:rsid w:val="0092410D"/>
    <w:rsid w:val="009244B2"/>
    <w:rsid w:val="0092455C"/>
    <w:rsid w:val="0092474A"/>
    <w:rsid w:val="00924FF2"/>
    <w:rsid w:val="009254BC"/>
    <w:rsid w:val="00926E82"/>
    <w:rsid w:val="00927174"/>
    <w:rsid w:val="009273B9"/>
    <w:rsid w:val="00927453"/>
    <w:rsid w:val="00927D4E"/>
    <w:rsid w:val="0093017D"/>
    <w:rsid w:val="00930314"/>
    <w:rsid w:val="009306A2"/>
    <w:rsid w:val="00930C87"/>
    <w:rsid w:val="00930DF5"/>
    <w:rsid w:val="009310C1"/>
    <w:rsid w:val="0093161E"/>
    <w:rsid w:val="0093177C"/>
    <w:rsid w:val="00931B2C"/>
    <w:rsid w:val="009320D7"/>
    <w:rsid w:val="0093227D"/>
    <w:rsid w:val="00932E53"/>
    <w:rsid w:val="00932EE7"/>
    <w:rsid w:val="00933046"/>
    <w:rsid w:val="00933119"/>
    <w:rsid w:val="00933218"/>
    <w:rsid w:val="0093360B"/>
    <w:rsid w:val="00933B40"/>
    <w:rsid w:val="00933DD1"/>
    <w:rsid w:val="00933E3D"/>
    <w:rsid w:val="00933F78"/>
    <w:rsid w:val="00934280"/>
    <w:rsid w:val="0093466C"/>
    <w:rsid w:val="00934696"/>
    <w:rsid w:val="00935F95"/>
    <w:rsid w:val="009360AF"/>
    <w:rsid w:val="00936574"/>
    <w:rsid w:val="009365C3"/>
    <w:rsid w:val="00936753"/>
    <w:rsid w:val="00937267"/>
    <w:rsid w:val="0093766C"/>
    <w:rsid w:val="00937693"/>
    <w:rsid w:val="00937B6A"/>
    <w:rsid w:val="00937C33"/>
    <w:rsid w:val="00937D36"/>
    <w:rsid w:val="0094046E"/>
    <w:rsid w:val="009407C4"/>
    <w:rsid w:val="00940BB8"/>
    <w:rsid w:val="00941333"/>
    <w:rsid w:val="00941C48"/>
    <w:rsid w:val="00941F97"/>
    <w:rsid w:val="00942579"/>
    <w:rsid w:val="00942693"/>
    <w:rsid w:val="009426BD"/>
    <w:rsid w:val="009427E1"/>
    <w:rsid w:val="00942EAE"/>
    <w:rsid w:val="00943145"/>
    <w:rsid w:val="009436F4"/>
    <w:rsid w:val="00943AF6"/>
    <w:rsid w:val="00943BE7"/>
    <w:rsid w:val="00943ED8"/>
    <w:rsid w:val="00943F9B"/>
    <w:rsid w:val="009445B1"/>
    <w:rsid w:val="00945930"/>
    <w:rsid w:val="00945DBB"/>
    <w:rsid w:val="00945E44"/>
    <w:rsid w:val="009460C6"/>
    <w:rsid w:val="00946AE6"/>
    <w:rsid w:val="00946B76"/>
    <w:rsid w:val="00946DAB"/>
    <w:rsid w:val="00946F09"/>
    <w:rsid w:val="009471A8"/>
    <w:rsid w:val="0094727D"/>
    <w:rsid w:val="0094745A"/>
    <w:rsid w:val="00947892"/>
    <w:rsid w:val="009500F0"/>
    <w:rsid w:val="009506C4"/>
    <w:rsid w:val="00950720"/>
    <w:rsid w:val="0095090A"/>
    <w:rsid w:val="00950E6C"/>
    <w:rsid w:val="00951BF2"/>
    <w:rsid w:val="00951D0E"/>
    <w:rsid w:val="009522CC"/>
    <w:rsid w:val="00952368"/>
    <w:rsid w:val="009527C9"/>
    <w:rsid w:val="0095299B"/>
    <w:rsid w:val="00952B0C"/>
    <w:rsid w:val="00952C38"/>
    <w:rsid w:val="009537C1"/>
    <w:rsid w:val="00953A75"/>
    <w:rsid w:val="00953ABC"/>
    <w:rsid w:val="00953C29"/>
    <w:rsid w:val="00953F8A"/>
    <w:rsid w:val="009541FA"/>
    <w:rsid w:val="009542E4"/>
    <w:rsid w:val="009549C1"/>
    <w:rsid w:val="0095502C"/>
    <w:rsid w:val="0095507F"/>
    <w:rsid w:val="00955D01"/>
    <w:rsid w:val="00955FA4"/>
    <w:rsid w:val="00955FBB"/>
    <w:rsid w:val="0095608B"/>
    <w:rsid w:val="00956114"/>
    <w:rsid w:val="00956191"/>
    <w:rsid w:val="00956195"/>
    <w:rsid w:val="0095622C"/>
    <w:rsid w:val="00956469"/>
    <w:rsid w:val="00956483"/>
    <w:rsid w:val="0095659A"/>
    <w:rsid w:val="009565FD"/>
    <w:rsid w:val="00956799"/>
    <w:rsid w:val="00957882"/>
    <w:rsid w:val="009579CE"/>
    <w:rsid w:val="00957C91"/>
    <w:rsid w:val="00960025"/>
    <w:rsid w:val="00960431"/>
    <w:rsid w:val="00960552"/>
    <w:rsid w:val="009610BC"/>
    <w:rsid w:val="00961330"/>
    <w:rsid w:val="00961757"/>
    <w:rsid w:val="00962076"/>
    <w:rsid w:val="0096219C"/>
    <w:rsid w:val="00962721"/>
    <w:rsid w:val="009627F5"/>
    <w:rsid w:val="00962E3D"/>
    <w:rsid w:val="0096317E"/>
    <w:rsid w:val="009631BF"/>
    <w:rsid w:val="00963282"/>
    <w:rsid w:val="009634C7"/>
    <w:rsid w:val="00963C9C"/>
    <w:rsid w:val="00964238"/>
    <w:rsid w:val="00964261"/>
    <w:rsid w:val="00964415"/>
    <w:rsid w:val="0096447F"/>
    <w:rsid w:val="00964ACB"/>
    <w:rsid w:val="00964DEB"/>
    <w:rsid w:val="00965029"/>
    <w:rsid w:val="0096517B"/>
    <w:rsid w:val="00965233"/>
    <w:rsid w:val="00965273"/>
    <w:rsid w:val="00965309"/>
    <w:rsid w:val="009659DA"/>
    <w:rsid w:val="00965AF9"/>
    <w:rsid w:val="00965B15"/>
    <w:rsid w:val="00965CE6"/>
    <w:rsid w:val="00965CF1"/>
    <w:rsid w:val="009660AD"/>
    <w:rsid w:val="00966125"/>
    <w:rsid w:val="0096657F"/>
    <w:rsid w:val="00966E07"/>
    <w:rsid w:val="00966FAA"/>
    <w:rsid w:val="009675A5"/>
    <w:rsid w:val="00970243"/>
    <w:rsid w:val="00970C16"/>
    <w:rsid w:val="00971E67"/>
    <w:rsid w:val="0097202F"/>
    <w:rsid w:val="0097216E"/>
    <w:rsid w:val="009728C1"/>
    <w:rsid w:val="009734A0"/>
    <w:rsid w:val="00973844"/>
    <w:rsid w:val="009742C5"/>
    <w:rsid w:val="009742E2"/>
    <w:rsid w:val="00974557"/>
    <w:rsid w:val="00974EC8"/>
    <w:rsid w:val="0097572C"/>
    <w:rsid w:val="00975B9B"/>
    <w:rsid w:val="0097663F"/>
    <w:rsid w:val="00976DDA"/>
    <w:rsid w:val="00977864"/>
    <w:rsid w:val="00977EAB"/>
    <w:rsid w:val="00980786"/>
    <w:rsid w:val="009808AF"/>
    <w:rsid w:val="00980C13"/>
    <w:rsid w:val="00981430"/>
    <w:rsid w:val="00981925"/>
    <w:rsid w:val="00981993"/>
    <w:rsid w:val="00981F55"/>
    <w:rsid w:val="00982750"/>
    <w:rsid w:val="009828BB"/>
    <w:rsid w:val="0098299E"/>
    <w:rsid w:val="00982B78"/>
    <w:rsid w:val="00982F0C"/>
    <w:rsid w:val="009831CD"/>
    <w:rsid w:val="009832C9"/>
    <w:rsid w:val="00983DBB"/>
    <w:rsid w:val="00984117"/>
    <w:rsid w:val="00984293"/>
    <w:rsid w:val="009846D9"/>
    <w:rsid w:val="00985592"/>
    <w:rsid w:val="00985D8B"/>
    <w:rsid w:val="00985DC0"/>
    <w:rsid w:val="00986205"/>
    <w:rsid w:val="0098648F"/>
    <w:rsid w:val="00986908"/>
    <w:rsid w:val="009869BD"/>
    <w:rsid w:val="00986B7F"/>
    <w:rsid w:val="009874C2"/>
    <w:rsid w:val="0098753A"/>
    <w:rsid w:val="00987586"/>
    <w:rsid w:val="00987688"/>
    <w:rsid w:val="0098789F"/>
    <w:rsid w:val="00987B08"/>
    <w:rsid w:val="00987F17"/>
    <w:rsid w:val="00990123"/>
    <w:rsid w:val="00990642"/>
    <w:rsid w:val="00990A59"/>
    <w:rsid w:val="00990F73"/>
    <w:rsid w:val="00991210"/>
    <w:rsid w:val="00991A1E"/>
    <w:rsid w:val="00991BC0"/>
    <w:rsid w:val="00991EAE"/>
    <w:rsid w:val="00991FF6"/>
    <w:rsid w:val="00992643"/>
    <w:rsid w:val="00992D3B"/>
    <w:rsid w:val="00992F3E"/>
    <w:rsid w:val="00993423"/>
    <w:rsid w:val="00993668"/>
    <w:rsid w:val="0099392A"/>
    <w:rsid w:val="0099393F"/>
    <w:rsid w:val="00993A9D"/>
    <w:rsid w:val="00993F38"/>
    <w:rsid w:val="00994147"/>
    <w:rsid w:val="00994159"/>
    <w:rsid w:val="009943AF"/>
    <w:rsid w:val="009951F2"/>
    <w:rsid w:val="00995397"/>
    <w:rsid w:val="009953FA"/>
    <w:rsid w:val="00995C85"/>
    <w:rsid w:val="00995E4B"/>
    <w:rsid w:val="00995E81"/>
    <w:rsid w:val="00995ECC"/>
    <w:rsid w:val="0099600A"/>
    <w:rsid w:val="009963EB"/>
    <w:rsid w:val="00996441"/>
    <w:rsid w:val="00996633"/>
    <w:rsid w:val="00996AB3"/>
    <w:rsid w:val="00996C64"/>
    <w:rsid w:val="00996DA3"/>
    <w:rsid w:val="00996E46"/>
    <w:rsid w:val="009970A7"/>
    <w:rsid w:val="00997108"/>
    <w:rsid w:val="0099776D"/>
    <w:rsid w:val="0099778B"/>
    <w:rsid w:val="00997A1D"/>
    <w:rsid w:val="00997A56"/>
    <w:rsid w:val="00997C18"/>
    <w:rsid w:val="00997EC3"/>
    <w:rsid w:val="009A058F"/>
    <w:rsid w:val="009A0954"/>
    <w:rsid w:val="009A09FF"/>
    <w:rsid w:val="009A0D5D"/>
    <w:rsid w:val="009A0F97"/>
    <w:rsid w:val="009A110A"/>
    <w:rsid w:val="009A12A2"/>
    <w:rsid w:val="009A1A94"/>
    <w:rsid w:val="009A1AE4"/>
    <w:rsid w:val="009A2573"/>
    <w:rsid w:val="009A2875"/>
    <w:rsid w:val="009A2F1A"/>
    <w:rsid w:val="009A2FD6"/>
    <w:rsid w:val="009A331B"/>
    <w:rsid w:val="009A3A04"/>
    <w:rsid w:val="009A3A9B"/>
    <w:rsid w:val="009A3B7C"/>
    <w:rsid w:val="009A3D3A"/>
    <w:rsid w:val="009A3F47"/>
    <w:rsid w:val="009A43D8"/>
    <w:rsid w:val="009A44C2"/>
    <w:rsid w:val="009A4837"/>
    <w:rsid w:val="009A488B"/>
    <w:rsid w:val="009A4DDA"/>
    <w:rsid w:val="009A4E05"/>
    <w:rsid w:val="009A5032"/>
    <w:rsid w:val="009A5175"/>
    <w:rsid w:val="009A519E"/>
    <w:rsid w:val="009A5512"/>
    <w:rsid w:val="009A6A5D"/>
    <w:rsid w:val="009A7245"/>
    <w:rsid w:val="009A72BF"/>
    <w:rsid w:val="009A74F5"/>
    <w:rsid w:val="009A758B"/>
    <w:rsid w:val="009A7791"/>
    <w:rsid w:val="009A7B45"/>
    <w:rsid w:val="009A7D28"/>
    <w:rsid w:val="009B0044"/>
    <w:rsid w:val="009B0104"/>
    <w:rsid w:val="009B0188"/>
    <w:rsid w:val="009B0206"/>
    <w:rsid w:val="009B02E6"/>
    <w:rsid w:val="009B05D9"/>
    <w:rsid w:val="009B0611"/>
    <w:rsid w:val="009B0FF0"/>
    <w:rsid w:val="009B105B"/>
    <w:rsid w:val="009B12CE"/>
    <w:rsid w:val="009B1691"/>
    <w:rsid w:val="009B18E7"/>
    <w:rsid w:val="009B192A"/>
    <w:rsid w:val="009B1A39"/>
    <w:rsid w:val="009B1AED"/>
    <w:rsid w:val="009B1C4E"/>
    <w:rsid w:val="009B21D4"/>
    <w:rsid w:val="009B22FD"/>
    <w:rsid w:val="009B2446"/>
    <w:rsid w:val="009B2DF2"/>
    <w:rsid w:val="009B3249"/>
    <w:rsid w:val="009B360A"/>
    <w:rsid w:val="009B37F2"/>
    <w:rsid w:val="009B396C"/>
    <w:rsid w:val="009B3D40"/>
    <w:rsid w:val="009B3E09"/>
    <w:rsid w:val="009B3F13"/>
    <w:rsid w:val="009B40D1"/>
    <w:rsid w:val="009B42AE"/>
    <w:rsid w:val="009B448B"/>
    <w:rsid w:val="009B46B6"/>
    <w:rsid w:val="009B4782"/>
    <w:rsid w:val="009B50C4"/>
    <w:rsid w:val="009B5307"/>
    <w:rsid w:val="009B534B"/>
    <w:rsid w:val="009B54F9"/>
    <w:rsid w:val="009B57A4"/>
    <w:rsid w:val="009B581A"/>
    <w:rsid w:val="009B59E5"/>
    <w:rsid w:val="009B5FE9"/>
    <w:rsid w:val="009B60C0"/>
    <w:rsid w:val="009B6128"/>
    <w:rsid w:val="009B699E"/>
    <w:rsid w:val="009B6F94"/>
    <w:rsid w:val="009B72C4"/>
    <w:rsid w:val="009B7640"/>
    <w:rsid w:val="009B7697"/>
    <w:rsid w:val="009C00CD"/>
    <w:rsid w:val="009C02F9"/>
    <w:rsid w:val="009C034C"/>
    <w:rsid w:val="009C03DE"/>
    <w:rsid w:val="009C0C55"/>
    <w:rsid w:val="009C12FD"/>
    <w:rsid w:val="009C1383"/>
    <w:rsid w:val="009C16BE"/>
    <w:rsid w:val="009C1DB8"/>
    <w:rsid w:val="009C1F25"/>
    <w:rsid w:val="009C24C5"/>
    <w:rsid w:val="009C255B"/>
    <w:rsid w:val="009C2A5F"/>
    <w:rsid w:val="009C2F24"/>
    <w:rsid w:val="009C30A2"/>
    <w:rsid w:val="009C31BF"/>
    <w:rsid w:val="009C34C4"/>
    <w:rsid w:val="009C3546"/>
    <w:rsid w:val="009C3961"/>
    <w:rsid w:val="009C3A0B"/>
    <w:rsid w:val="009C3B48"/>
    <w:rsid w:val="009C3DF0"/>
    <w:rsid w:val="009C3E24"/>
    <w:rsid w:val="009C4230"/>
    <w:rsid w:val="009C462C"/>
    <w:rsid w:val="009C4A17"/>
    <w:rsid w:val="009C5076"/>
    <w:rsid w:val="009C57F0"/>
    <w:rsid w:val="009C5F2B"/>
    <w:rsid w:val="009C63D8"/>
    <w:rsid w:val="009C64BC"/>
    <w:rsid w:val="009C64C9"/>
    <w:rsid w:val="009C65F1"/>
    <w:rsid w:val="009C6800"/>
    <w:rsid w:val="009C6B8A"/>
    <w:rsid w:val="009C70FC"/>
    <w:rsid w:val="009C7EF5"/>
    <w:rsid w:val="009D01C8"/>
    <w:rsid w:val="009D0491"/>
    <w:rsid w:val="009D0899"/>
    <w:rsid w:val="009D0947"/>
    <w:rsid w:val="009D0AAC"/>
    <w:rsid w:val="009D0AF5"/>
    <w:rsid w:val="009D0D03"/>
    <w:rsid w:val="009D0E8E"/>
    <w:rsid w:val="009D149B"/>
    <w:rsid w:val="009D15FB"/>
    <w:rsid w:val="009D19D6"/>
    <w:rsid w:val="009D1B8C"/>
    <w:rsid w:val="009D1C50"/>
    <w:rsid w:val="009D25B1"/>
    <w:rsid w:val="009D2825"/>
    <w:rsid w:val="009D2949"/>
    <w:rsid w:val="009D2BB2"/>
    <w:rsid w:val="009D3131"/>
    <w:rsid w:val="009D313B"/>
    <w:rsid w:val="009D3BD8"/>
    <w:rsid w:val="009D3C04"/>
    <w:rsid w:val="009D3E08"/>
    <w:rsid w:val="009D404A"/>
    <w:rsid w:val="009D42FF"/>
    <w:rsid w:val="009D4757"/>
    <w:rsid w:val="009D4CA9"/>
    <w:rsid w:val="009D583F"/>
    <w:rsid w:val="009D60A3"/>
    <w:rsid w:val="009D65E2"/>
    <w:rsid w:val="009D671B"/>
    <w:rsid w:val="009D67D3"/>
    <w:rsid w:val="009D6A59"/>
    <w:rsid w:val="009D6C02"/>
    <w:rsid w:val="009D725F"/>
    <w:rsid w:val="009D72CD"/>
    <w:rsid w:val="009D73A5"/>
    <w:rsid w:val="009D7517"/>
    <w:rsid w:val="009D7738"/>
    <w:rsid w:val="009D79B7"/>
    <w:rsid w:val="009D79ED"/>
    <w:rsid w:val="009D7BC9"/>
    <w:rsid w:val="009D7EC4"/>
    <w:rsid w:val="009E00F9"/>
    <w:rsid w:val="009E0449"/>
    <w:rsid w:val="009E08DC"/>
    <w:rsid w:val="009E096A"/>
    <w:rsid w:val="009E15D6"/>
    <w:rsid w:val="009E1710"/>
    <w:rsid w:val="009E182A"/>
    <w:rsid w:val="009E1A3D"/>
    <w:rsid w:val="009E1C4C"/>
    <w:rsid w:val="009E1E4D"/>
    <w:rsid w:val="009E1FF4"/>
    <w:rsid w:val="009E2076"/>
    <w:rsid w:val="009E3121"/>
    <w:rsid w:val="009E3544"/>
    <w:rsid w:val="009E3842"/>
    <w:rsid w:val="009E40CA"/>
    <w:rsid w:val="009E4110"/>
    <w:rsid w:val="009E4349"/>
    <w:rsid w:val="009E45CD"/>
    <w:rsid w:val="009E4604"/>
    <w:rsid w:val="009E46FD"/>
    <w:rsid w:val="009E4815"/>
    <w:rsid w:val="009E48BA"/>
    <w:rsid w:val="009E4F1A"/>
    <w:rsid w:val="009E5711"/>
    <w:rsid w:val="009E57B2"/>
    <w:rsid w:val="009E5CBF"/>
    <w:rsid w:val="009E627D"/>
    <w:rsid w:val="009E6368"/>
    <w:rsid w:val="009E6638"/>
    <w:rsid w:val="009E6772"/>
    <w:rsid w:val="009E6DE8"/>
    <w:rsid w:val="009E7331"/>
    <w:rsid w:val="009E751C"/>
    <w:rsid w:val="009E7ABB"/>
    <w:rsid w:val="009F0174"/>
    <w:rsid w:val="009F03ED"/>
    <w:rsid w:val="009F05AE"/>
    <w:rsid w:val="009F0661"/>
    <w:rsid w:val="009F1141"/>
    <w:rsid w:val="009F11F5"/>
    <w:rsid w:val="009F130D"/>
    <w:rsid w:val="009F1BEA"/>
    <w:rsid w:val="009F1F2B"/>
    <w:rsid w:val="009F2143"/>
    <w:rsid w:val="009F2188"/>
    <w:rsid w:val="009F2596"/>
    <w:rsid w:val="009F2ACF"/>
    <w:rsid w:val="009F3271"/>
    <w:rsid w:val="009F38B4"/>
    <w:rsid w:val="009F3F3A"/>
    <w:rsid w:val="009F452E"/>
    <w:rsid w:val="009F4E9A"/>
    <w:rsid w:val="009F50FD"/>
    <w:rsid w:val="009F5311"/>
    <w:rsid w:val="009F561A"/>
    <w:rsid w:val="009F56E9"/>
    <w:rsid w:val="009F5C92"/>
    <w:rsid w:val="009F5FA5"/>
    <w:rsid w:val="009F6218"/>
    <w:rsid w:val="009F67B5"/>
    <w:rsid w:val="009F70A1"/>
    <w:rsid w:val="009F7262"/>
    <w:rsid w:val="009F72C6"/>
    <w:rsid w:val="009F7381"/>
    <w:rsid w:val="009F7431"/>
    <w:rsid w:val="009F7771"/>
    <w:rsid w:val="009F799E"/>
    <w:rsid w:val="009F7D94"/>
    <w:rsid w:val="009F7ECB"/>
    <w:rsid w:val="00A005BC"/>
    <w:rsid w:val="00A00C03"/>
    <w:rsid w:val="00A00EA6"/>
    <w:rsid w:val="00A0147B"/>
    <w:rsid w:val="00A01779"/>
    <w:rsid w:val="00A01AA6"/>
    <w:rsid w:val="00A01C7D"/>
    <w:rsid w:val="00A021C1"/>
    <w:rsid w:val="00A02526"/>
    <w:rsid w:val="00A02710"/>
    <w:rsid w:val="00A02D8B"/>
    <w:rsid w:val="00A02E7A"/>
    <w:rsid w:val="00A03144"/>
    <w:rsid w:val="00A0347B"/>
    <w:rsid w:val="00A034A7"/>
    <w:rsid w:val="00A0403C"/>
    <w:rsid w:val="00A040A3"/>
    <w:rsid w:val="00A0467F"/>
    <w:rsid w:val="00A047D7"/>
    <w:rsid w:val="00A04AC3"/>
    <w:rsid w:val="00A04FFB"/>
    <w:rsid w:val="00A051AB"/>
    <w:rsid w:val="00A051E4"/>
    <w:rsid w:val="00A052D1"/>
    <w:rsid w:val="00A055EF"/>
    <w:rsid w:val="00A0590D"/>
    <w:rsid w:val="00A05C79"/>
    <w:rsid w:val="00A062F5"/>
    <w:rsid w:val="00A06368"/>
    <w:rsid w:val="00A0671F"/>
    <w:rsid w:val="00A06860"/>
    <w:rsid w:val="00A074B7"/>
    <w:rsid w:val="00A0794F"/>
    <w:rsid w:val="00A079C6"/>
    <w:rsid w:val="00A07AE7"/>
    <w:rsid w:val="00A07FE1"/>
    <w:rsid w:val="00A100A9"/>
    <w:rsid w:val="00A10291"/>
    <w:rsid w:val="00A103D3"/>
    <w:rsid w:val="00A10DD2"/>
    <w:rsid w:val="00A11603"/>
    <w:rsid w:val="00A11B49"/>
    <w:rsid w:val="00A12250"/>
    <w:rsid w:val="00A124EB"/>
    <w:rsid w:val="00A12753"/>
    <w:rsid w:val="00A128FB"/>
    <w:rsid w:val="00A12E02"/>
    <w:rsid w:val="00A13239"/>
    <w:rsid w:val="00A138AD"/>
    <w:rsid w:val="00A14211"/>
    <w:rsid w:val="00A14227"/>
    <w:rsid w:val="00A14556"/>
    <w:rsid w:val="00A14783"/>
    <w:rsid w:val="00A149DD"/>
    <w:rsid w:val="00A14F5E"/>
    <w:rsid w:val="00A1549A"/>
    <w:rsid w:val="00A15D74"/>
    <w:rsid w:val="00A15E5C"/>
    <w:rsid w:val="00A1633F"/>
    <w:rsid w:val="00A16C49"/>
    <w:rsid w:val="00A16F30"/>
    <w:rsid w:val="00A17098"/>
    <w:rsid w:val="00A17B4D"/>
    <w:rsid w:val="00A17C0C"/>
    <w:rsid w:val="00A17F92"/>
    <w:rsid w:val="00A201A1"/>
    <w:rsid w:val="00A20ADC"/>
    <w:rsid w:val="00A20B5E"/>
    <w:rsid w:val="00A20F20"/>
    <w:rsid w:val="00A21254"/>
    <w:rsid w:val="00A212FF"/>
    <w:rsid w:val="00A21450"/>
    <w:rsid w:val="00A2156D"/>
    <w:rsid w:val="00A215C0"/>
    <w:rsid w:val="00A215ED"/>
    <w:rsid w:val="00A21AAC"/>
    <w:rsid w:val="00A223C4"/>
    <w:rsid w:val="00A2290C"/>
    <w:rsid w:val="00A22A6E"/>
    <w:rsid w:val="00A22B63"/>
    <w:rsid w:val="00A22E00"/>
    <w:rsid w:val="00A22E99"/>
    <w:rsid w:val="00A231AB"/>
    <w:rsid w:val="00A23240"/>
    <w:rsid w:val="00A237E5"/>
    <w:rsid w:val="00A23894"/>
    <w:rsid w:val="00A2401E"/>
    <w:rsid w:val="00A242B8"/>
    <w:rsid w:val="00A24300"/>
    <w:rsid w:val="00A24986"/>
    <w:rsid w:val="00A24C9A"/>
    <w:rsid w:val="00A2542E"/>
    <w:rsid w:val="00A25556"/>
    <w:rsid w:val="00A2557E"/>
    <w:rsid w:val="00A25FA8"/>
    <w:rsid w:val="00A2638D"/>
    <w:rsid w:val="00A26894"/>
    <w:rsid w:val="00A26A52"/>
    <w:rsid w:val="00A26AC1"/>
    <w:rsid w:val="00A26D4B"/>
    <w:rsid w:val="00A26DF0"/>
    <w:rsid w:val="00A27004"/>
    <w:rsid w:val="00A2719B"/>
    <w:rsid w:val="00A271C5"/>
    <w:rsid w:val="00A2747F"/>
    <w:rsid w:val="00A2748B"/>
    <w:rsid w:val="00A274FA"/>
    <w:rsid w:val="00A2751B"/>
    <w:rsid w:val="00A27721"/>
    <w:rsid w:val="00A27790"/>
    <w:rsid w:val="00A27CAC"/>
    <w:rsid w:val="00A30291"/>
    <w:rsid w:val="00A302A2"/>
    <w:rsid w:val="00A30988"/>
    <w:rsid w:val="00A3098B"/>
    <w:rsid w:val="00A30A58"/>
    <w:rsid w:val="00A30B79"/>
    <w:rsid w:val="00A312F2"/>
    <w:rsid w:val="00A313B2"/>
    <w:rsid w:val="00A313C6"/>
    <w:rsid w:val="00A3194F"/>
    <w:rsid w:val="00A31A50"/>
    <w:rsid w:val="00A31C75"/>
    <w:rsid w:val="00A31F23"/>
    <w:rsid w:val="00A3221C"/>
    <w:rsid w:val="00A32234"/>
    <w:rsid w:val="00A32565"/>
    <w:rsid w:val="00A327D9"/>
    <w:rsid w:val="00A3281E"/>
    <w:rsid w:val="00A3306D"/>
    <w:rsid w:val="00A332CE"/>
    <w:rsid w:val="00A33371"/>
    <w:rsid w:val="00A33AE7"/>
    <w:rsid w:val="00A33CAE"/>
    <w:rsid w:val="00A34239"/>
    <w:rsid w:val="00A34E15"/>
    <w:rsid w:val="00A352DE"/>
    <w:rsid w:val="00A353A1"/>
    <w:rsid w:val="00A35DAB"/>
    <w:rsid w:val="00A35F2B"/>
    <w:rsid w:val="00A36324"/>
    <w:rsid w:val="00A37242"/>
    <w:rsid w:val="00A37691"/>
    <w:rsid w:val="00A378C9"/>
    <w:rsid w:val="00A3792A"/>
    <w:rsid w:val="00A37A15"/>
    <w:rsid w:val="00A37A18"/>
    <w:rsid w:val="00A37DD4"/>
    <w:rsid w:val="00A402FC"/>
    <w:rsid w:val="00A408DA"/>
    <w:rsid w:val="00A40B1B"/>
    <w:rsid w:val="00A40BF1"/>
    <w:rsid w:val="00A41345"/>
    <w:rsid w:val="00A413A9"/>
    <w:rsid w:val="00A415A4"/>
    <w:rsid w:val="00A42310"/>
    <w:rsid w:val="00A42538"/>
    <w:rsid w:val="00A428C8"/>
    <w:rsid w:val="00A42B97"/>
    <w:rsid w:val="00A42F3F"/>
    <w:rsid w:val="00A436D1"/>
    <w:rsid w:val="00A437EC"/>
    <w:rsid w:val="00A439F9"/>
    <w:rsid w:val="00A43A74"/>
    <w:rsid w:val="00A43B67"/>
    <w:rsid w:val="00A441DC"/>
    <w:rsid w:val="00A4456B"/>
    <w:rsid w:val="00A446EB"/>
    <w:rsid w:val="00A44F03"/>
    <w:rsid w:val="00A45437"/>
    <w:rsid w:val="00A45721"/>
    <w:rsid w:val="00A46085"/>
    <w:rsid w:val="00A463B9"/>
    <w:rsid w:val="00A468B5"/>
    <w:rsid w:val="00A4712D"/>
    <w:rsid w:val="00A47198"/>
    <w:rsid w:val="00A474DD"/>
    <w:rsid w:val="00A4751D"/>
    <w:rsid w:val="00A47733"/>
    <w:rsid w:val="00A47958"/>
    <w:rsid w:val="00A509E0"/>
    <w:rsid w:val="00A50C0C"/>
    <w:rsid w:val="00A50F87"/>
    <w:rsid w:val="00A513E0"/>
    <w:rsid w:val="00A519C9"/>
    <w:rsid w:val="00A51F0D"/>
    <w:rsid w:val="00A51F47"/>
    <w:rsid w:val="00A5231C"/>
    <w:rsid w:val="00A5296F"/>
    <w:rsid w:val="00A529A3"/>
    <w:rsid w:val="00A52D4F"/>
    <w:rsid w:val="00A53F6C"/>
    <w:rsid w:val="00A5445D"/>
    <w:rsid w:val="00A544C3"/>
    <w:rsid w:val="00A54541"/>
    <w:rsid w:val="00A548BE"/>
    <w:rsid w:val="00A5501D"/>
    <w:rsid w:val="00A55434"/>
    <w:rsid w:val="00A55441"/>
    <w:rsid w:val="00A55464"/>
    <w:rsid w:val="00A556B2"/>
    <w:rsid w:val="00A5581D"/>
    <w:rsid w:val="00A558BE"/>
    <w:rsid w:val="00A56532"/>
    <w:rsid w:val="00A56645"/>
    <w:rsid w:val="00A56DD4"/>
    <w:rsid w:val="00A5713D"/>
    <w:rsid w:val="00A57541"/>
    <w:rsid w:val="00A57668"/>
    <w:rsid w:val="00A5774A"/>
    <w:rsid w:val="00A57C1E"/>
    <w:rsid w:val="00A57D3A"/>
    <w:rsid w:val="00A600BF"/>
    <w:rsid w:val="00A600DB"/>
    <w:rsid w:val="00A600E4"/>
    <w:rsid w:val="00A60100"/>
    <w:rsid w:val="00A6015D"/>
    <w:rsid w:val="00A60A00"/>
    <w:rsid w:val="00A60BE8"/>
    <w:rsid w:val="00A60C8A"/>
    <w:rsid w:val="00A60D61"/>
    <w:rsid w:val="00A6115F"/>
    <w:rsid w:val="00A6125A"/>
    <w:rsid w:val="00A6131B"/>
    <w:rsid w:val="00A613B2"/>
    <w:rsid w:val="00A61464"/>
    <w:rsid w:val="00A615E1"/>
    <w:rsid w:val="00A617AC"/>
    <w:rsid w:val="00A61B75"/>
    <w:rsid w:val="00A61BB5"/>
    <w:rsid w:val="00A631F6"/>
    <w:rsid w:val="00A631FE"/>
    <w:rsid w:val="00A64021"/>
    <w:rsid w:val="00A64557"/>
    <w:rsid w:val="00A64969"/>
    <w:rsid w:val="00A65097"/>
    <w:rsid w:val="00A651FD"/>
    <w:rsid w:val="00A65253"/>
    <w:rsid w:val="00A65462"/>
    <w:rsid w:val="00A66410"/>
    <w:rsid w:val="00A66626"/>
    <w:rsid w:val="00A6697C"/>
    <w:rsid w:val="00A66FED"/>
    <w:rsid w:val="00A679AD"/>
    <w:rsid w:val="00A70141"/>
    <w:rsid w:val="00A70CAD"/>
    <w:rsid w:val="00A70CEC"/>
    <w:rsid w:val="00A70DE8"/>
    <w:rsid w:val="00A7119F"/>
    <w:rsid w:val="00A71BE6"/>
    <w:rsid w:val="00A71EFF"/>
    <w:rsid w:val="00A72454"/>
    <w:rsid w:val="00A72678"/>
    <w:rsid w:val="00A7272C"/>
    <w:rsid w:val="00A7290E"/>
    <w:rsid w:val="00A72BF6"/>
    <w:rsid w:val="00A737B3"/>
    <w:rsid w:val="00A74159"/>
    <w:rsid w:val="00A744F4"/>
    <w:rsid w:val="00A748F3"/>
    <w:rsid w:val="00A74A95"/>
    <w:rsid w:val="00A74CA2"/>
    <w:rsid w:val="00A7521C"/>
    <w:rsid w:val="00A752CF"/>
    <w:rsid w:val="00A75848"/>
    <w:rsid w:val="00A7587B"/>
    <w:rsid w:val="00A75900"/>
    <w:rsid w:val="00A75F3C"/>
    <w:rsid w:val="00A75FA8"/>
    <w:rsid w:val="00A769F6"/>
    <w:rsid w:val="00A7726B"/>
    <w:rsid w:val="00A7740C"/>
    <w:rsid w:val="00A7749E"/>
    <w:rsid w:val="00A777B1"/>
    <w:rsid w:val="00A77C58"/>
    <w:rsid w:val="00A77D5E"/>
    <w:rsid w:val="00A80155"/>
    <w:rsid w:val="00A8039F"/>
    <w:rsid w:val="00A80EC6"/>
    <w:rsid w:val="00A815EF"/>
    <w:rsid w:val="00A81C0D"/>
    <w:rsid w:val="00A81E1B"/>
    <w:rsid w:val="00A82180"/>
    <w:rsid w:val="00A822B0"/>
    <w:rsid w:val="00A8235F"/>
    <w:rsid w:val="00A82C71"/>
    <w:rsid w:val="00A82C72"/>
    <w:rsid w:val="00A83080"/>
    <w:rsid w:val="00A83505"/>
    <w:rsid w:val="00A83887"/>
    <w:rsid w:val="00A83C23"/>
    <w:rsid w:val="00A83D54"/>
    <w:rsid w:val="00A84455"/>
    <w:rsid w:val="00A84604"/>
    <w:rsid w:val="00A84782"/>
    <w:rsid w:val="00A84CE8"/>
    <w:rsid w:val="00A8569E"/>
    <w:rsid w:val="00A857C5"/>
    <w:rsid w:val="00A85C23"/>
    <w:rsid w:val="00A85CF2"/>
    <w:rsid w:val="00A85D11"/>
    <w:rsid w:val="00A85FBF"/>
    <w:rsid w:val="00A8637F"/>
    <w:rsid w:val="00A86A29"/>
    <w:rsid w:val="00A86BD9"/>
    <w:rsid w:val="00A86E7F"/>
    <w:rsid w:val="00A90108"/>
    <w:rsid w:val="00A9054A"/>
    <w:rsid w:val="00A90C47"/>
    <w:rsid w:val="00A90CA6"/>
    <w:rsid w:val="00A90EA7"/>
    <w:rsid w:val="00A9134E"/>
    <w:rsid w:val="00A91DF8"/>
    <w:rsid w:val="00A91E78"/>
    <w:rsid w:val="00A9265D"/>
    <w:rsid w:val="00A92676"/>
    <w:rsid w:val="00A926AB"/>
    <w:rsid w:val="00A929F4"/>
    <w:rsid w:val="00A92B19"/>
    <w:rsid w:val="00A92EA7"/>
    <w:rsid w:val="00A9312B"/>
    <w:rsid w:val="00A9323C"/>
    <w:rsid w:val="00A93375"/>
    <w:rsid w:val="00A93E5B"/>
    <w:rsid w:val="00A940C6"/>
    <w:rsid w:val="00A9419E"/>
    <w:rsid w:val="00A944DC"/>
    <w:rsid w:val="00A94521"/>
    <w:rsid w:val="00A94E7C"/>
    <w:rsid w:val="00A94F1C"/>
    <w:rsid w:val="00A957A7"/>
    <w:rsid w:val="00A95A7E"/>
    <w:rsid w:val="00A95B43"/>
    <w:rsid w:val="00A9606F"/>
    <w:rsid w:val="00A9616D"/>
    <w:rsid w:val="00A96245"/>
    <w:rsid w:val="00A96514"/>
    <w:rsid w:val="00A96668"/>
    <w:rsid w:val="00A96889"/>
    <w:rsid w:val="00A96AB8"/>
    <w:rsid w:val="00A96DA5"/>
    <w:rsid w:val="00A96E38"/>
    <w:rsid w:val="00A97CE8"/>
    <w:rsid w:val="00AA0139"/>
    <w:rsid w:val="00AA0460"/>
    <w:rsid w:val="00AA04AD"/>
    <w:rsid w:val="00AA0512"/>
    <w:rsid w:val="00AA08D7"/>
    <w:rsid w:val="00AA0E29"/>
    <w:rsid w:val="00AA0F21"/>
    <w:rsid w:val="00AA15C5"/>
    <w:rsid w:val="00AA17C8"/>
    <w:rsid w:val="00AA185A"/>
    <w:rsid w:val="00AA18F9"/>
    <w:rsid w:val="00AA1957"/>
    <w:rsid w:val="00AA1E4F"/>
    <w:rsid w:val="00AA1ED2"/>
    <w:rsid w:val="00AA22A8"/>
    <w:rsid w:val="00AA23E7"/>
    <w:rsid w:val="00AA2884"/>
    <w:rsid w:val="00AA3D6B"/>
    <w:rsid w:val="00AA40D5"/>
    <w:rsid w:val="00AA4492"/>
    <w:rsid w:val="00AA4AFC"/>
    <w:rsid w:val="00AA5247"/>
    <w:rsid w:val="00AA55E4"/>
    <w:rsid w:val="00AA5600"/>
    <w:rsid w:val="00AA5605"/>
    <w:rsid w:val="00AA5AD2"/>
    <w:rsid w:val="00AA6ACD"/>
    <w:rsid w:val="00AA7061"/>
    <w:rsid w:val="00AA70A1"/>
    <w:rsid w:val="00AA7276"/>
    <w:rsid w:val="00AA743B"/>
    <w:rsid w:val="00AA74FA"/>
    <w:rsid w:val="00AA7630"/>
    <w:rsid w:val="00AA796C"/>
    <w:rsid w:val="00AA7A94"/>
    <w:rsid w:val="00AA7B98"/>
    <w:rsid w:val="00AA7E50"/>
    <w:rsid w:val="00AA7F1A"/>
    <w:rsid w:val="00AA7FD9"/>
    <w:rsid w:val="00AB05B7"/>
    <w:rsid w:val="00AB0762"/>
    <w:rsid w:val="00AB10A8"/>
    <w:rsid w:val="00AB2088"/>
    <w:rsid w:val="00AB2711"/>
    <w:rsid w:val="00AB29FC"/>
    <w:rsid w:val="00AB33BB"/>
    <w:rsid w:val="00AB3A97"/>
    <w:rsid w:val="00AB3AA1"/>
    <w:rsid w:val="00AB3B48"/>
    <w:rsid w:val="00AB3FA2"/>
    <w:rsid w:val="00AB4394"/>
    <w:rsid w:val="00AB46F6"/>
    <w:rsid w:val="00AB4940"/>
    <w:rsid w:val="00AB4D06"/>
    <w:rsid w:val="00AB5091"/>
    <w:rsid w:val="00AB5688"/>
    <w:rsid w:val="00AB5830"/>
    <w:rsid w:val="00AB5B17"/>
    <w:rsid w:val="00AB61CB"/>
    <w:rsid w:val="00AB65E7"/>
    <w:rsid w:val="00AB6DAD"/>
    <w:rsid w:val="00AB73D5"/>
    <w:rsid w:val="00AC00DF"/>
    <w:rsid w:val="00AC02AA"/>
    <w:rsid w:val="00AC04CC"/>
    <w:rsid w:val="00AC05AD"/>
    <w:rsid w:val="00AC0A99"/>
    <w:rsid w:val="00AC0B0E"/>
    <w:rsid w:val="00AC0D15"/>
    <w:rsid w:val="00AC0EC3"/>
    <w:rsid w:val="00AC0F21"/>
    <w:rsid w:val="00AC13D1"/>
    <w:rsid w:val="00AC14E4"/>
    <w:rsid w:val="00AC17BA"/>
    <w:rsid w:val="00AC2446"/>
    <w:rsid w:val="00AC2478"/>
    <w:rsid w:val="00AC312D"/>
    <w:rsid w:val="00AC341A"/>
    <w:rsid w:val="00AC3586"/>
    <w:rsid w:val="00AC3858"/>
    <w:rsid w:val="00AC3EC5"/>
    <w:rsid w:val="00AC4884"/>
    <w:rsid w:val="00AC48D2"/>
    <w:rsid w:val="00AC4AC8"/>
    <w:rsid w:val="00AC4AE9"/>
    <w:rsid w:val="00AC4AF4"/>
    <w:rsid w:val="00AC4CC2"/>
    <w:rsid w:val="00AC4F2B"/>
    <w:rsid w:val="00AC51CE"/>
    <w:rsid w:val="00AC54B1"/>
    <w:rsid w:val="00AC55FF"/>
    <w:rsid w:val="00AC56D3"/>
    <w:rsid w:val="00AC575D"/>
    <w:rsid w:val="00AC58C6"/>
    <w:rsid w:val="00AC5915"/>
    <w:rsid w:val="00AC5993"/>
    <w:rsid w:val="00AC5CBA"/>
    <w:rsid w:val="00AC6226"/>
    <w:rsid w:val="00AC62AB"/>
    <w:rsid w:val="00AC6A6E"/>
    <w:rsid w:val="00AC6C8C"/>
    <w:rsid w:val="00AC7023"/>
    <w:rsid w:val="00AC7318"/>
    <w:rsid w:val="00AC744D"/>
    <w:rsid w:val="00AC76E1"/>
    <w:rsid w:val="00AC7707"/>
    <w:rsid w:val="00AC77FE"/>
    <w:rsid w:val="00AD04F8"/>
    <w:rsid w:val="00AD0AEB"/>
    <w:rsid w:val="00AD0E39"/>
    <w:rsid w:val="00AD0E4F"/>
    <w:rsid w:val="00AD1C4D"/>
    <w:rsid w:val="00AD2042"/>
    <w:rsid w:val="00AD2550"/>
    <w:rsid w:val="00AD2A63"/>
    <w:rsid w:val="00AD2EB3"/>
    <w:rsid w:val="00AD3359"/>
    <w:rsid w:val="00AD3561"/>
    <w:rsid w:val="00AD3781"/>
    <w:rsid w:val="00AD3B3E"/>
    <w:rsid w:val="00AD3CCB"/>
    <w:rsid w:val="00AD3CDB"/>
    <w:rsid w:val="00AD3DE6"/>
    <w:rsid w:val="00AD4137"/>
    <w:rsid w:val="00AD4C09"/>
    <w:rsid w:val="00AD4D5F"/>
    <w:rsid w:val="00AD4DC6"/>
    <w:rsid w:val="00AD5625"/>
    <w:rsid w:val="00AD581D"/>
    <w:rsid w:val="00AD59FE"/>
    <w:rsid w:val="00AD5A05"/>
    <w:rsid w:val="00AD5EF9"/>
    <w:rsid w:val="00AD6265"/>
    <w:rsid w:val="00AD66EC"/>
    <w:rsid w:val="00AD67CC"/>
    <w:rsid w:val="00AD6810"/>
    <w:rsid w:val="00AD6894"/>
    <w:rsid w:val="00AD6940"/>
    <w:rsid w:val="00AD6B16"/>
    <w:rsid w:val="00AD6C3A"/>
    <w:rsid w:val="00AD6DB4"/>
    <w:rsid w:val="00AD6E96"/>
    <w:rsid w:val="00AD6F6F"/>
    <w:rsid w:val="00AD70A6"/>
    <w:rsid w:val="00AD75EF"/>
    <w:rsid w:val="00AD7730"/>
    <w:rsid w:val="00AD7A2E"/>
    <w:rsid w:val="00AE0208"/>
    <w:rsid w:val="00AE077D"/>
    <w:rsid w:val="00AE0D30"/>
    <w:rsid w:val="00AE12FD"/>
    <w:rsid w:val="00AE13B6"/>
    <w:rsid w:val="00AE148F"/>
    <w:rsid w:val="00AE188B"/>
    <w:rsid w:val="00AE190A"/>
    <w:rsid w:val="00AE2199"/>
    <w:rsid w:val="00AE227A"/>
    <w:rsid w:val="00AE23CB"/>
    <w:rsid w:val="00AE23E6"/>
    <w:rsid w:val="00AE2504"/>
    <w:rsid w:val="00AE28DA"/>
    <w:rsid w:val="00AE2B47"/>
    <w:rsid w:val="00AE2CAD"/>
    <w:rsid w:val="00AE2DE0"/>
    <w:rsid w:val="00AE2FE8"/>
    <w:rsid w:val="00AE369F"/>
    <w:rsid w:val="00AE3787"/>
    <w:rsid w:val="00AE3D37"/>
    <w:rsid w:val="00AE47D3"/>
    <w:rsid w:val="00AE47D6"/>
    <w:rsid w:val="00AE487C"/>
    <w:rsid w:val="00AE4A6E"/>
    <w:rsid w:val="00AE4C0B"/>
    <w:rsid w:val="00AE57DE"/>
    <w:rsid w:val="00AE5BDD"/>
    <w:rsid w:val="00AE6095"/>
    <w:rsid w:val="00AE697F"/>
    <w:rsid w:val="00AE6D10"/>
    <w:rsid w:val="00AE6E3F"/>
    <w:rsid w:val="00AE74EF"/>
    <w:rsid w:val="00AE798C"/>
    <w:rsid w:val="00AE7C3A"/>
    <w:rsid w:val="00AF0113"/>
    <w:rsid w:val="00AF04C7"/>
    <w:rsid w:val="00AF0A85"/>
    <w:rsid w:val="00AF0AEC"/>
    <w:rsid w:val="00AF1529"/>
    <w:rsid w:val="00AF15F2"/>
    <w:rsid w:val="00AF1928"/>
    <w:rsid w:val="00AF1BA7"/>
    <w:rsid w:val="00AF1C17"/>
    <w:rsid w:val="00AF2930"/>
    <w:rsid w:val="00AF2F23"/>
    <w:rsid w:val="00AF2FE3"/>
    <w:rsid w:val="00AF302B"/>
    <w:rsid w:val="00AF306D"/>
    <w:rsid w:val="00AF378D"/>
    <w:rsid w:val="00AF382B"/>
    <w:rsid w:val="00AF3CC8"/>
    <w:rsid w:val="00AF3F3B"/>
    <w:rsid w:val="00AF43BA"/>
    <w:rsid w:val="00AF4B00"/>
    <w:rsid w:val="00AF577D"/>
    <w:rsid w:val="00AF5BF5"/>
    <w:rsid w:val="00AF5C82"/>
    <w:rsid w:val="00AF5EFA"/>
    <w:rsid w:val="00AF6E76"/>
    <w:rsid w:val="00AF6E79"/>
    <w:rsid w:val="00AF71F3"/>
    <w:rsid w:val="00AF73E8"/>
    <w:rsid w:val="00AF7E2C"/>
    <w:rsid w:val="00B002A3"/>
    <w:rsid w:val="00B003EA"/>
    <w:rsid w:val="00B00A0C"/>
    <w:rsid w:val="00B00BFB"/>
    <w:rsid w:val="00B00FD4"/>
    <w:rsid w:val="00B014D7"/>
    <w:rsid w:val="00B021E7"/>
    <w:rsid w:val="00B02299"/>
    <w:rsid w:val="00B023DC"/>
    <w:rsid w:val="00B02480"/>
    <w:rsid w:val="00B024EA"/>
    <w:rsid w:val="00B025F4"/>
    <w:rsid w:val="00B0263B"/>
    <w:rsid w:val="00B031FF"/>
    <w:rsid w:val="00B03510"/>
    <w:rsid w:val="00B03603"/>
    <w:rsid w:val="00B037CD"/>
    <w:rsid w:val="00B0380C"/>
    <w:rsid w:val="00B03877"/>
    <w:rsid w:val="00B03BB2"/>
    <w:rsid w:val="00B03EEF"/>
    <w:rsid w:val="00B040F9"/>
    <w:rsid w:val="00B041A1"/>
    <w:rsid w:val="00B04280"/>
    <w:rsid w:val="00B042A7"/>
    <w:rsid w:val="00B04B37"/>
    <w:rsid w:val="00B0558A"/>
    <w:rsid w:val="00B0566C"/>
    <w:rsid w:val="00B05993"/>
    <w:rsid w:val="00B05DF3"/>
    <w:rsid w:val="00B064E6"/>
    <w:rsid w:val="00B06B00"/>
    <w:rsid w:val="00B073AD"/>
    <w:rsid w:val="00B075FE"/>
    <w:rsid w:val="00B07658"/>
    <w:rsid w:val="00B07DF9"/>
    <w:rsid w:val="00B10285"/>
    <w:rsid w:val="00B10436"/>
    <w:rsid w:val="00B10E47"/>
    <w:rsid w:val="00B11449"/>
    <w:rsid w:val="00B11507"/>
    <w:rsid w:val="00B11549"/>
    <w:rsid w:val="00B11647"/>
    <w:rsid w:val="00B118FF"/>
    <w:rsid w:val="00B11A3A"/>
    <w:rsid w:val="00B11A88"/>
    <w:rsid w:val="00B11E9A"/>
    <w:rsid w:val="00B11EAA"/>
    <w:rsid w:val="00B12137"/>
    <w:rsid w:val="00B12C88"/>
    <w:rsid w:val="00B134D0"/>
    <w:rsid w:val="00B13706"/>
    <w:rsid w:val="00B13DBD"/>
    <w:rsid w:val="00B13FB6"/>
    <w:rsid w:val="00B142A2"/>
    <w:rsid w:val="00B14320"/>
    <w:rsid w:val="00B14A7D"/>
    <w:rsid w:val="00B14C7F"/>
    <w:rsid w:val="00B1520E"/>
    <w:rsid w:val="00B1570A"/>
    <w:rsid w:val="00B15AA7"/>
    <w:rsid w:val="00B165CB"/>
    <w:rsid w:val="00B168C9"/>
    <w:rsid w:val="00B16A7A"/>
    <w:rsid w:val="00B16C11"/>
    <w:rsid w:val="00B16FAA"/>
    <w:rsid w:val="00B1706D"/>
    <w:rsid w:val="00B17308"/>
    <w:rsid w:val="00B173E8"/>
    <w:rsid w:val="00B174C0"/>
    <w:rsid w:val="00B17590"/>
    <w:rsid w:val="00B177F8"/>
    <w:rsid w:val="00B17E51"/>
    <w:rsid w:val="00B20272"/>
    <w:rsid w:val="00B2040E"/>
    <w:rsid w:val="00B20474"/>
    <w:rsid w:val="00B20A28"/>
    <w:rsid w:val="00B21148"/>
    <w:rsid w:val="00B213BA"/>
    <w:rsid w:val="00B21457"/>
    <w:rsid w:val="00B21862"/>
    <w:rsid w:val="00B2198F"/>
    <w:rsid w:val="00B219E1"/>
    <w:rsid w:val="00B21F34"/>
    <w:rsid w:val="00B22161"/>
    <w:rsid w:val="00B22570"/>
    <w:rsid w:val="00B22672"/>
    <w:rsid w:val="00B226AF"/>
    <w:rsid w:val="00B229B1"/>
    <w:rsid w:val="00B2301D"/>
    <w:rsid w:val="00B23886"/>
    <w:rsid w:val="00B2396B"/>
    <w:rsid w:val="00B2399B"/>
    <w:rsid w:val="00B239C9"/>
    <w:rsid w:val="00B2422E"/>
    <w:rsid w:val="00B24458"/>
    <w:rsid w:val="00B24596"/>
    <w:rsid w:val="00B247F5"/>
    <w:rsid w:val="00B2497F"/>
    <w:rsid w:val="00B24BE7"/>
    <w:rsid w:val="00B258B2"/>
    <w:rsid w:val="00B259C9"/>
    <w:rsid w:val="00B25D5A"/>
    <w:rsid w:val="00B25ECC"/>
    <w:rsid w:val="00B263E9"/>
    <w:rsid w:val="00B26796"/>
    <w:rsid w:val="00B26871"/>
    <w:rsid w:val="00B271AB"/>
    <w:rsid w:val="00B2791E"/>
    <w:rsid w:val="00B30B19"/>
    <w:rsid w:val="00B30B56"/>
    <w:rsid w:val="00B31215"/>
    <w:rsid w:val="00B317EE"/>
    <w:rsid w:val="00B31A49"/>
    <w:rsid w:val="00B31DF3"/>
    <w:rsid w:val="00B324EB"/>
    <w:rsid w:val="00B32797"/>
    <w:rsid w:val="00B32AC2"/>
    <w:rsid w:val="00B32E6A"/>
    <w:rsid w:val="00B330EF"/>
    <w:rsid w:val="00B33D72"/>
    <w:rsid w:val="00B33E0E"/>
    <w:rsid w:val="00B340F0"/>
    <w:rsid w:val="00B342D3"/>
    <w:rsid w:val="00B3431E"/>
    <w:rsid w:val="00B34475"/>
    <w:rsid w:val="00B34534"/>
    <w:rsid w:val="00B34A7E"/>
    <w:rsid w:val="00B35477"/>
    <w:rsid w:val="00B3551C"/>
    <w:rsid w:val="00B35871"/>
    <w:rsid w:val="00B3589E"/>
    <w:rsid w:val="00B35B86"/>
    <w:rsid w:val="00B36342"/>
    <w:rsid w:val="00B366D1"/>
    <w:rsid w:val="00B36ADB"/>
    <w:rsid w:val="00B36DC0"/>
    <w:rsid w:val="00B36DEE"/>
    <w:rsid w:val="00B36EBF"/>
    <w:rsid w:val="00B36EC4"/>
    <w:rsid w:val="00B3705A"/>
    <w:rsid w:val="00B3714D"/>
    <w:rsid w:val="00B3722C"/>
    <w:rsid w:val="00B37335"/>
    <w:rsid w:val="00B3786D"/>
    <w:rsid w:val="00B37C75"/>
    <w:rsid w:val="00B37D82"/>
    <w:rsid w:val="00B37F08"/>
    <w:rsid w:val="00B40038"/>
    <w:rsid w:val="00B40171"/>
    <w:rsid w:val="00B40B2C"/>
    <w:rsid w:val="00B40C50"/>
    <w:rsid w:val="00B40DC8"/>
    <w:rsid w:val="00B411DB"/>
    <w:rsid w:val="00B411E9"/>
    <w:rsid w:val="00B4139A"/>
    <w:rsid w:val="00B41EA3"/>
    <w:rsid w:val="00B42139"/>
    <w:rsid w:val="00B42250"/>
    <w:rsid w:val="00B42E8A"/>
    <w:rsid w:val="00B43188"/>
    <w:rsid w:val="00B44172"/>
    <w:rsid w:val="00B44437"/>
    <w:rsid w:val="00B44677"/>
    <w:rsid w:val="00B448AB"/>
    <w:rsid w:val="00B448B6"/>
    <w:rsid w:val="00B4499D"/>
    <w:rsid w:val="00B44B27"/>
    <w:rsid w:val="00B44FFB"/>
    <w:rsid w:val="00B45943"/>
    <w:rsid w:val="00B45971"/>
    <w:rsid w:val="00B45989"/>
    <w:rsid w:val="00B45A40"/>
    <w:rsid w:val="00B45CBB"/>
    <w:rsid w:val="00B45D31"/>
    <w:rsid w:val="00B46755"/>
    <w:rsid w:val="00B46AAE"/>
    <w:rsid w:val="00B46CDE"/>
    <w:rsid w:val="00B46E5A"/>
    <w:rsid w:val="00B470BF"/>
    <w:rsid w:val="00B4777E"/>
    <w:rsid w:val="00B47AD6"/>
    <w:rsid w:val="00B47B8C"/>
    <w:rsid w:val="00B47C17"/>
    <w:rsid w:val="00B506C9"/>
    <w:rsid w:val="00B50C0D"/>
    <w:rsid w:val="00B50C16"/>
    <w:rsid w:val="00B50DD7"/>
    <w:rsid w:val="00B50F94"/>
    <w:rsid w:val="00B51314"/>
    <w:rsid w:val="00B51718"/>
    <w:rsid w:val="00B52701"/>
    <w:rsid w:val="00B52B1E"/>
    <w:rsid w:val="00B52D81"/>
    <w:rsid w:val="00B52FCD"/>
    <w:rsid w:val="00B53624"/>
    <w:rsid w:val="00B536C1"/>
    <w:rsid w:val="00B53765"/>
    <w:rsid w:val="00B53BBF"/>
    <w:rsid w:val="00B53CFD"/>
    <w:rsid w:val="00B53FF7"/>
    <w:rsid w:val="00B544CD"/>
    <w:rsid w:val="00B547B8"/>
    <w:rsid w:val="00B5567F"/>
    <w:rsid w:val="00B55857"/>
    <w:rsid w:val="00B5589C"/>
    <w:rsid w:val="00B55B07"/>
    <w:rsid w:val="00B5638B"/>
    <w:rsid w:val="00B56465"/>
    <w:rsid w:val="00B566AE"/>
    <w:rsid w:val="00B57353"/>
    <w:rsid w:val="00B57638"/>
    <w:rsid w:val="00B578A5"/>
    <w:rsid w:val="00B57969"/>
    <w:rsid w:val="00B60350"/>
    <w:rsid w:val="00B60804"/>
    <w:rsid w:val="00B60812"/>
    <w:rsid w:val="00B6081E"/>
    <w:rsid w:val="00B60986"/>
    <w:rsid w:val="00B61389"/>
    <w:rsid w:val="00B6146A"/>
    <w:rsid w:val="00B618D2"/>
    <w:rsid w:val="00B623D8"/>
    <w:rsid w:val="00B62783"/>
    <w:rsid w:val="00B6278C"/>
    <w:rsid w:val="00B62E4F"/>
    <w:rsid w:val="00B6336E"/>
    <w:rsid w:val="00B635E6"/>
    <w:rsid w:val="00B635ED"/>
    <w:rsid w:val="00B636F7"/>
    <w:rsid w:val="00B63CD4"/>
    <w:rsid w:val="00B6440C"/>
    <w:rsid w:val="00B644E7"/>
    <w:rsid w:val="00B6479D"/>
    <w:rsid w:val="00B647FA"/>
    <w:rsid w:val="00B64F50"/>
    <w:rsid w:val="00B654CC"/>
    <w:rsid w:val="00B655B0"/>
    <w:rsid w:val="00B655BF"/>
    <w:rsid w:val="00B659D2"/>
    <w:rsid w:val="00B660BD"/>
    <w:rsid w:val="00B663D7"/>
    <w:rsid w:val="00B66AA1"/>
    <w:rsid w:val="00B66B5F"/>
    <w:rsid w:val="00B67278"/>
    <w:rsid w:val="00B673BC"/>
    <w:rsid w:val="00B67D37"/>
    <w:rsid w:val="00B67E80"/>
    <w:rsid w:val="00B70000"/>
    <w:rsid w:val="00B7027E"/>
    <w:rsid w:val="00B705BD"/>
    <w:rsid w:val="00B707E3"/>
    <w:rsid w:val="00B70951"/>
    <w:rsid w:val="00B70B1F"/>
    <w:rsid w:val="00B70E3C"/>
    <w:rsid w:val="00B70F8F"/>
    <w:rsid w:val="00B71270"/>
    <w:rsid w:val="00B7142E"/>
    <w:rsid w:val="00B716C1"/>
    <w:rsid w:val="00B7202F"/>
    <w:rsid w:val="00B72138"/>
    <w:rsid w:val="00B72B24"/>
    <w:rsid w:val="00B7302C"/>
    <w:rsid w:val="00B73700"/>
    <w:rsid w:val="00B73861"/>
    <w:rsid w:val="00B739F8"/>
    <w:rsid w:val="00B743F0"/>
    <w:rsid w:val="00B747BE"/>
    <w:rsid w:val="00B74902"/>
    <w:rsid w:val="00B749B2"/>
    <w:rsid w:val="00B75197"/>
    <w:rsid w:val="00B755F1"/>
    <w:rsid w:val="00B75FD4"/>
    <w:rsid w:val="00B76859"/>
    <w:rsid w:val="00B76A5E"/>
    <w:rsid w:val="00B76EFC"/>
    <w:rsid w:val="00B7735D"/>
    <w:rsid w:val="00B77433"/>
    <w:rsid w:val="00B778FE"/>
    <w:rsid w:val="00B77B66"/>
    <w:rsid w:val="00B80721"/>
    <w:rsid w:val="00B80A7A"/>
    <w:rsid w:val="00B80B46"/>
    <w:rsid w:val="00B80D78"/>
    <w:rsid w:val="00B81134"/>
    <w:rsid w:val="00B812C8"/>
    <w:rsid w:val="00B8139B"/>
    <w:rsid w:val="00B814EB"/>
    <w:rsid w:val="00B81666"/>
    <w:rsid w:val="00B8195C"/>
    <w:rsid w:val="00B81C73"/>
    <w:rsid w:val="00B81CBA"/>
    <w:rsid w:val="00B82460"/>
    <w:rsid w:val="00B82514"/>
    <w:rsid w:val="00B8297D"/>
    <w:rsid w:val="00B82CF1"/>
    <w:rsid w:val="00B83242"/>
    <w:rsid w:val="00B832A0"/>
    <w:rsid w:val="00B83356"/>
    <w:rsid w:val="00B833FD"/>
    <w:rsid w:val="00B83756"/>
    <w:rsid w:val="00B838F8"/>
    <w:rsid w:val="00B8392F"/>
    <w:rsid w:val="00B83D4B"/>
    <w:rsid w:val="00B847EE"/>
    <w:rsid w:val="00B84A73"/>
    <w:rsid w:val="00B84CAD"/>
    <w:rsid w:val="00B84CE5"/>
    <w:rsid w:val="00B85067"/>
    <w:rsid w:val="00B85457"/>
    <w:rsid w:val="00B8554A"/>
    <w:rsid w:val="00B85B2D"/>
    <w:rsid w:val="00B85B5B"/>
    <w:rsid w:val="00B85F10"/>
    <w:rsid w:val="00B861FF"/>
    <w:rsid w:val="00B86A82"/>
    <w:rsid w:val="00B86AAA"/>
    <w:rsid w:val="00B86B4F"/>
    <w:rsid w:val="00B86DB7"/>
    <w:rsid w:val="00B86FB2"/>
    <w:rsid w:val="00B870A2"/>
    <w:rsid w:val="00B8712B"/>
    <w:rsid w:val="00B875D7"/>
    <w:rsid w:val="00B877EC"/>
    <w:rsid w:val="00B8793B"/>
    <w:rsid w:val="00B87B1F"/>
    <w:rsid w:val="00B87FCC"/>
    <w:rsid w:val="00B90376"/>
    <w:rsid w:val="00B9053F"/>
    <w:rsid w:val="00B906B4"/>
    <w:rsid w:val="00B90732"/>
    <w:rsid w:val="00B90935"/>
    <w:rsid w:val="00B91127"/>
    <w:rsid w:val="00B9136F"/>
    <w:rsid w:val="00B913B5"/>
    <w:rsid w:val="00B91DF1"/>
    <w:rsid w:val="00B92579"/>
    <w:rsid w:val="00B92945"/>
    <w:rsid w:val="00B92A76"/>
    <w:rsid w:val="00B92B33"/>
    <w:rsid w:val="00B9305A"/>
    <w:rsid w:val="00B93264"/>
    <w:rsid w:val="00B933CF"/>
    <w:rsid w:val="00B93588"/>
    <w:rsid w:val="00B93AAB"/>
    <w:rsid w:val="00B93DB8"/>
    <w:rsid w:val="00B944BC"/>
    <w:rsid w:val="00B949B8"/>
    <w:rsid w:val="00B9533E"/>
    <w:rsid w:val="00B955F0"/>
    <w:rsid w:val="00B9586B"/>
    <w:rsid w:val="00B95A02"/>
    <w:rsid w:val="00B95DED"/>
    <w:rsid w:val="00B96086"/>
    <w:rsid w:val="00B96424"/>
    <w:rsid w:val="00B96816"/>
    <w:rsid w:val="00B9687D"/>
    <w:rsid w:val="00B96997"/>
    <w:rsid w:val="00B96C6A"/>
    <w:rsid w:val="00B96D5C"/>
    <w:rsid w:val="00B96E3C"/>
    <w:rsid w:val="00B96E55"/>
    <w:rsid w:val="00B96ED6"/>
    <w:rsid w:val="00B97523"/>
    <w:rsid w:val="00B978D7"/>
    <w:rsid w:val="00B97904"/>
    <w:rsid w:val="00B97AB3"/>
    <w:rsid w:val="00B97E1E"/>
    <w:rsid w:val="00B97FB0"/>
    <w:rsid w:val="00BA0C47"/>
    <w:rsid w:val="00BA165E"/>
    <w:rsid w:val="00BA184E"/>
    <w:rsid w:val="00BA1855"/>
    <w:rsid w:val="00BA18F0"/>
    <w:rsid w:val="00BA1A1B"/>
    <w:rsid w:val="00BA1BA4"/>
    <w:rsid w:val="00BA1D61"/>
    <w:rsid w:val="00BA219D"/>
    <w:rsid w:val="00BA2522"/>
    <w:rsid w:val="00BA25B9"/>
    <w:rsid w:val="00BA25FC"/>
    <w:rsid w:val="00BA29D8"/>
    <w:rsid w:val="00BA2AC9"/>
    <w:rsid w:val="00BA2AEE"/>
    <w:rsid w:val="00BA2D50"/>
    <w:rsid w:val="00BA2F77"/>
    <w:rsid w:val="00BA31B5"/>
    <w:rsid w:val="00BA36FB"/>
    <w:rsid w:val="00BA3979"/>
    <w:rsid w:val="00BA39FA"/>
    <w:rsid w:val="00BA3AD9"/>
    <w:rsid w:val="00BA3B8A"/>
    <w:rsid w:val="00BA3F02"/>
    <w:rsid w:val="00BA4B42"/>
    <w:rsid w:val="00BA5172"/>
    <w:rsid w:val="00BA568B"/>
    <w:rsid w:val="00BA5EED"/>
    <w:rsid w:val="00BA615C"/>
    <w:rsid w:val="00BA6379"/>
    <w:rsid w:val="00BA63C1"/>
    <w:rsid w:val="00BA6715"/>
    <w:rsid w:val="00BA6AAE"/>
    <w:rsid w:val="00BA6CCD"/>
    <w:rsid w:val="00BA70A2"/>
    <w:rsid w:val="00BA7818"/>
    <w:rsid w:val="00BA7882"/>
    <w:rsid w:val="00BA78E8"/>
    <w:rsid w:val="00BB0791"/>
    <w:rsid w:val="00BB0AA2"/>
    <w:rsid w:val="00BB0AF9"/>
    <w:rsid w:val="00BB0C1B"/>
    <w:rsid w:val="00BB10C9"/>
    <w:rsid w:val="00BB16F3"/>
    <w:rsid w:val="00BB1F3E"/>
    <w:rsid w:val="00BB244F"/>
    <w:rsid w:val="00BB2580"/>
    <w:rsid w:val="00BB260A"/>
    <w:rsid w:val="00BB2902"/>
    <w:rsid w:val="00BB2B90"/>
    <w:rsid w:val="00BB2C2A"/>
    <w:rsid w:val="00BB2D35"/>
    <w:rsid w:val="00BB2D93"/>
    <w:rsid w:val="00BB3EE9"/>
    <w:rsid w:val="00BB3F0F"/>
    <w:rsid w:val="00BB3F70"/>
    <w:rsid w:val="00BB4302"/>
    <w:rsid w:val="00BB44BC"/>
    <w:rsid w:val="00BB4A71"/>
    <w:rsid w:val="00BB4A8B"/>
    <w:rsid w:val="00BB52AD"/>
    <w:rsid w:val="00BB58F1"/>
    <w:rsid w:val="00BB5984"/>
    <w:rsid w:val="00BB60C2"/>
    <w:rsid w:val="00BB6590"/>
    <w:rsid w:val="00BB6CB1"/>
    <w:rsid w:val="00BB6E54"/>
    <w:rsid w:val="00BB7387"/>
    <w:rsid w:val="00BB7C50"/>
    <w:rsid w:val="00BB7FDC"/>
    <w:rsid w:val="00BC037C"/>
    <w:rsid w:val="00BC08D7"/>
    <w:rsid w:val="00BC0A23"/>
    <w:rsid w:val="00BC0CF2"/>
    <w:rsid w:val="00BC0D09"/>
    <w:rsid w:val="00BC1028"/>
    <w:rsid w:val="00BC1321"/>
    <w:rsid w:val="00BC1474"/>
    <w:rsid w:val="00BC159B"/>
    <w:rsid w:val="00BC1658"/>
    <w:rsid w:val="00BC189A"/>
    <w:rsid w:val="00BC1AEA"/>
    <w:rsid w:val="00BC1D12"/>
    <w:rsid w:val="00BC1D5B"/>
    <w:rsid w:val="00BC20B2"/>
    <w:rsid w:val="00BC2149"/>
    <w:rsid w:val="00BC2159"/>
    <w:rsid w:val="00BC255C"/>
    <w:rsid w:val="00BC2979"/>
    <w:rsid w:val="00BC29FD"/>
    <w:rsid w:val="00BC2C2F"/>
    <w:rsid w:val="00BC3051"/>
    <w:rsid w:val="00BC327D"/>
    <w:rsid w:val="00BC336B"/>
    <w:rsid w:val="00BC362D"/>
    <w:rsid w:val="00BC36B3"/>
    <w:rsid w:val="00BC38DB"/>
    <w:rsid w:val="00BC393B"/>
    <w:rsid w:val="00BC3D1B"/>
    <w:rsid w:val="00BC45E5"/>
    <w:rsid w:val="00BC46D5"/>
    <w:rsid w:val="00BC4DF2"/>
    <w:rsid w:val="00BC4E66"/>
    <w:rsid w:val="00BC52F1"/>
    <w:rsid w:val="00BC53AD"/>
    <w:rsid w:val="00BC548F"/>
    <w:rsid w:val="00BC56DE"/>
    <w:rsid w:val="00BC5768"/>
    <w:rsid w:val="00BC5ABF"/>
    <w:rsid w:val="00BC5D55"/>
    <w:rsid w:val="00BC5DC9"/>
    <w:rsid w:val="00BC5DF1"/>
    <w:rsid w:val="00BC71A1"/>
    <w:rsid w:val="00BC7727"/>
    <w:rsid w:val="00BC7D22"/>
    <w:rsid w:val="00BC7E14"/>
    <w:rsid w:val="00BD0003"/>
    <w:rsid w:val="00BD0393"/>
    <w:rsid w:val="00BD0A12"/>
    <w:rsid w:val="00BD0CD7"/>
    <w:rsid w:val="00BD104D"/>
    <w:rsid w:val="00BD11AF"/>
    <w:rsid w:val="00BD12AE"/>
    <w:rsid w:val="00BD142C"/>
    <w:rsid w:val="00BD15FF"/>
    <w:rsid w:val="00BD1D6C"/>
    <w:rsid w:val="00BD1E3B"/>
    <w:rsid w:val="00BD1FA6"/>
    <w:rsid w:val="00BD29D0"/>
    <w:rsid w:val="00BD2C06"/>
    <w:rsid w:val="00BD2CD9"/>
    <w:rsid w:val="00BD302D"/>
    <w:rsid w:val="00BD3091"/>
    <w:rsid w:val="00BD36B4"/>
    <w:rsid w:val="00BD3CE2"/>
    <w:rsid w:val="00BD4266"/>
    <w:rsid w:val="00BD4287"/>
    <w:rsid w:val="00BD4424"/>
    <w:rsid w:val="00BD45DA"/>
    <w:rsid w:val="00BD509F"/>
    <w:rsid w:val="00BD56D9"/>
    <w:rsid w:val="00BD61C2"/>
    <w:rsid w:val="00BD6E0E"/>
    <w:rsid w:val="00BD75B5"/>
    <w:rsid w:val="00BD7753"/>
    <w:rsid w:val="00BD78A8"/>
    <w:rsid w:val="00BD79A0"/>
    <w:rsid w:val="00BD7E1D"/>
    <w:rsid w:val="00BE0359"/>
    <w:rsid w:val="00BE03B6"/>
    <w:rsid w:val="00BE040F"/>
    <w:rsid w:val="00BE07CD"/>
    <w:rsid w:val="00BE0C51"/>
    <w:rsid w:val="00BE0EB4"/>
    <w:rsid w:val="00BE0FA2"/>
    <w:rsid w:val="00BE15AA"/>
    <w:rsid w:val="00BE1702"/>
    <w:rsid w:val="00BE1C93"/>
    <w:rsid w:val="00BE2023"/>
    <w:rsid w:val="00BE2391"/>
    <w:rsid w:val="00BE255C"/>
    <w:rsid w:val="00BE2772"/>
    <w:rsid w:val="00BE289F"/>
    <w:rsid w:val="00BE33F1"/>
    <w:rsid w:val="00BE34DD"/>
    <w:rsid w:val="00BE35A2"/>
    <w:rsid w:val="00BE3605"/>
    <w:rsid w:val="00BE3914"/>
    <w:rsid w:val="00BE393A"/>
    <w:rsid w:val="00BE39EB"/>
    <w:rsid w:val="00BE3E30"/>
    <w:rsid w:val="00BE4830"/>
    <w:rsid w:val="00BE4C0B"/>
    <w:rsid w:val="00BE4C29"/>
    <w:rsid w:val="00BE4F46"/>
    <w:rsid w:val="00BE508B"/>
    <w:rsid w:val="00BE60DA"/>
    <w:rsid w:val="00BE6469"/>
    <w:rsid w:val="00BE66A5"/>
    <w:rsid w:val="00BE66B4"/>
    <w:rsid w:val="00BE6915"/>
    <w:rsid w:val="00BE6D4C"/>
    <w:rsid w:val="00BE7125"/>
    <w:rsid w:val="00BE7206"/>
    <w:rsid w:val="00BE74BB"/>
    <w:rsid w:val="00BE7635"/>
    <w:rsid w:val="00BE7DD3"/>
    <w:rsid w:val="00BE7E43"/>
    <w:rsid w:val="00BE7E64"/>
    <w:rsid w:val="00BE7E79"/>
    <w:rsid w:val="00BF0671"/>
    <w:rsid w:val="00BF0A22"/>
    <w:rsid w:val="00BF0E7D"/>
    <w:rsid w:val="00BF14D0"/>
    <w:rsid w:val="00BF1791"/>
    <w:rsid w:val="00BF1EEB"/>
    <w:rsid w:val="00BF246C"/>
    <w:rsid w:val="00BF2A9D"/>
    <w:rsid w:val="00BF2AC0"/>
    <w:rsid w:val="00BF2C3D"/>
    <w:rsid w:val="00BF2F90"/>
    <w:rsid w:val="00BF33B0"/>
    <w:rsid w:val="00BF3484"/>
    <w:rsid w:val="00BF3937"/>
    <w:rsid w:val="00BF3AEA"/>
    <w:rsid w:val="00BF3C1E"/>
    <w:rsid w:val="00BF3C79"/>
    <w:rsid w:val="00BF3D1F"/>
    <w:rsid w:val="00BF4003"/>
    <w:rsid w:val="00BF446B"/>
    <w:rsid w:val="00BF4679"/>
    <w:rsid w:val="00BF4C6D"/>
    <w:rsid w:val="00BF5227"/>
    <w:rsid w:val="00BF53A7"/>
    <w:rsid w:val="00BF59BA"/>
    <w:rsid w:val="00BF5E35"/>
    <w:rsid w:val="00BF60BC"/>
    <w:rsid w:val="00BF688A"/>
    <w:rsid w:val="00BF6B23"/>
    <w:rsid w:val="00BF6B3C"/>
    <w:rsid w:val="00BF71A4"/>
    <w:rsid w:val="00BF72CA"/>
    <w:rsid w:val="00BF7577"/>
    <w:rsid w:val="00BF78C0"/>
    <w:rsid w:val="00BF7C34"/>
    <w:rsid w:val="00BF7D34"/>
    <w:rsid w:val="00C00344"/>
    <w:rsid w:val="00C0083D"/>
    <w:rsid w:val="00C010C2"/>
    <w:rsid w:val="00C0123F"/>
    <w:rsid w:val="00C019E6"/>
    <w:rsid w:val="00C01C65"/>
    <w:rsid w:val="00C01FEB"/>
    <w:rsid w:val="00C0240C"/>
    <w:rsid w:val="00C0265E"/>
    <w:rsid w:val="00C028EB"/>
    <w:rsid w:val="00C02C48"/>
    <w:rsid w:val="00C02ED2"/>
    <w:rsid w:val="00C0338C"/>
    <w:rsid w:val="00C036F7"/>
    <w:rsid w:val="00C03CBC"/>
    <w:rsid w:val="00C03D08"/>
    <w:rsid w:val="00C03D80"/>
    <w:rsid w:val="00C03FF3"/>
    <w:rsid w:val="00C0403B"/>
    <w:rsid w:val="00C0427F"/>
    <w:rsid w:val="00C046F9"/>
    <w:rsid w:val="00C04B09"/>
    <w:rsid w:val="00C04D9F"/>
    <w:rsid w:val="00C04EA9"/>
    <w:rsid w:val="00C05342"/>
    <w:rsid w:val="00C0592A"/>
    <w:rsid w:val="00C05B79"/>
    <w:rsid w:val="00C05CEC"/>
    <w:rsid w:val="00C05DC6"/>
    <w:rsid w:val="00C06144"/>
    <w:rsid w:val="00C062C7"/>
    <w:rsid w:val="00C0636D"/>
    <w:rsid w:val="00C06897"/>
    <w:rsid w:val="00C06F0C"/>
    <w:rsid w:val="00C0711F"/>
    <w:rsid w:val="00C0721C"/>
    <w:rsid w:val="00C072D6"/>
    <w:rsid w:val="00C075FC"/>
    <w:rsid w:val="00C0763A"/>
    <w:rsid w:val="00C07A1F"/>
    <w:rsid w:val="00C07CF5"/>
    <w:rsid w:val="00C07FC3"/>
    <w:rsid w:val="00C10131"/>
    <w:rsid w:val="00C108EC"/>
    <w:rsid w:val="00C11522"/>
    <w:rsid w:val="00C11C9D"/>
    <w:rsid w:val="00C12084"/>
    <w:rsid w:val="00C122BF"/>
    <w:rsid w:val="00C12603"/>
    <w:rsid w:val="00C1267D"/>
    <w:rsid w:val="00C12D09"/>
    <w:rsid w:val="00C12DB5"/>
    <w:rsid w:val="00C12DDA"/>
    <w:rsid w:val="00C12EF6"/>
    <w:rsid w:val="00C131C4"/>
    <w:rsid w:val="00C1347F"/>
    <w:rsid w:val="00C1383E"/>
    <w:rsid w:val="00C13C09"/>
    <w:rsid w:val="00C13CCE"/>
    <w:rsid w:val="00C14330"/>
    <w:rsid w:val="00C14505"/>
    <w:rsid w:val="00C14771"/>
    <w:rsid w:val="00C14ED8"/>
    <w:rsid w:val="00C15239"/>
    <w:rsid w:val="00C15287"/>
    <w:rsid w:val="00C15F84"/>
    <w:rsid w:val="00C164C1"/>
    <w:rsid w:val="00C165E8"/>
    <w:rsid w:val="00C16674"/>
    <w:rsid w:val="00C1697E"/>
    <w:rsid w:val="00C169EC"/>
    <w:rsid w:val="00C17057"/>
    <w:rsid w:val="00C172BE"/>
    <w:rsid w:val="00C17670"/>
    <w:rsid w:val="00C17699"/>
    <w:rsid w:val="00C17ACE"/>
    <w:rsid w:val="00C17F6B"/>
    <w:rsid w:val="00C2020C"/>
    <w:rsid w:val="00C20614"/>
    <w:rsid w:val="00C206B4"/>
    <w:rsid w:val="00C20A7C"/>
    <w:rsid w:val="00C20E17"/>
    <w:rsid w:val="00C21070"/>
    <w:rsid w:val="00C212F1"/>
    <w:rsid w:val="00C21356"/>
    <w:rsid w:val="00C21461"/>
    <w:rsid w:val="00C218E2"/>
    <w:rsid w:val="00C21B3E"/>
    <w:rsid w:val="00C22377"/>
    <w:rsid w:val="00C2251D"/>
    <w:rsid w:val="00C22566"/>
    <w:rsid w:val="00C225BA"/>
    <w:rsid w:val="00C226F5"/>
    <w:rsid w:val="00C22832"/>
    <w:rsid w:val="00C22E84"/>
    <w:rsid w:val="00C230E7"/>
    <w:rsid w:val="00C23117"/>
    <w:rsid w:val="00C2350F"/>
    <w:rsid w:val="00C2359C"/>
    <w:rsid w:val="00C23D07"/>
    <w:rsid w:val="00C23E70"/>
    <w:rsid w:val="00C23F1B"/>
    <w:rsid w:val="00C24026"/>
    <w:rsid w:val="00C2417C"/>
    <w:rsid w:val="00C24281"/>
    <w:rsid w:val="00C244DC"/>
    <w:rsid w:val="00C245E5"/>
    <w:rsid w:val="00C248F9"/>
    <w:rsid w:val="00C24E26"/>
    <w:rsid w:val="00C2530B"/>
    <w:rsid w:val="00C25F09"/>
    <w:rsid w:val="00C25FEC"/>
    <w:rsid w:val="00C260A6"/>
    <w:rsid w:val="00C26308"/>
    <w:rsid w:val="00C264DC"/>
    <w:rsid w:val="00C26CE0"/>
    <w:rsid w:val="00C26D88"/>
    <w:rsid w:val="00C27AEE"/>
    <w:rsid w:val="00C27D9A"/>
    <w:rsid w:val="00C3040E"/>
    <w:rsid w:val="00C3049B"/>
    <w:rsid w:val="00C304F0"/>
    <w:rsid w:val="00C30646"/>
    <w:rsid w:val="00C30D4D"/>
    <w:rsid w:val="00C30E58"/>
    <w:rsid w:val="00C30ED8"/>
    <w:rsid w:val="00C31866"/>
    <w:rsid w:val="00C31B2A"/>
    <w:rsid w:val="00C31E7E"/>
    <w:rsid w:val="00C328A0"/>
    <w:rsid w:val="00C329A2"/>
    <w:rsid w:val="00C32AA0"/>
    <w:rsid w:val="00C32F44"/>
    <w:rsid w:val="00C33194"/>
    <w:rsid w:val="00C332E4"/>
    <w:rsid w:val="00C33627"/>
    <w:rsid w:val="00C336AB"/>
    <w:rsid w:val="00C33837"/>
    <w:rsid w:val="00C33B72"/>
    <w:rsid w:val="00C34041"/>
    <w:rsid w:val="00C34A1B"/>
    <w:rsid w:val="00C34BF2"/>
    <w:rsid w:val="00C35397"/>
    <w:rsid w:val="00C357C7"/>
    <w:rsid w:val="00C35EDF"/>
    <w:rsid w:val="00C36483"/>
    <w:rsid w:val="00C366AA"/>
    <w:rsid w:val="00C36EF9"/>
    <w:rsid w:val="00C37864"/>
    <w:rsid w:val="00C40004"/>
    <w:rsid w:val="00C40723"/>
    <w:rsid w:val="00C407AB"/>
    <w:rsid w:val="00C41299"/>
    <w:rsid w:val="00C4132C"/>
    <w:rsid w:val="00C41502"/>
    <w:rsid w:val="00C4171B"/>
    <w:rsid w:val="00C41C35"/>
    <w:rsid w:val="00C42302"/>
    <w:rsid w:val="00C425FF"/>
    <w:rsid w:val="00C42702"/>
    <w:rsid w:val="00C42733"/>
    <w:rsid w:val="00C42BC4"/>
    <w:rsid w:val="00C42E15"/>
    <w:rsid w:val="00C432D9"/>
    <w:rsid w:val="00C433C6"/>
    <w:rsid w:val="00C435A7"/>
    <w:rsid w:val="00C437C5"/>
    <w:rsid w:val="00C4396E"/>
    <w:rsid w:val="00C43D6E"/>
    <w:rsid w:val="00C43FBF"/>
    <w:rsid w:val="00C44068"/>
    <w:rsid w:val="00C442DB"/>
    <w:rsid w:val="00C44CF2"/>
    <w:rsid w:val="00C454D3"/>
    <w:rsid w:val="00C45C6C"/>
    <w:rsid w:val="00C45D2F"/>
    <w:rsid w:val="00C45D57"/>
    <w:rsid w:val="00C45D59"/>
    <w:rsid w:val="00C4602F"/>
    <w:rsid w:val="00C462B4"/>
    <w:rsid w:val="00C4681E"/>
    <w:rsid w:val="00C468B9"/>
    <w:rsid w:val="00C46A00"/>
    <w:rsid w:val="00C46BC0"/>
    <w:rsid w:val="00C46C27"/>
    <w:rsid w:val="00C46FC9"/>
    <w:rsid w:val="00C474EE"/>
    <w:rsid w:val="00C475C9"/>
    <w:rsid w:val="00C47D51"/>
    <w:rsid w:val="00C47D58"/>
    <w:rsid w:val="00C47E25"/>
    <w:rsid w:val="00C50195"/>
    <w:rsid w:val="00C5094C"/>
    <w:rsid w:val="00C50B0F"/>
    <w:rsid w:val="00C50D7E"/>
    <w:rsid w:val="00C512C2"/>
    <w:rsid w:val="00C51EC1"/>
    <w:rsid w:val="00C52091"/>
    <w:rsid w:val="00C5227E"/>
    <w:rsid w:val="00C52580"/>
    <w:rsid w:val="00C52CB9"/>
    <w:rsid w:val="00C53742"/>
    <w:rsid w:val="00C53836"/>
    <w:rsid w:val="00C53B0B"/>
    <w:rsid w:val="00C53CE3"/>
    <w:rsid w:val="00C54728"/>
    <w:rsid w:val="00C5474D"/>
    <w:rsid w:val="00C54EEC"/>
    <w:rsid w:val="00C55488"/>
    <w:rsid w:val="00C559DE"/>
    <w:rsid w:val="00C560B2"/>
    <w:rsid w:val="00C5690C"/>
    <w:rsid w:val="00C56915"/>
    <w:rsid w:val="00C570A7"/>
    <w:rsid w:val="00C572E7"/>
    <w:rsid w:val="00C575F0"/>
    <w:rsid w:val="00C60923"/>
    <w:rsid w:val="00C60BD9"/>
    <w:rsid w:val="00C60CEA"/>
    <w:rsid w:val="00C60D1F"/>
    <w:rsid w:val="00C60DB7"/>
    <w:rsid w:val="00C60DC6"/>
    <w:rsid w:val="00C60E55"/>
    <w:rsid w:val="00C6148C"/>
    <w:rsid w:val="00C616FC"/>
    <w:rsid w:val="00C6196F"/>
    <w:rsid w:val="00C61B0F"/>
    <w:rsid w:val="00C61BCB"/>
    <w:rsid w:val="00C61D4E"/>
    <w:rsid w:val="00C61E33"/>
    <w:rsid w:val="00C624D3"/>
    <w:rsid w:val="00C62ECE"/>
    <w:rsid w:val="00C6331A"/>
    <w:rsid w:val="00C633ED"/>
    <w:rsid w:val="00C63400"/>
    <w:rsid w:val="00C6476E"/>
    <w:rsid w:val="00C64871"/>
    <w:rsid w:val="00C649DC"/>
    <w:rsid w:val="00C64A34"/>
    <w:rsid w:val="00C64FC1"/>
    <w:rsid w:val="00C65468"/>
    <w:rsid w:val="00C654C1"/>
    <w:rsid w:val="00C6564F"/>
    <w:rsid w:val="00C65677"/>
    <w:rsid w:val="00C65BEC"/>
    <w:rsid w:val="00C661BD"/>
    <w:rsid w:val="00C66351"/>
    <w:rsid w:val="00C66659"/>
    <w:rsid w:val="00C666A5"/>
    <w:rsid w:val="00C66E14"/>
    <w:rsid w:val="00C672A5"/>
    <w:rsid w:val="00C6752D"/>
    <w:rsid w:val="00C67A4B"/>
    <w:rsid w:val="00C67A67"/>
    <w:rsid w:val="00C67D98"/>
    <w:rsid w:val="00C70AD6"/>
    <w:rsid w:val="00C70FB8"/>
    <w:rsid w:val="00C71093"/>
    <w:rsid w:val="00C7132E"/>
    <w:rsid w:val="00C71664"/>
    <w:rsid w:val="00C71817"/>
    <w:rsid w:val="00C718CD"/>
    <w:rsid w:val="00C71C86"/>
    <w:rsid w:val="00C721A0"/>
    <w:rsid w:val="00C72287"/>
    <w:rsid w:val="00C72465"/>
    <w:rsid w:val="00C72B5C"/>
    <w:rsid w:val="00C73657"/>
    <w:rsid w:val="00C73978"/>
    <w:rsid w:val="00C73A1E"/>
    <w:rsid w:val="00C73B0E"/>
    <w:rsid w:val="00C7477A"/>
    <w:rsid w:val="00C74AAA"/>
    <w:rsid w:val="00C74B44"/>
    <w:rsid w:val="00C75AEE"/>
    <w:rsid w:val="00C75C2B"/>
    <w:rsid w:val="00C75E97"/>
    <w:rsid w:val="00C76BE7"/>
    <w:rsid w:val="00C77218"/>
    <w:rsid w:val="00C7747F"/>
    <w:rsid w:val="00C776EB"/>
    <w:rsid w:val="00C80549"/>
    <w:rsid w:val="00C80751"/>
    <w:rsid w:val="00C8075C"/>
    <w:rsid w:val="00C807AB"/>
    <w:rsid w:val="00C8096B"/>
    <w:rsid w:val="00C809E2"/>
    <w:rsid w:val="00C809EF"/>
    <w:rsid w:val="00C80CDA"/>
    <w:rsid w:val="00C80FB6"/>
    <w:rsid w:val="00C81268"/>
    <w:rsid w:val="00C812C1"/>
    <w:rsid w:val="00C81506"/>
    <w:rsid w:val="00C819C0"/>
    <w:rsid w:val="00C81BD9"/>
    <w:rsid w:val="00C81DDF"/>
    <w:rsid w:val="00C81DE7"/>
    <w:rsid w:val="00C81E7C"/>
    <w:rsid w:val="00C81FDF"/>
    <w:rsid w:val="00C823F8"/>
    <w:rsid w:val="00C8296C"/>
    <w:rsid w:val="00C82BDF"/>
    <w:rsid w:val="00C82D03"/>
    <w:rsid w:val="00C82E96"/>
    <w:rsid w:val="00C82EC1"/>
    <w:rsid w:val="00C8317B"/>
    <w:rsid w:val="00C84234"/>
    <w:rsid w:val="00C843A6"/>
    <w:rsid w:val="00C84D92"/>
    <w:rsid w:val="00C84EBE"/>
    <w:rsid w:val="00C84FCE"/>
    <w:rsid w:val="00C85FB2"/>
    <w:rsid w:val="00C867A1"/>
    <w:rsid w:val="00C869B8"/>
    <w:rsid w:val="00C86BAF"/>
    <w:rsid w:val="00C86CF9"/>
    <w:rsid w:val="00C86DA6"/>
    <w:rsid w:val="00C86E44"/>
    <w:rsid w:val="00C87882"/>
    <w:rsid w:val="00C87A48"/>
    <w:rsid w:val="00C87AE7"/>
    <w:rsid w:val="00C87C43"/>
    <w:rsid w:val="00C87EC0"/>
    <w:rsid w:val="00C902AE"/>
    <w:rsid w:val="00C90808"/>
    <w:rsid w:val="00C90865"/>
    <w:rsid w:val="00C90DA7"/>
    <w:rsid w:val="00C90E40"/>
    <w:rsid w:val="00C90E98"/>
    <w:rsid w:val="00C91193"/>
    <w:rsid w:val="00C915D7"/>
    <w:rsid w:val="00C91AF0"/>
    <w:rsid w:val="00C91E74"/>
    <w:rsid w:val="00C91E91"/>
    <w:rsid w:val="00C92040"/>
    <w:rsid w:val="00C92D7C"/>
    <w:rsid w:val="00C9346A"/>
    <w:rsid w:val="00C939DC"/>
    <w:rsid w:val="00C93C17"/>
    <w:rsid w:val="00C93C98"/>
    <w:rsid w:val="00C93DA1"/>
    <w:rsid w:val="00C94193"/>
    <w:rsid w:val="00C947C5"/>
    <w:rsid w:val="00C947FB"/>
    <w:rsid w:val="00C953E4"/>
    <w:rsid w:val="00C95B74"/>
    <w:rsid w:val="00C95B8E"/>
    <w:rsid w:val="00C96EDE"/>
    <w:rsid w:val="00C96F43"/>
    <w:rsid w:val="00C9773A"/>
    <w:rsid w:val="00C9774A"/>
    <w:rsid w:val="00C9783C"/>
    <w:rsid w:val="00CA01F1"/>
    <w:rsid w:val="00CA05D1"/>
    <w:rsid w:val="00CA087F"/>
    <w:rsid w:val="00CA08D6"/>
    <w:rsid w:val="00CA099A"/>
    <w:rsid w:val="00CA09CF"/>
    <w:rsid w:val="00CA0BE1"/>
    <w:rsid w:val="00CA0DC3"/>
    <w:rsid w:val="00CA0E0D"/>
    <w:rsid w:val="00CA1090"/>
    <w:rsid w:val="00CA1704"/>
    <w:rsid w:val="00CA1F09"/>
    <w:rsid w:val="00CA25C6"/>
    <w:rsid w:val="00CA2BEB"/>
    <w:rsid w:val="00CA2C69"/>
    <w:rsid w:val="00CA3662"/>
    <w:rsid w:val="00CA4026"/>
    <w:rsid w:val="00CA45A2"/>
    <w:rsid w:val="00CA489D"/>
    <w:rsid w:val="00CA4F9F"/>
    <w:rsid w:val="00CA50DD"/>
    <w:rsid w:val="00CA52B2"/>
    <w:rsid w:val="00CA54F1"/>
    <w:rsid w:val="00CA5546"/>
    <w:rsid w:val="00CA5736"/>
    <w:rsid w:val="00CA5CB2"/>
    <w:rsid w:val="00CA5E86"/>
    <w:rsid w:val="00CA6ECD"/>
    <w:rsid w:val="00CA706D"/>
    <w:rsid w:val="00CA720E"/>
    <w:rsid w:val="00CA7679"/>
    <w:rsid w:val="00CA7788"/>
    <w:rsid w:val="00CA799C"/>
    <w:rsid w:val="00CA7D2D"/>
    <w:rsid w:val="00CA7FFA"/>
    <w:rsid w:val="00CB0229"/>
    <w:rsid w:val="00CB08B9"/>
    <w:rsid w:val="00CB0ED8"/>
    <w:rsid w:val="00CB122A"/>
    <w:rsid w:val="00CB1A99"/>
    <w:rsid w:val="00CB2047"/>
    <w:rsid w:val="00CB2B9E"/>
    <w:rsid w:val="00CB2CDC"/>
    <w:rsid w:val="00CB3014"/>
    <w:rsid w:val="00CB34DC"/>
    <w:rsid w:val="00CB3642"/>
    <w:rsid w:val="00CB3F36"/>
    <w:rsid w:val="00CB41FC"/>
    <w:rsid w:val="00CB446B"/>
    <w:rsid w:val="00CB4841"/>
    <w:rsid w:val="00CB4C2D"/>
    <w:rsid w:val="00CB4C2E"/>
    <w:rsid w:val="00CB4D40"/>
    <w:rsid w:val="00CB4F42"/>
    <w:rsid w:val="00CB4F69"/>
    <w:rsid w:val="00CB53E1"/>
    <w:rsid w:val="00CB577F"/>
    <w:rsid w:val="00CB57BE"/>
    <w:rsid w:val="00CB5A45"/>
    <w:rsid w:val="00CB5B12"/>
    <w:rsid w:val="00CB5C56"/>
    <w:rsid w:val="00CB5E41"/>
    <w:rsid w:val="00CB5E90"/>
    <w:rsid w:val="00CB5FBE"/>
    <w:rsid w:val="00CB6244"/>
    <w:rsid w:val="00CB64BE"/>
    <w:rsid w:val="00CB6915"/>
    <w:rsid w:val="00CB6B90"/>
    <w:rsid w:val="00CB73A6"/>
    <w:rsid w:val="00CC00C6"/>
    <w:rsid w:val="00CC0339"/>
    <w:rsid w:val="00CC045F"/>
    <w:rsid w:val="00CC0512"/>
    <w:rsid w:val="00CC0639"/>
    <w:rsid w:val="00CC0E4C"/>
    <w:rsid w:val="00CC108B"/>
    <w:rsid w:val="00CC1241"/>
    <w:rsid w:val="00CC1418"/>
    <w:rsid w:val="00CC1860"/>
    <w:rsid w:val="00CC1A8C"/>
    <w:rsid w:val="00CC1CD8"/>
    <w:rsid w:val="00CC1DAD"/>
    <w:rsid w:val="00CC22B2"/>
    <w:rsid w:val="00CC255A"/>
    <w:rsid w:val="00CC2967"/>
    <w:rsid w:val="00CC2ED6"/>
    <w:rsid w:val="00CC3175"/>
    <w:rsid w:val="00CC327A"/>
    <w:rsid w:val="00CC33DE"/>
    <w:rsid w:val="00CC3D51"/>
    <w:rsid w:val="00CC42E1"/>
    <w:rsid w:val="00CC4C13"/>
    <w:rsid w:val="00CC583C"/>
    <w:rsid w:val="00CC59B7"/>
    <w:rsid w:val="00CC5C33"/>
    <w:rsid w:val="00CC632B"/>
    <w:rsid w:val="00CC63D1"/>
    <w:rsid w:val="00CC6E72"/>
    <w:rsid w:val="00CC6EB9"/>
    <w:rsid w:val="00CC7062"/>
    <w:rsid w:val="00CC714A"/>
    <w:rsid w:val="00CC7257"/>
    <w:rsid w:val="00CC76E2"/>
    <w:rsid w:val="00CC7715"/>
    <w:rsid w:val="00CC7728"/>
    <w:rsid w:val="00CC7813"/>
    <w:rsid w:val="00CC7B18"/>
    <w:rsid w:val="00CC7F29"/>
    <w:rsid w:val="00CD0601"/>
    <w:rsid w:val="00CD0852"/>
    <w:rsid w:val="00CD0A98"/>
    <w:rsid w:val="00CD0BC5"/>
    <w:rsid w:val="00CD0D85"/>
    <w:rsid w:val="00CD0E92"/>
    <w:rsid w:val="00CD0FB3"/>
    <w:rsid w:val="00CD16E6"/>
    <w:rsid w:val="00CD1E58"/>
    <w:rsid w:val="00CD24A9"/>
    <w:rsid w:val="00CD2553"/>
    <w:rsid w:val="00CD2B9D"/>
    <w:rsid w:val="00CD2CB6"/>
    <w:rsid w:val="00CD2DEE"/>
    <w:rsid w:val="00CD3796"/>
    <w:rsid w:val="00CD3D49"/>
    <w:rsid w:val="00CD405E"/>
    <w:rsid w:val="00CD40EF"/>
    <w:rsid w:val="00CD42E9"/>
    <w:rsid w:val="00CD4510"/>
    <w:rsid w:val="00CD4775"/>
    <w:rsid w:val="00CD57BA"/>
    <w:rsid w:val="00CD5FB1"/>
    <w:rsid w:val="00CD61F8"/>
    <w:rsid w:val="00CD6517"/>
    <w:rsid w:val="00CD6977"/>
    <w:rsid w:val="00CD6B23"/>
    <w:rsid w:val="00CD6CE3"/>
    <w:rsid w:val="00CD7902"/>
    <w:rsid w:val="00CE0293"/>
    <w:rsid w:val="00CE03C7"/>
    <w:rsid w:val="00CE1576"/>
    <w:rsid w:val="00CE19E8"/>
    <w:rsid w:val="00CE1E19"/>
    <w:rsid w:val="00CE1EC4"/>
    <w:rsid w:val="00CE1F46"/>
    <w:rsid w:val="00CE1FAA"/>
    <w:rsid w:val="00CE2076"/>
    <w:rsid w:val="00CE20D0"/>
    <w:rsid w:val="00CE2359"/>
    <w:rsid w:val="00CE2E34"/>
    <w:rsid w:val="00CE33D9"/>
    <w:rsid w:val="00CE3808"/>
    <w:rsid w:val="00CE3848"/>
    <w:rsid w:val="00CE3B2C"/>
    <w:rsid w:val="00CE4321"/>
    <w:rsid w:val="00CE4880"/>
    <w:rsid w:val="00CE4BA3"/>
    <w:rsid w:val="00CE4E98"/>
    <w:rsid w:val="00CE4F34"/>
    <w:rsid w:val="00CE4F5F"/>
    <w:rsid w:val="00CE53CE"/>
    <w:rsid w:val="00CE5676"/>
    <w:rsid w:val="00CE56E4"/>
    <w:rsid w:val="00CE5983"/>
    <w:rsid w:val="00CE5BE3"/>
    <w:rsid w:val="00CE5C2D"/>
    <w:rsid w:val="00CE5D9E"/>
    <w:rsid w:val="00CE5DA0"/>
    <w:rsid w:val="00CE6738"/>
    <w:rsid w:val="00CE6F82"/>
    <w:rsid w:val="00CE712E"/>
    <w:rsid w:val="00CE73D5"/>
    <w:rsid w:val="00CE7648"/>
    <w:rsid w:val="00CE78AC"/>
    <w:rsid w:val="00CE7C87"/>
    <w:rsid w:val="00CE7ECD"/>
    <w:rsid w:val="00CF01F1"/>
    <w:rsid w:val="00CF0287"/>
    <w:rsid w:val="00CF04DF"/>
    <w:rsid w:val="00CF0556"/>
    <w:rsid w:val="00CF0A34"/>
    <w:rsid w:val="00CF0A86"/>
    <w:rsid w:val="00CF0FBA"/>
    <w:rsid w:val="00CF10A6"/>
    <w:rsid w:val="00CF12F0"/>
    <w:rsid w:val="00CF1453"/>
    <w:rsid w:val="00CF14F2"/>
    <w:rsid w:val="00CF165F"/>
    <w:rsid w:val="00CF1B47"/>
    <w:rsid w:val="00CF1D2E"/>
    <w:rsid w:val="00CF1D73"/>
    <w:rsid w:val="00CF1F29"/>
    <w:rsid w:val="00CF22D2"/>
    <w:rsid w:val="00CF2357"/>
    <w:rsid w:val="00CF2664"/>
    <w:rsid w:val="00CF26F5"/>
    <w:rsid w:val="00CF2CC9"/>
    <w:rsid w:val="00CF33AA"/>
    <w:rsid w:val="00CF36D1"/>
    <w:rsid w:val="00CF3B59"/>
    <w:rsid w:val="00CF4088"/>
    <w:rsid w:val="00CF49DB"/>
    <w:rsid w:val="00CF4AF4"/>
    <w:rsid w:val="00CF5055"/>
    <w:rsid w:val="00CF5114"/>
    <w:rsid w:val="00CF5CCC"/>
    <w:rsid w:val="00CF5FF1"/>
    <w:rsid w:val="00CF600E"/>
    <w:rsid w:val="00CF6149"/>
    <w:rsid w:val="00CF673C"/>
    <w:rsid w:val="00CF674E"/>
    <w:rsid w:val="00CF67D2"/>
    <w:rsid w:val="00CF6B18"/>
    <w:rsid w:val="00CF6F92"/>
    <w:rsid w:val="00CF70E2"/>
    <w:rsid w:val="00CF70F3"/>
    <w:rsid w:val="00CF716F"/>
    <w:rsid w:val="00CF736C"/>
    <w:rsid w:val="00CF7A9B"/>
    <w:rsid w:val="00D01080"/>
    <w:rsid w:val="00D011AA"/>
    <w:rsid w:val="00D013A9"/>
    <w:rsid w:val="00D0144D"/>
    <w:rsid w:val="00D01B73"/>
    <w:rsid w:val="00D021B3"/>
    <w:rsid w:val="00D023AD"/>
    <w:rsid w:val="00D02902"/>
    <w:rsid w:val="00D02E46"/>
    <w:rsid w:val="00D02EF4"/>
    <w:rsid w:val="00D0330B"/>
    <w:rsid w:val="00D035A0"/>
    <w:rsid w:val="00D03D0C"/>
    <w:rsid w:val="00D0434E"/>
    <w:rsid w:val="00D0444C"/>
    <w:rsid w:val="00D05076"/>
    <w:rsid w:val="00D054DA"/>
    <w:rsid w:val="00D05981"/>
    <w:rsid w:val="00D05B7D"/>
    <w:rsid w:val="00D05BD1"/>
    <w:rsid w:val="00D06270"/>
    <w:rsid w:val="00D0642A"/>
    <w:rsid w:val="00D064C7"/>
    <w:rsid w:val="00D06946"/>
    <w:rsid w:val="00D06AAC"/>
    <w:rsid w:val="00D06E17"/>
    <w:rsid w:val="00D06F72"/>
    <w:rsid w:val="00D072E2"/>
    <w:rsid w:val="00D0738F"/>
    <w:rsid w:val="00D0766D"/>
    <w:rsid w:val="00D07991"/>
    <w:rsid w:val="00D1072B"/>
    <w:rsid w:val="00D10829"/>
    <w:rsid w:val="00D10E7E"/>
    <w:rsid w:val="00D116A6"/>
    <w:rsid w:val="00D116DE"/>
    <w:rsid w:val="00D11B14"/>
    <w:rsid w:val="00D11D9E"/>
    <w:rsid w:val="00D120A7"/>
    <w:rsid w:val="00D1245E"/>
    <w:rsid w:val="00D12485"/>
    <w:rsid w:val="00D1279B"/>
    <w:rsid w:val="00D12AC9"/>
    <w:rsid w:val="00D13108"/>
    <w:rsid w:val="00D1318A"/>
    <w:rsid w:val="00D1376D"/>
    <w:rsid w:val="00D13FCB"/>
    <w:rsid w:val="00D142DA"/>
    <w:rsid w:val="00D14464"/>
    <w:rsid w:val="00D14758"/>
    <w:rsid w:val="00D14E6C"/>
    <w:rsid w:val="00D151CD"/>
    <w:rsid w:val="00D156D7"/>
    <w:rsid w:val="00D15826"/>
    <w:rsid w:val="00D15976"/>
    <w:rsid w:val="00D168F9"/>
    <w:rsid w:val="00D16B4B"/>
    <w:rsid w:val="00D16D12"/>
    <w:rsid w:val="00D16E92"/>
    <w:rsid w:val="00D17357"/>
    <w:rsid w:val="00D17486"/>
    <w:rsid w:val="00D175C4"/>
    <w:rsid w:val="00D17A22"/>
    <w:rsid w:val="00D17B0F"/>
    <w:rsid w:val="00D17BB5"/>
    <w:rsid w:val="00D203E6"/>
    <w:rsid w:val="00D2053C"/>
    <w:rsid w:val="00D2138D"/>
    <w:rsid w:val="00D216DB"/>
    <w:rsid w:val="00D21FB0"/>
    <w:rsid w:val="00D22471"/>
    <w:rsid w:val="00D2290B"/>
    <w:rsid w:val="00D22915"/>
    <w:rsid w:val="00D231DE"/>
    <w:rsid w:val="00D2385E"/>
    <w:rsid w:val="00D2461F"/>
    <w:rsid w:val="00D2473C"/>
    <w:rsid w:val="00D24A24"/>
    <w:rsid w:val="00D24BCD"/>
    <w:rsid w:val="00D25638"/>
    <w:rsid w:val="00D25815"/>
    <w:rsid w:val="00D25C8F"/>
    <w:rsid w:val="00D25EE2"/>
    <w:rsid w:val="00D26276"/>
    <w:rsid w:val="00D26650"/>
    <w:rsid w:val="00D266C1"/>
    <w:rsid w:val="00D26989"/>
    <w:rsid w:val="00D26AEE"/>
    <w:rsid w:val="00D26BF6"/>
    <w:rsid w:val="00D26D92"/>
    <w:rsid w:val="00D26F6A"/>
    <w:rsid w:val="00D2776D"/>
    <w:rsid w:val="00D277C8"/>
    <w:rsid w:val="00D27897"/>
    <w:rsid w:val="00D27AD9"/>
    <w:rsid w:val="00D27B20"/>
    <w:rsid w:val="00D27D8C"/>
    <w:rsid w:val="00D300F9"/>
    <w:rsid w:val="00D3043E"/>
    <w:rsid w:val="00D30EED"/>
    <w:rsid w:val="00D30F92"/>
    <w:rsid w:val="00D3101C"/>
    <w:rsid w:val="00D31292"/>
    <w:rsid w:val="00D31793"/>
    <w:rsid w:val="00D31B25"/>
    <w:rsid w:val="00D320FF"/>
    <w:rsid w:val="00D3253F"/>
    <w:rsid w:val="00D327FB"/>
    <w:rsid w:val="00D3291D"/>
    <w:rsid w:val="00D32E8F"/>
    <w:rsid w:val="00D32ECB"/>
    <w:rsid w:val="00D32F11"/>
    <w:rsid w:val="00D32FCE"/>
    <w:rsid w:val="00D33043"/>
    <w:rsid w:val="00D334C6"/>
    <w:rsid w:val="00D337D5"/>
    <w:rsid w:val="00D33E6F"/>
    <w:rsid w:val="00D34ADD"/>
    <w:rsid w:val="00D35458"/>
    <w:rsid w:val="00D35804"/>
    <w:rsid w:val="00D35CAC"/>
    <w:rsid w:val="00D35E12"/>
    <w:rsid w:val="00D35E5C"/>
    <w:rsid w:val="00D36111"/>
    <w:rsid w:val="00D36235"/>
    <w:rsid w:val="00D36751"/>
    <w:rsid w:val="00D36E6C"/>
    <w:rsid w:val="00D36E6D"/>
    <w:rsid w:val="00D37291"/>
    <w:rsid w:val="00D374D0"/>
    <w:rsid w:val="00D3781D"/>
    <w:rsid w:val="00D37AED"/>
    <w:rsid w:val="00D37EFA"/>
    <w:rsid w:val="00D400D5"/>
    <w:rsid w:val="00D40351"/>
    <w:rsid w:val="00D4062F"/>
    <w:rsid w:val="00D40967"/>
    <w:rsid w:val="00D40F20"/>
    <w:rsid w:val="00D40F82"/>
    <w:rsid w:val="00D4180F"/>
    <w:rsid w:val="00D43963"/>
    <w:rsid w:val="00D441A5"/>
    <w:rsid w:val="00D4428A"/>
    <w:rsid w:val="00D44C29"/>
    <w:rsid w:val="00D45025"/>
    <w:rsid w:val="00D45374"/>
    <w:rsid w:val="00D454D6"/>
    <w:rsid w:val="00D45AA5"/>
    <w:rsid w:val="00D45D1A"/>
    <w:rsid w:val="00D4607B"/>
    <w:rsid w:val="00D4619B"/>
    <w:rsid w:val="00D4645C"/>
    <w:rsid w:val="00D468E8"/>
    <w:rsid w:val="00D46997"/>
    <w:rsid w:val="00D469D7"/>
    <w:rsid w:val="00D46BEC"/>
    <w:rsid w:val="00D46EC8"/>
    <w:rsid w:val="00D46F09"/>
    <w:rsid w:val="00D472BD"/>
    <w:rsid w:val="00D47522"/>
    <w:rsid w:val="00D4797D"/>
    <w:rsid w:val="00D47BD1"/>
    <w:rsid w:val="00D504F1"/>
    <w:rsid w:val="00D50687"/>
    <w:rsid w:val="00D50DE1"/>
    <w:rsid w:val="00D50FA3"/>
    <w:rsid w:val="00D519AF"/>
    <w:rsid w:val="00D52890"/>
    <w:rsid w:val="00D52A0A"/>
    <w:rsid w:val="00D533F4"/>
    <w:rsid w:val="00D5385E"/>
    <w:rsid w:val="00D5391F"/>
    <w:rsid w:val="00D53C03"/>
    <w:rsid w:val="00D544B4"/>
    <w:rsid w:val="00D544F3"/>
    <w:rsid w:val="00D5463E"/>
    <w:rsid w:val="00D54C55"/>
    <w:rsid w:val="00D54C67"/>
    <w:rsid w:val="00D5529F"/>
    <w:rsid w:val="00D553B5"/>
    <w:rsid w:val="00D553F1"/>
    <w:rsid w:val="00D55410"/>
    <w:rsid w:val="00D556E7"/>
    <w:rsid w:val="00D556F6"/>
    <w:rsid w:val="00D55FF3"/>
    <w:rsid w:val="00D56538"/>
    <w:rsid w:val="00D565C6"/>
    <w:rsid w:val="00D5670E"/>
    <w:rsid w:val="00D5675D"/>
    <w:rsid w:val="00D5691C"/>
    <w:rsid w:val="00D56B47"/>
    <w:rsid w:val="00D56D34"/>
    <w:rsid w:val="00D56F45"/>
    <w:rsid w:val="00D57E99"/>
    <w:rsid w:val="00D57FA6"/>
    <w:rsid w:val="00D609C5"/>
    <w:rsid w:val="00D60AED"/>
    <w:rsid w:val="00D60B53"/>
    <w:rsid w:val="00D60BFF"/>
    <w:rsid w:val="00D60D8E"/>
    <w:rsid w:val="00D60EDE"/>
    <w:rsid w:val="00D61038"/>
    <w:rsid w:val="00D611F8"/>
    <w:rsid w:val="00D616E2"/>
    <w:rsid w:val="00D6171F"/>
    <w:rsid w:val="00D62172"/>
    <w:rsid w:val="00D621F2"/>
    <w:rsid w:val="00D623D7"/>
    <w:rsid w:val="00D6249D"/>
    <w:rsid w:val="00D62905"/>
    <w:rsid w:val="00D6340E"/>
    <w:rsid w:val="00D63B69"/>
    <w:rsid w:val="00D63C01"/>
    <w:rsid w:val="00D63C66"/>
    <w:rsid w:val="00D63EF9"/>
    <w:rsid w:val="00D64134"/>
    <w:rsid w:val="00D641F1"/>
    <w:rsid w:val="00D64210"/>
    <w:rsid w:val="00D6490E"/>
    <w:rsid w:val="00D64EBA"/>
    <w:rsid w:val="00D6552C"/>
    <w:rsid w:val="00D65B1E"/>
    <w:rsid w:val="00D6652A"/>
    <w:rsid w:val="00D66CE7"/>
    <w:rsid w:val="00D66E6B"/>
    <w:rsid w:val="00D670B7"/>
    <w:rsid w:val="00D676A5"/>
    <w:rsid w:val="00D67B4C"/>
    <w:rsid w:val="00D701E3"/>
    <w:rsid w:val="00D70757"/>
    <w:rsid w:val="00D70968"/>
    <w:rsid w:val="00D70A4A"/>
    <w:rsid w:val="00D710EF"/>
    <w:rsid w:val="00D71978"/>
    <w:rsid w:val="00D71B07"/>
    <w:rsid w:val="00D71F48"/>
    <w:rsid w:val="00D720BF"/>
    <w:rsid w:val="00D7229F"/>
    <w:rsid w:val="00D725B0"/>
    <w:rsid w:val="00D72765"/>
    <w:rsid w:val="00D72A65"/>
    <w:rsid w:val="00D72AA5"/>
    <w:rsid w:val="00D72DCF"/>
    <w:rsid w:val="00D72FC2"/>
    <w:rsid w:val="00D73110"/>
    <w:rsid w:val="00D73A4D"/>
    <w:rsid w:val="00D73B5F"/>
    <w:rsid w:val="00D73E69"/>
    <w:rsid w:val="00D73FC2"/>
    <w:rsid w:val="00D740AD"/>
    <w:rsid w:val="00D740F6"/>
    <w:rsid w:val="00D74198"/>
    <w:rsid w:val="00D74324"/>
    <w:rsid w:val="00D74366"/>
    <w:rsid w:val="00D747B1"/>
    <w:rsid w:val="00D74B61"/>
    <w:rsid w:val="00D75251"/>
    <w:rsid w:val="00D752E3"/>
    <w:rsid w:val="00D754D5"/>
    <w:rsid w:val="00D75979"/>
    <w:rsid w:val="00D75D82"/>
    <w:rsid w:val="00D75EF6"/>
    <w:rsid w:val="00D761DC"/>
    <w:rsid w:val="00D7681A"/>
    <w:rsid w:val="00D76950"/>
    <w:rsid w:val="00D76D25"/>
    <w:rsid w:val="00D76D33"/>
    <w:rsid w:val="00D77261"/>
    <w:rsid w:val="00D773CA"/>
    <w:rsid w:val="00D815BC"/>
    <w:rsid w:val="00D81661"/>
    <w:rsid w:val="00D8177C"/>
    <w:rsid w:val="00D81A0C"/>
    <w:rsid w:val="00D81F53"/>
    <w:rsid w:val="00D821E5"/>
    <w:rsid w:val="00D825FA"/>
    <w:rsid w:val="00D82A71"/>
    <w:rsid w:val="00D82DB1"/>
    <w:rsid w:val="00D83288"/>
    <w:rsid w:val="00D83B6D"/>
    <w:rsid w:val="00D8456E"/>
    <w:rsid w:val="00D84835"/>
    <w:rsid w:val="00D84C31"/>
    <w:rsid w:val="00D85131"/>
    <w:rsid w:val="00D8549F"/>
    <w:rsid w:val="00D85BEC"/>
    <w:rsid w:val="00D85C93"/>
    <w:rsid w:val="00D85DC1"/>
    <w:rsid w:val="00D85EBF"/>
    <w:rsid w:val="00D86422"/>
    <w:rsid w:val="00D86613"/>
    <w:rsid w:val="00D86639"/>
    <w:rsid w:val="00D867D4"/>
    <w:rsid w:val="00D870B3"/>
    <w:rsid w:val="00D8727A"/>
    <w:rsid w:val="00D87A00"/>
    <w:rsid w:val="00D87A7F"/>
    <w:rsid w:val="00D87DBC"/>
    <w:rsid w:val="00D9008C"/>
    <w:rsid w:val="00D90396"/>
    <w:rsid w:val="00D907C4"/>
    <w:rsid w:val="00D90C7E"/>
    <w:rsid w:val="00D90FB2"/>
    <w:rsid w:val="00D9103A"/>
    <w:rsid w:val="00D913BB"/>
    <w:rsid w:val="00D9155C"/>
    <w:rsid w:val="00D9176A"/>
    <w:rsid w:val="00D91F69"/>
    <w:rsid w:val="00D9201B"/>
    <w:rsid w:val="00D92049"/>
    <w:rsid w:val="00D92056"/>
    <w:rsid w:val="00D920E1"/>
    <w:rsid w:val="00D92A98"/>
    <w:rsid w:val="00D92FA1"/>
    <w:rsid w:val="00D93164"/>
    <w:rsid w:val="00D931A1"/>
    <w:rsid w:val="00D931BD"/>
    <w:rsid w:val="00D93261"/>
    <w:rsid w:val="00D934B3"/>
    <w:rsid w:val="00D93CFC"/>
    <w:rsid w:val="00D93D82"/>
    <w:rsid w:val="00D94156"/>
    <w:rsid w:val="00D943C0"/>
    <w:rsid w:val="00D94DDC"/>
    <w:rsid w:val="00D9542C"/>
    <w:rsid w:val="00D95562"/>
    <w:rsid w:val="00D958BB"/>
    <w:rsid w:val="00D95AF1"/>
    <w:rsid w:val="00D96063"/>
    <w:rsid w:val="00D9675A"/>
    <w:rsid w:val="00D96BAB"/>
    <w:rsid w:val="00D9708B"/>
    <w:rsid w:val="00D972A1"/>
    <w:rsid w:val="00D973AE"/>
    <w:rsid w:val="00D973E4"/>
    <w:rsid w:val="00D97B5F"/>
    <w:rsid w:val="00D97BEC"/>
    <w:rsid w:val="00DA0129"/>
    <w:rsid w:val="00DA0370"/>
    <w:rsid w:val="00DA04B2"/>
    <w:rsid w:val="00DA081D"/>
    <w:rsid w:val="00DA0D7D"/>
    <w:rsid w:val="00DA0E7D"/>
    <w:rsid w:val="00DA0FFB"/>
    <w:rsid w:val="00DA16CC"/>
    <w:rsid w:val="00DA1ED8"/>
    <w:rsid w:val="00DA1ED9"/>
    <w:rsid w:val="00DA1F6D"/>
    <w:rsid w:val="00DA20B4"/>
    <w:rsid w:val="00DA293C"/>
    <w:rsid w:val="00DA2CFD"/>
    <w:rsid w:val="00DA350D"/>
    <w:rsid w:val="00DA361C"/>
    <w:rsid w:val="00DA3A3B"/>
    <w:rsid w:val="00DA3B1F"/>
    <w:rsid w:val="00DA3C73"/>
    <w:rsid w:val="00DA3E39"/>
    <w:rsid w:val="00DA3EFA"/>
    <w:rsid w:val="00DA40CD"/>
    <w:rsid w:val="00DA40DC"/>
    <w:rsid w:val="00DA44A4"/>
    <w:rsid w:val="00DA4846"/>
    <w:rsid w:val="00DA4AD1"/>
    <w:rsid w:val="00DA4BB7"/>
    <w:rsid w:val="00DA4CE9"/>
    <w:rsid w:val="00DA4EEE"/>
    <w:rsid w:val="00DA5049"/>
    <w:rsid w:val="00DA5468"/>
    <w:rsid w:val="00DA5678"/>
    <w:rsid w:val="00DA5B6F"/>
    <w:rsid w:val="00DA5E6E"/>
    <w:rsid w:val="00DA64F8"/>
    <w:rsid w:val="00DA6785"/>
    <w:rsid w:val="00DA6E78"/>
    <w:rsid w:val="00DA6EA5"/>
    <w:rsid w:val="00DA7487"/>
    <w:rsid w:val="00DA797F"/>
    <w:rsid w:val="00DA7A4B"/>
    <w:rsid w:val="00DA7A8E"/>
    <w:rsid w:val="00DA7C0F"/>
    <w:rsid w:val="00DA7E9E"/>
    <w:rsid w:val="00DB038A"/>
    <w:rsid w:val="00DB0A13"/>
    <w:rsid w:val="00DB0CDF"/>
    <w:rsid w:val="00DB0ECF"/>
    <w:rsid w:val="00DB127F"/>
    <w:rsid w:val="00DB1F5C"/>
    <w:rsid w:val="00DB272E"/>
    <w:rsid w:val="00DB2951"/>
    <w:rsid w:val="00DB2B88"/>
    <w:rsid w:val="00DB2CBF"/>
    <w:rsid w:val="00DB2EC5"/>
    <w:rsid w:val="00DB2EFC"/>
    <w:rsid w:val="00DB354D"/>
    <w:rsid w:val="00DB35A0"/>
    <w:rsid w:val="00DB35A3"/>
    <w:rsid w:val="00DB37DC"/>
    <w:rsid w:val="00DB4348"/>
    <w:rsid w:val="00DB443C"/>
    <w:rsid w:val="00DB4B43"/>
    <w:rsid w:val="00DB4EFE"/>
    <w:rsid w:val="00DB52B4"/>
    <w:rsid w:val="00DB55E1"/>
    <w:rsid w:val="00DB572F"/>
    <w:rsid w:val="00DB5C4B"/>
    <w:rsid w:val="00DB615C"/>
    <w:rsid w:val="00DB643D"/>
    <w:rsid w:val="00DB681B"/>
    <w:rsid w:val="00DB6843"/>
    <w:rsid w:val="00DB6891"/>
    <w:rsid w:val="00DB69FF"/>
    <w:rsid w:val="00DB6CE2"/>
    <w:rsid w:val="00DB6D2D"/>
    <w:rsid w:val="00DB7247"/>
    <w:rsid w:val="00DB7326"/>
    <w:rsid w:val="00DB7466"/>
    <w:rsid w:val="00DB75C8"/>
    <w:rsid w:val="00DC0432"/>
    <w:rsid w:val="00DC0452"/>
    <w:rsid w:val="00DC1A1E"/>
    <w:rsid w:val="00DC1B11"/>
    <w:rsid w:val="00DC1CEA"/>
    <w:rsid w:val="00DC25E9"/>
    <w:rsid w:val="00DC2D80"/>
    <w:rsid w:val="00DC314E"/>
    <w:rsid w:val="00DC3923"/>
    <w:rsid w:val="00DC3D5D"/>
    <w:rsid w:val="00DC44C9"/>
    <w:rsid w:val="00DC4677"/>
    <w:rsid w:val="00DC4C16"/>
    <w:rsid w:val="00DC506C"/>
    <w:rsid w:val="00DC5410"/>
    <w:rsid w:val="00DC5700"/>
    <w:rsid w:val="00DC5B6F"/>
    <w:rsid w:val="00DC5F1F"/>
    <w:rsid w:val="00DC606B"/>
    <w:rsid w:val="00DC6413"/>
    <w:rsid w:val="00DC68C6"/>
    <w:rsid w:val="00DC6BF8"/>
    <w:rsid w:val="00DC7179"/>
    <w:rsid w:val="00DC78E8"/>
    <w:rsid w:val="00DC7AE1"/>
    <w:rsid w:val="00DC7D21"/>
    <w:rsid w:val="00DD0081"/>
    <w:rsid w:val="00DD0464"/>
    <w:rsid w:val="00DD064C"/>
    <w:rsid w:val="00DD131C"/>
    <w:rsid w:val="00DD155F"/>
    <w:rsid w:val="00DD16FC"/>
    <w:rsid w:val="00DD1DD0"/>
    <w:rsid w:val="00DD2927"/>
    <w:rsid w:val="00DD2B9A"/>
    <w:rsid w:val="00DD3682"/>
    <w:rsid w:val="00DD39F2"/>
    <w:rsid w:val="00DD3C3D"/>
    <w:rsid w:val="00DD3F55"/>
    <w:rsid w:val="00DD3F5B"/>
    <w:rsid w:val="00DD4227"/>
    <w:rsid w:val="00DD42B7"/>
    <w:rsid w:val="00DD46BB"/>
    <w:rsid w:val="00DD481E"/>
    <w:rsid w:val="00DD4AC9"/>
    <w:rsid w:val="00DD4AD8"/>
    <w:rsid w:val="00DD4E6B"/>
    <w:rsid w:val="00DD50A9"/>
    <w:rsid w:val="00DD57A8"/>
    <w:rsid w:val="00DD5849"/>
    <w:rsid w:val="00DD5B80"/>
    <w:rsid w:val="00DD60C4"/>
    <w:rsid w:val="00DD6547"/>
    <w:rsid w:val="00DD7144"/>
    <w:rsid w:val="00DD7A26"/>
    <w:rsid w:val="00DD7A34"/>
    <w:rsid w:val="00DD7B02"/>
    <w:rsid w:val="00DE05BD"/>
    <w:rsid w:val="00DE07FF"/>
    <w:rsid w:val="00DE095E"/>
    <w:rsid w:val="00DE0BEE"/>
    <w:rsid w:val="00DE0C5B"/>
    <w:rsid w:val="00DE107D"/>
    <w:rsid w:val="00DE1098"/>
    <w:rsid w:val="00DE11B3"/>
    <w:rsid w:val="00DE12E1"/>
    <w:rsid w:val="00DE1310"/>
    <w:rsid w:val="00DE1462"/>
    <w:rsid w:val="00DE15AF"/>
    <w:rsid w:val="00DE2453"/>
    <w:rsid w:val="00DE2643"/>
    <w:rsid w:val="00DE2A19"/>
    <w:rsid w:val="00DE2BCF"/>
    <w:rsid w:val="00DE2EF3"/>
    <w:rsid w:val="00DE2F95"/>
    <w:rsid w:val="00DE30A9"/>
    <w:rsid w:val="00DE407F"/>
    <w:rsid w:val="00DE4228"/>
    <w:rsid w:val="00DE429A"/>
    <w:rsid w:val="00DE44F1"/>
    <w:rsid w:val="00DE458A"/>
    <w:rsid w:val="00DE45D3"/>
    <w:rsid w:val="00DE4A3E"/>
    <w:rsid w:val="00DE5641"/>
    <w:rsid w:val="00DE5C21"/>
    <w:rsid w:val="00DE5C5C"/>
    <w:rsid w:val="00DE5DB5"/>
    <w:rsid w:val="00DE5E64"/>
    <w:rsid w:val="00DE610D"/>
    <w:rsid w:val="00DE6609"/>
    <w:rsid w:val="00DE6A06"/>
    <w:rsid w:val="00DE6CA6"/>
    <w:rsid w:val="00DE6D10"/>
    <w:rsid w:val="00DE6DA0"/>
    <w:rsid w:val="00DE703D"/>
    <w:rsid w:val="00DE7152"/>
    <w:rsid w:val="00DE7D2A"/>
    <w:rsid w:val="00DF0023"/>
    <w:rsid w:val="00DF011B"/>
    <w:rsid w:val="00DF1B55"/>
    <w:rsid w:val="00DF1C17"/>
    <w:rsid w:val="00DF1CB7"/>
    <w:rsid w:val="00DF1FE8"/>
    <w:rsid w:val="00DF2235"/>
    <w:rsid w:val="00DF24D1"/>
    <w:rsid w:val="00DF2B9A"/>
    <w:rsid w:val="00DF2E54"/>
    <w:rsid w:val="00DF342B"/>
    <w:rsid w:val="00DF3545"/>
    <w:rsid w:val="00DF3B5F"/>
    <w:rsid w:val="00DF3C0B"/>
    <w:rsid w:val="00DF3D12"/>
    <w:rsid w:val="00DF3E2B"/>
    <w:rsid w:val="00DF4229"/>
    <w:rsid w:val="00DF467A"/>
    <w:rsid w:val="00DF471B"/>
    <w:rsid w:val="00DF4D0E"/>
    <w:rsid w:val="00DF4EB9"/>
    <w:rsid w:val="00DF5177"/>
    <w:rsid w:val="00DF553B"/>
    <w:rsid w:val="00DF566E"/>
    <w:rsid w:val="00DF5949"/>
    <w:rsid w:val="00DF63AC"/>
    <w:rsid w:val="00DF64E9"/>
    <w:rsid w:val="00DF64EA"/>
    <w:rsid w:val="00DF6675"/>
    <w:rsid w:val="00DF6A2B"/>
    <w:rsid w:val="00DF6A7F"/>
    <w:rsid w:val="00DF6AEB"/>
    <w:rsid w:val="00DF6C29"/>
    <w:rsid w:val="00DF6E79"/>
    <w:rsid w:val="00DF6F7F"/>
    <w:rsid w:val="00DF711E"/>
    <w:rsid w:val="00DF7328"/>
    <w:rsid w:val="00DF7355"/>
    <w:rsid w:val="00DF76AE"/>
    <w:rsid w:val="00DF79F8"/>
    <w:rsid w:val="00DF7CD9"/>
    <w:rsid w:val="00E00267"/>
    <w:rsid w:val="00E0042E"/>
    <w:rsid w:val="00E00820"/>
    <w:rsid w:val="00E008F6"/>
    <w:rsid w:val="00E0102F"/>
    <w:rsid w:val="00E011ED"/>
    <w:rsid w:val="00E01231"/>
    <w:rsid w:val="00E01365"/>
    <w:rsid w:val="00E01985"/>
    <w:rsid w:val="00E01D19"/>
    <w:rsid w:val="00E01D8D"/>
    <w:rsid w:val="00E026F6"/>
    <w:rsid w:val="00E02A55"/>
    <w:rsid w:val="00E031C2"/>
    <w:rsid w:val="00E035C9"/>
    <w:rsid w:val="00E035ED"/>
    <w:rsid w:val="00E03BEC"/>
    <w:rsid w:val="00E03BF2"/>
    <w:rsid w:val="00E03EE3"/>
    <w:rsid w:val="00E03F32"/>
    <w:rsid w:val="00E04259"/>
    <w:rsid w:val="00E04898"/>
    <w:rsid w:val="00E048B1"/>
    <w:rsid w:val="00E048D0"/>
    <w:rsid w:val="00E04BCB"/>
    <w:rsid w:val="00E0506D"/>
    <w:rsid w:val="00E0526F"/>
    <w:rsid w:val="00E0535A"/>
    <w:rsid w:val="00E0571B"/>
    <w:rsid w:val="00E0577A"/>
    <w:rsid w:val="00E0594D"/>
    <w:rsid w:val="00E063B3"/>
    <w:rsid w:val="00E066DD"/>
    <w:rsid w:val="00E06704"/>
    <w:rsid w:val="00E06DA2"/>
    <w:rsid w:val="00E06DFD"/>
    <w:rsid w:val="00E0722C"/>
    <w:rsid w:val="00E075D1"/>
    <w:rsid w:val="00E07765"/>
    <w:rsid w:val="00E07911"/>
    <w:rsid w:val="00E0795D"/>
    <w:rsid w:val="00E0797E"/>
    <w:rsid w:val="00E104FF"/>
    <w:rsid w:val="00E1066B"/>
    <w:rsid w:val="00E1077B"/>
    <w:rsid w:val="00E10783"/>
    <w:rsid w:val="00E10A07"/>
    <w:rsid w:val="00E10A98"/>
    <w:rsid w:val="00E10CEA"/>
    <w:rsid w:val="00E1196D"/>
    <w:rsid w:val="00E11C05"/>
    <w:rsid w:val="00E11F7C"/>
    <w:rsid w:val="00E121DD"/>
    <w:rsid w:val="00E1228E"/>
    <w:rsid w:val="00E12419"/>
    <w:rsid w:val="00E12756"/>
    <w:rsid w:val="00E128B7"/>
    <w:rsid w:val="00E129C4"/>
    <w:rsid w:val="00E12AF2"/>
    <w:rsid w:val="00E12F9D"/>
    <w:rsid w:val="00E132C3"/>
    <w:rsid w:val="00E133BE"/>
    <w:rsid w:val="00E13654"/>
    <w:rsid w:val="00E1372E"/>
    <w:rsid w:val="00E13856"/>
    <w:rsid w:val="00E13E23"/>
    <w:rsid w:val="00E13ECB"/>
    <w:rsid w:val="00E13F0D"/>
    <w:rsid w:val="00E13FCE"/>
    <w:rsid w:val="00E1421B"/>
    <w:rsid w:val="00E14311"/>
    <w:rsid w:val="00E1448F"/>
    <w:rsid w:val="00E14496"/>
    <w:rsid w:val="00E14688"/>
    <w:rsid w:val="00E14B21"/>
    <w:rsid w:val="00E1532B"/>
    <w:rsid w:val="00E158E5"/>
    <w:rsid w:val="00E163FB"/>
    <w:rsid w:val="00E1644F"/>
    <w:rsid w:val="00E166BE"/>
    <w:rsid w:val="00E16CEB"/>
    <w:rsid w:val="00E16EF5"/>
    <w:rsid w:val="00E176EA"/>
    <w:rsid w:val="00E1777E"/>
    <w:rsid w:val="00E17A34"/>
    <w:rsid w:val="00E17BDF"/>
    <w:rsid w:val="00E17F7D"/>
    <w:rsid w:val="00E20471"/>
    <w:rsid w:val="00E20844"/>
    <w:rsid w:val="00E20FA4"/>
    <w:rsid w:val="00E21291"/>
    <w:rsid w:val="00E214AD"/>
    <w:rsid w:val="00E21986"/>
    <w:rsid w:val="00E21BB1"/>
    <w:rsid w:val="00E21C1A"/>
    <w:rsid w:val="00E21EBE"/>
    <w:rsid w:val="00E21FD1"/>
    <w:rsid w:val="00E222E9"/>
    <w:rsid w:val="00E22A1F"/>
    <w:rsid w:val="00E22AFC"/>
    <w:rsid w:val="00E22E90"/>
    <w:rsid w:val="00E23D56"/>
    <w:rsid w:val="00E240F4"/>
    <w:rsid w:val="00E24112"/>
    <w:rsid w:val="00E2413C"/>
    <w:rsid w:val="00E24428"/>
    <w:rsid w:val="00E24801"/>
    <w:rsid w:val="00E24BC3"/>
    <w:rsid w:val="00E2550F"/>
    <w:rsid w:val="00E25734"/>
    <w:rsid w:val="00E25AC0"/>
    <w:rsid w:val="00E262A2"/>
    <w:rsid w:val="00E2670E"/>
    <w:rsid w:val="00E26712"/>
    <w:rsid w:val="00E26C43"/>
    <w:rsid w:val="00E26C4B"/>
    <w:rsid w:val="00E26D30"/>
    <w:rsid w:val="00E272DC"/>
    <w:rsid w:val="00E27625"/>
    <w:rsid w:val="00E27C53"/>
    <w:rsid w:val="00E27C71"/>
    <w:rsid w:val="00E301B0"/>
    <w:rsid w:val="00E302A1"/>
    <w:rsid w:val="00E302C9"/>
    <w:rsid w:val="00E307BE"/>
    <w:rsid w:val="00E309A9"/>
    <w:rsid w:val="00E30B45"/>
    <w:rsid w:val="00E30B98"/>
    <w:rsid w:val="00E31359"/>
    <w:rsid w:val="00E31584"/>
    <w:rsid w:val="00E3167C"/>
    <w:rsid w:val="00E3181B"/>
    <w:rsid w:val="00E318E0"/>
    <w:rsid w:val="00E31980"/>
    <w:rsid w:val="00E31AE3"/>
    <w:rsid w:val="00E31BC1"/>
    <w:rsid w:val="00E31C03"/>
    <w:rsid w:val="00E31EFA"/>
    <w:rsid w:val="00E320B0"/>
    <w:rsid w:val="00E32176"/>
    <w:rsid w:val="00E32568"/>
    <w:rsid w:val="00E32A59"/>
    <w:rsid w:val="00E32C0A"/>
    <w:rsid w:val="00E32F7A"/>
    <w:rsid w:val="00E330E1"/>
    <w:rsid w:val="00E3335C"/>
    <w:rsid w:val="00E33B8C"/>
    <w:rsid w:val="00E3412C"/>
    <w:rsid w:val="00E3413E"/>
    <w:rsid w:val="00E34185"/>
    <w:rsid w:val="00E34677"/>
    <w:rsid w:val="00E35417"/>
    <w:rsid w:val="00E3555B"/>
    <w:rsid w:val="00E35797"/>
    <w:rsid w:val="00E35AC5"/>
    <w:rsid w:val="00E35DAA"/>
    <w:rsid w:val="00E3605D"/>
    <w:rsid w:val="00E36087"/>
    <w:rsid w:val="00E365BB"/>
    <w:rsid w:val="00E369A1"/>
    <w:rsid w:val="00E36C48"/>
    <w:rsid w:val="00E370C5"/>
    <w:rsid w:val="00E3734B"/>
    <w:rsid w:val="00E3766B"/>
    <w:rsid w:val="00E377CB"/>
    <w:rsid w:val="00E37A9A"/>
    <w:rsid w:val="00E37B6E"/>
    <w:rsid w:val="00E37D60"/>
    <w:rsid w:val="00E37EDF"/>
    <w:rsid w:val="00E40472"/>
    <w:rsid w:val="00E40566"/>
    <w:rsid w:val="00E4056D"/>
    <w:rsid w:val="00E4077A"/>
    <w:rsid w:val="00E40EB5"/>
    <w:rsid w:val="00E4136E"/>
    <w:rsid w:val="00E41592"/>
    <w:rsid w:val="00E41618"/>
    <w:rsid w:val="00E416C7"/>
    <w:rsid w:val="00E4228B"/>
    <w:rsid w:val="00E42659"/>
    <w:rsid w:val="00E42C4C"/>
    <w:rsid w:val="00E43423"/>
    <w:rsid w:val="00E4384F"/>
    <w:rsid w:val="00E44C27"/>
    <w:rsid w:val="00E45667"/>
    <w:rsid w:val="00E456A8"/>
    <w:rsid w:val="00E459BA"/>
    <w:rsid w:val="00E45B77"/>
    <w:rsid w:val="00E46664"/>
    <w:rsid w:val="00E466BF"/>
    <w:rsid w:val="00E46B08"/>
    <w:rsid w:val="00E46C8D"/>
    <w:rsid w:val="00E46E06"/>
    <w:rsid w:val="00E4720B"/>
    <w:rsid w:val="00E47356"/>
    <w:rsid w:val="00E4783F"/>
    <w:rsid w:val="00E47C20"/>
    <w:rsid w:val="00E47F4E"/>
    <w:rsid w:val="00E506B9"/>
    <w:rsid w:val="00E508B4"/>
    <w:rsid w:val="00E50B99"/>
    <w:rsid w:val="00E51133"/>
    <w:rsid w:val="00E5187D"/>
    <w:rsid w:val="00E51F62"/>
    <w:rsid w:val="00E52049"/>
    <w:rsid w:val="00E526DE"/>
    <w:rsid w:val="00E5282A"/>
    <w:rsid w:val="00E52CEC"/>
    <w:rsid w:val="00E530D0"/>
    <w:rsid w:val="00E5357A"/>
    <w:rsid w:val="00E53945"/>
    <w:rsid w:val="00E540DF"/>
    <w:rsid w:val="00E543A9"/>
    <w:rsid w:val="00E5467C"/>
    <w:rsid w:val="00E54684"/>
    <w:rsid w:val="00E54D0A"/>
    <w:rsid w:val="00E54EB3"/>
    <w:rsid w:val="00E568D3"/>
    <w:rsid w:val="00E5713F"/>
    <w:rsid w:val="00E602B9"/>
    <w:rsid w:val="00E602DF"/>
    <w:rsid w:val="00E60804"/>
    <w:rsid w:val="00E60AA0"/>
    <w:rsid w:val="00E60FA8"/>
    <w:rsid w:val="00E62769"/>
    <w:rsid w:val="00E6292D"/>
    <w:rsid w:val="00E62C6A"/>
    <w:rsid w:val="00E62CD2"/>
    <w:rsid w:val="00E6377D"/>
    <w:rsid w:val="00E63B69"/>
    <w:rsid w:val="00E640FD"/>
    <w:rsid w:val="00E64367"/>
    <w:rsid w:val="00E643B6"/>
    <w:rsid w:val="00E647F3"/>
    <w:rsid w:val="00E648CD"/>
    <w:rsid w:val="00E64AD3"/>
    <w:rsid w:val="00E65373"/>
    <w:rsid w:val="00E6564C"/>
    <w:rsid w:val="00E65C70"/>
    <w:rsid w:val="00E668A3"/>
    <w:rsid w:val="00E66C43"/>
    <w:rsid w:val="00E66E1D"/>
    <w:rsid w:val="00E66FAB"/>
    <w:rsid w:val="00E67946"/>
    <w:rsid w:val="00E6795F"/>
    <w:rsid w:val="00E67AAE"/>
    <w:rsid w:val="00E7002B"/>
    <w:rsid w:val="00E70172"/>
    <w:rsid w:val="00E703A1"/>
    <w:rsid w:val="00E70A39"/>
    <w:rsid w:val="00E70BA1"/>
    <w:rsid w:val="00E7138B"/>
    <w:rsid w:val="00E714C9"/>
    <w:rsid w:val="00E71AB8"/>
    <w:rsid w:val="00E71E51"/>
    <w:rsid w:val="00E72088"/>
    <w:rsid w:val="00E724E2"/>
    <w:rsid w:val="00E7261C"/>
    <w:rsid w:val="00E7280B"/>
    <w:rsid w:val="00E72931"/>
    <w:rsid w:val="00E72E6D"/>
    <w:rsid w:val="00E73026"/>
    <w:rsid w:val="00E7313F"/>
    <w:rsid w:val="00E731E2"/>
    <w:rsid w:val="00E7322A"/>
    <w:rsid w:val="00E73838"/>
    <w:rsid w:val="00E73856"/>
    <w:rsid w:val="00E73AA5"/>
    <w:rsid w:val="00E741A3"/>
    <w:rsid w:val="00E745E6"/>
    <w:rsid w:val="00E745F7"/>
    <w:rsid w:val="00E746B7"/>
    <w:rsid w:val="00E7485C"/>
    <w:rsid w:val="00E74C2D"/>
    <w:rsid w:val="00E75296"/>
    <w:rsid w:val="00E75A4B"/>
    <w:rsid w:val="00E75BEB"/>
    <w:rsid w:val="00E761A2"/>
    <w:rsid w:val="00E76541"/>
    <w:rsid w:val="00E76AFB"/>
    <w:rsid w:val="00E76BE5"/>
    <w:rsid w:val="00E76FB0"/>
    <w:rsid w:val="00E77422"/>
    <w:rsid w:val="00E77450"/>
    <w:rsid w:val="00E77499"/>
    <w:rsid w:val="00E77ACC"/>
    <w:rsid w:val="00E77E78"/>
    <w:rsid w:val="00E77ED9"/>
    <w:rsid w:val="00E804ED"/>
    <w:rsid w:val="00E8051F"/>
    <w:rsid w:val="00E80AA5"/>
    <w:rsid w:val="00E8133A"/>
    <w:rsid w:val="00E8140A"/>
    <w:rsid w:val="00E81699"/>
    <w:rsid w:val="00E81B98"/>
    <w:rsid w:val="00E82085"/>
    <w:rsid w:val="00E82409"/>
    <w:rsid w:val="00E829E9"/>
    <w:rsid w:val="00E82D38"/>
    <w:rsid w:val="00E82DA7"/>
    <w:rsid w:val="00E833BC"/>
    <w:rsid w:val="00E836B2"/>
    <w:rsid w:val="00E839E3"/>
    <w:rsid w:val="00E83ABF"/>
    <w:rsid w:val="00E83D9B"/>
    <w:rsid w:val="00E83E1A"/>
    <w:rsid w:val="00E83FDA"/>
    <w:rsid w:val="00E84270"/>
    <w:rsid w:val="00E842B7"/>
    <w:rsid w:val="00E84677"/>
    <w:rsid w:val="00E84838"/>
    <w:rsid w:val="00E8487F"/>
    <w:rsid w:val="00E85039"/>
    <w:rsid w:val="00E8517B"/>
    <w:rsid w:val="00E8544B"/>
    <w:rsid w:val="00E8583A"/>
    <w:rsid w:val="00E859CF"/>
    <w:rsid w:val="00E85AC6"/>
    <w:rsid w:val="00E85C3B"/>
    <w:rsid w:val="00E860CF"/>
    <w:rsid w:val="00E86280"/>
    <w:rsid w:val="00E86578"/>
    <w:rsid w:val="00E86748"/>
    <w:rsid w:val="00E87C0B"/>
    <w:rsid w:val="00E87C47"/>
    <w:rsid w:val="00E87EEF"/>
    <w:rsid w:val="00E90491"/>
    <w:rsid w:val="00E9082A"/>
    <w:rsid w:val="00E90AD3"/>
    <w:rsid w:val="00E90C88"/>
    <w:rsid w:val="00E912D2"/>
    <w:rsid w:val="00E91558"/>
    <w:rsid w:val="00E91ADA"/>
    <w:rsid w:val="00E91E35"/>
    <w:rsid w:val="00E91F88"/>
    <w:rsid w:val="00E92000"/>
    <w:rsid w:val="00E92071"/>
    <w:rsid w:val="00E92595"/>
    <w:rsid w:val="00E927D8"/>
    <w:rsid w:val="00E92CEF"/>
    <w:rsid w:val="00E92F36"/>
    <w:rsid w:val="00E93247"/>
    <w:rsid w:val="00E93410"/>
    <w:rsid w:val="00E93416"/>
    <w:rsid w:val="00E93461"/>
    <w:rsid w:val="00E93DB2"/>
    <w:rsid w:val="00E940CA"/>
    <w:rsid w:val="00E94AD2"/>
    <w:rsid w:val="00E94C1C"/>
    <w:rsid w:val="00E94E97"/>
    <w:rsid w:val="00E95064"/>
    <w:rsid w:val="00E955FC"/>
    <w:rsid w:val="00E95731"/>
    <w:rsid w:val="00E95894"/>
    <w:rsid w:val="00E95ECD"/>
    <w:rsid w:val="00E964D7"/>
    <w:rsid w:val="00E96601"/>
    <w:rsid w:val="00E966A4"/>
    <w:rsid w:val="00E96730"/>
    <w:rsid w:val="00E971CF"/>
    <w:rsid w:val="00E971DB"/>
    <w:rsid w:val="00E9742C"/>
    <w:rsid w:val="00E9744F"/>
    <w:rsid w:val="00E979FF"/>
    <w:rsid w:val="00E97AD0"/>
    <w:rsid w:val="00E97E04"/>
    <w:rsid w:val="00E97E9A"/>
    <w:rsid w:val="00EA0634"/>
    <w:rsid w:val="00EA0826"/>
    <w:rsid w:val="00EA08C8"/>
    <w:rsid w:val="00EA0A24"/>
    <w:rsid w:val="00EA10B5"/>
    <w:rsid w:val="00EA147E"/>
    <w:rsid w:val="00EA1539"/>
    <w:rsid w:val="00EA1591"/>
    <w:rsid w:val="00EA1831"/>
    <w:rsid w:val="00EA1D6D"/>
    <w:rsid w:val="00EA2354"/>
    <w:rsid w:val="00EA2525"/>
    <w:rsid w:val="00EA25FF"/>
    <w:rsid w:val="00EA2B8B"/>
    <w:rsid w:val="00EA2F56"/>
    <w:rsid w:val="00EA373D"/>
    <w:rsid w:val="00EA3A32"/>
    <w:rsid w:val="00EA3BAC"/>
    <w:rsid w:val="00EA3D0F"/>
    <w:rsid w:val="00EA42FF"/>
    <w:rsid w:val="00EA560C"/>
    <w:rsid w:val="00EA579B"/>
    <w:rsid w:val="00EA584A"/>
    <w:rsid w:val="00EA5D17"/>
    <w:rsid w:val="00EA6172"/>
    <w:rsid w:val="00EA6499"/>
    <w:rsid w:val="00EA6564"/>
    <w:rsid w:val="00EA6BA6"/>
    <w:rsid w:val="00EA6DB3"/>
    <w:rsid w:val="00EA7582"/>
    <w:rsid w:val="00EB017A"/>
    <w:rsid w:val="00EB03E5"/>
    <w:rsid w:val="00EB06C1"/>
    <w:rsid w:val="00EB1491"/>
    <w:rsid w:val="00EB1839"/>
    <w:rsid w:val="00EB2218"/>
    <w:rsid w:val="00EB2A2D"/>
    <w:rsid w:val="00EB3019"/>
    <w:rsid w:val="00EB3842"/>
    <w:rsid w:val="00EB3883"/>
    <w:rsid w:val="00EB395C"/>
    <w:rsid w:val="00EB3BC6"/>
    <w:rsid w:val="00EB3D1B"/>
    <w:rsid w:val="00EB3E71"/>
    <w:rsid w:val="00EB41C6"/>
    <w:rsid w:val="00EB471B"/>
    <w:rsid w:val="00EB4D3C"/>
    <w:rsid w:val="00EB4D6D"/>
    <w:rsid w:val="00EB51FD"/>
    <w:rsid w:val="00EB55DA"/>
    <w:rsid w:val="00EB57F5"/>
    <w:rsid w:val="00EB5854"/>
    <w:rsid w:val="00EB59A6"/>
    <w:rsid w:val="00EB59B4"/>
    <w:rsid w:val="00EB665B"/>
    <w:rsid w:val="00EB6744"/>
    <w:rsid w:val="00EB6B40"/>
    <w:rsid w:val="00EB6BEB"/>
    <w:rsid w:val="00EB7521"/>
    <w:rsid w:val="00EB756C"/>
    <w:rsid w:val="00EB7619"/>
    <w:rsid w:val="00EB7687"/>
    <w:rsid w:val="00EB77C1"/>
    <w:rsid w:val="00EB79EB"/>
    <w:rsid w:val="00EB7AEF"/>
    <w:rsid w:val="00EB7B29"/>
    <w:rsid w:val="00EB7F04"/>
    <w:rsid w:val="00EC01B9"/>
    <w:rsid w:val="00EC02D0"/>
    <w:rsid w:val="00EC0976"/>
    <w:rsid w:val="00EC14F8"/>
    <w:rsid w:val="00EC159D"/>
    <w:rsid w:val="00EC15FB"/>
    <w:rsid w:val="00EC1D6B"/>
    <w:rsid w:val="00EC26E6"/>
    <w:rsid w:val="00EC2B6A"/>
    <w:rsid w:val="00EC2DE1"/>
    <w:rsid w:val="00EC3590"/>
    <w:rsid w:val="00EC35AE"/>
    <w:rsid w:val="00EC3601"/>
    <w:rsid w:val="00EC389A"/>
    <w:rsid w:val="00EC43A3"/>
    <w:rsid w:val="00EC47E8"/>
    <w:rsid w:val="00EC4A87"/>
    <w:rsid w:val="00EC4EC6"/>
    <w:rsid w:val="00EC50A0"/>
    <w:rsid w:val="00EC5254"/>
    <w:rsid w:val="00EC54CE"/>
    <w:rsid w:val="00EC5C00"/>
    <w:rsid w:val="00EC5C09"/>
    <w:rsid w:val="00EC5DE2"/>
    <w:rsid w:val="00EC61C6"/>
    <w:rsid w:val="00EC679B"/>
    <w:rsid w:val="00EC6962"/>
    <w:rsid w:val="00EC6CC3"/>
    <w:rsid w:val="00EC70ED"/>
    <w:rsid w:val="00EC72E2"/>
    <w:rsid w:val="00EC7396"/>
    <w:rsid w:val="00EC7B5E"/>
    <w:rsid w:val="00ED0C66"/>
    <w:rsid w:val="00ED0F99"/>
    <w:rsid w:val="00ED1283"/>
    <w:rsid w:val="00ED154F"/>
    <w:rsid w:val="00ED1BA4"/>
    <w:rsid w:val="00ED2261"/>
    <w:rsid w:val="00ED25A3"/>
    <w:rsid w:val="00ED2A56"/>
    <w:rsid w:val="00ED2AC2"/>
    <w:rsid w:val="00ED2AC5"/>
    <w:rsid w:val="00ED3498"/>
    <w:rsid w:val="00ED3515"/>
    <w:rsid w:val="00ED3F8D"/>
    <w:rsid w:val="00ED41DE"/>
    <w:rsid w:val="00ED4227"/>
    <w:rsid w:val="00ED4C55"/>
    <w:rsid w:val="00ED4DC5"/>
    <w:rsid w:val="00ED4E3E"/>
    <w:rsid w:val="00ED5030"/>
    <w:rsid w:val="00ED529B"/>
    <w:rsid w:val="00ED547F"/>
    <w:rsid w:val="00ED5703"/>
    <w:rsid w:val="00ED572F"/>
    <w:rsid w:val="00ED5AB4"/>
    <w:rsid w:val="00ED5C19"/>
    <w:rsid w:val="00ED5CDA"/>
    <w:rsid w:val="00ED5D6D"/>
    <w:rsid w:val="00ED6340"/>
    <w:rsid w:val="00ED65B3"/>
    <w:rsid w:val="00ED66FA"/>
    <w:rsid w:val="00ED6760"/>
    <w:rsid w:val="00ED698F"/>
    <w:rsid w:val="00ED722B"/>
    <w:rsid w:val="00ED73A0"/>
    <w:rsid w:val="00ED7449"/>
    <w:rsid w:val="00ED7728"/>
    <w:rsid w:val="00ED7756"/>
    <w:rsid w:val="00ED778E"/>
    <w:rsid w:val="00ED7AE5"/>
    <w:rsid w:val="00ED7B67"/>
    <w:rsid w:val="00ED7DB4"/>
    <w:rsid w:val="00ED7E31"/>
    <w:rsid w:val="00ED7EDD"/>
    <w:rsid w:val="00EE0FCF"/>
    <w:rsid w:val="00EE12DA"/>
    <w:rsid w:val="00EE147D"/>
    <w:rsid w:val="00EE1697"/>
    <w:rsid w:val="00EE1752"/>
    <w:rsid w:val="00EE1BE4"/>
    <w:rsid w:val="00EE216E"/>
    <w:rsid w:val="00EE26AC"/>
    <w:rsid w:val="00EE2705"/>
    <w:rsid w:val="00EE2C4A"/>
    <w:rsid w:val="00EE2EAC"/>
    <w:rsid w:val="00EE3035"/>
    <w:rsid w:val="00EE351C"/>
    <w:rsid w:val="00EE3606"/>
    <w:rsid w:val="00EE383D"/>
    <w:rsid w:val="00EE3BB8"/>
    <w:rsid w:val="00EE479D"/>
    <w:rsid w:val="00EE4E73"/>
    <w:rsid w:val="00EE5206"/>
    <w:rsid w:val="00EE522F"/>
    <w:rsid w:val="00EE53D0"/>
    <w:rsid w:val="00EE56E2"/>
    <w:rsid w:val="00EE5F6A"/>
    <w:rsid w:val="00EE625E"/>
    <w:rsid w:val="00EE6A11"/>
    <w:rsid w:val="00EE6CF3"/>
    <w:rsid w:val="00EE7437"/>
    <w:rsid w:val="00EF05ED"/>
    <w:rsid w:val="00EF0783"/>
    <w:rsid w:val="00EF119B"/>
    <w:rsid w:val="00EF124B"/>
    <w:rsid w:val="00EF14D5"/>
    <w:rsid w:val="00EF16F3"/>
    <w:rsid w:val="00EF1B27"/>
    <w:rsid w:val="00EF1C54"/>
    <w:rsid w:val="00EF1D0E"/>
    <w:rsid w:val="00EF21B5"/>
    <w:rsid w:val="00EF2499"/>
    <w:rsid w:val="00EF28F9"/>
    <w:rsid w:val="00EF2CC0"/>
    <w:rsid w:val="00EF2EF8"/>
    <w:rsid w:val="00EF2F96"/>
    <w:rsid w:val="00EF3397"/>
    <w:rsid w:val="00EF43EE"/>
    <w:rsid w:val="00EF445B"/>
    <w:rsid w:val="00EF475F"/>
    <w:rsid w:val="00EF49B7"/>
    <w:rsid w:val="00EF4EEF"/>
    <w:rsid w:val="00EF5660"/>
    <w:rsid w:val="00EF5888"/>
    <w:rsid w:val="00EF6122"/>
    <w:rsid w:val="00EF6234"/>
    <w:rsid w:val="00EF6779"/>
    <w:rsid w:val="00EF6AA3"/>
    <w:rsid w:val="00EF7162"/>
    <w:rsid w:val="00EF71F3"/>
    <w:rsid w:val="00EF74C7"/>
    <w:rsid w:val="00EF75E0"/>
    <w:rsid w:val="00EF7B48"/>
    <w:rsid w:val="00F000D1"/>
    <w:rsid w:val="00F000DE"/>
    <w:rsid w:val="00F00431"/>
    <w:rsid w:val="00F0099E"/>
    <w:rsid w:val="00F009F6"/>
    <w:rsid w:val="00F00A97"/>
    <w:rsid w:val="00F00FAA"/>
    <w:rsid w:val="00F01167"/>
    <w:rsid w:val="00F0139B"/>
    <w:rsid w:val="00F013C7"/>
    <w:rsid w:val="00F01788"/>
    <w:rsid w:val="00F0188B"/>
    <w:rsid w:val="00F01893"/>
    <w:rsid w:val="00F01D75"/>
    <w:rsid w:val="00F02093"/>
    <w:rsid w:val="00F020F4"/>
    <w:rsid w:val="00F02B9D"/>
    <w:rsid w:val="00F02F7D"/>
    <w:rsid w:val="00F0383D"/>
    <w:rsid w:val="00F03A31"/>
    <w:rsid w:val="00F03BDD"/>
    <w:rsid w:val="00F04096"/>
    <w:rsid w:val="00F0416D"/>
    <w:rsid w:val="00F04400"/>
    <w:rsid w:val="00F04577"/>
    <w:rsid w:val="00F047D2"/>
    <w:rsid w:val="00F048A6"/>
    <w:rsid w:val="00F0514C"/>
    <w:rsid w:val="00F051A2"/>
    <w:rsid w:val="00F0520C"/>
    <w:rsid w:val="00F0523D"/>
    <w:rsid w:val="00F052E2"/>
    <w:rsid w:val="00F055EF"/>
    <w:rsid w:val="00F059E2"/>
    <w:rsid w:val="00F05BD6"/>
    <w:rsid w:val="00F05F13"/>
    <w:rsid w:val="00F0636A"/>
    <w:rsid w:val="00F064E5"/>
    <w:rsid w:val="00F0694E"/>
    <w:rsid w:val="00F06BB7"/>
    <w:rsid w:val="00F06BF1"/>
    <w:rsid w:val="00F0700F"/>
    <w:rsid w:val="00F077E8"/>
    <w:rsid w:val="00F07B10"/>
    <w:rsid w:val="00F10061"/>
    <w:rsid w:val="00F103F6"/>
    <w:rsid w:val="00F10578"/>
    <w:rsid w:val="00F10591"/>
    <w:rsid w:val="00F1076B"/>
    <w:rsid w:val="00F10D49"/>
    <w:rsid w:val="00F10E2B"/>
    <w:rsid w:val="00F10ECE"/>
    <w:rsid w:val="00F11833"/>
    <w:rsid w:val="00F11D1D"/>
    <w:rsid w:val="00F11D50"/>
    <w:rsid w:val="00F1251F"/>
    <w:rsid w:val="00F1271F"/>
    <w:rsid w:val="00F129FA"/>
    <w:rsid w:val="00F12F94"/>
    <w:rsid w:val="00F130E1"/>
    <w:rsid w:val="00F13700"/>
    <w:rsid w:val="00F137B1"/>
    <w:rsid w:val="00F13C5B"/>
    <w:rsid w:val="00F1410A"/>
    <w:rsid w:val="00F1454D"/>
    <w:rsid w:val="00F14B05"/>
    <w:rsid w:val="00F14FB8"/>
    <w:rsid w:val="00F1523E"/>
    <w:rsid w:val="00F15567"/>
    <w:rsid w:val="00F156D1"/>
    <w:rsid w:val="00F15B1C"/>
    <w:rsid w:val="00F15D98"/>
    <w:rsid w:val="00F1604B"/>
    <w:rsid w:val="00F16CE7"/>
    <w:rsid w:val="00F175F4"/>
    <w:rsid w:val="00F178B3"/>
    <w:rsid w:val="00F1790D"/>
    <w:rsid w:val="00F17CA2"/>
    <w:rsid w:val="00F17E12"/>
    <w:rsid w:val="00F20158"/>
    <w:rsid w:val="00F202B6"/>
    <w:rsid w:val="00F2075D"/>
    <w:rsid w:val="00F20A7D"/>
    <w:rsid w:val="00F21137"/>
    <w:rsid w:val="00F211F4"/>
    <w:rsid w:val="00F21221"/>
    <w:rsid w:val="00F2136E"/>
    <w:rsid w:val="00F21D3B"/>
    <w:rsid w:val="00F226D3"/>
    <w:rsid w:val="00F22969"/>
    <w:rsid w:val="00F229C4"/>
    <w:rsid w:val="00F22C8F"/>
    <w:rsid w:val="00F22F90"/>
    <w:rsid w:val="00F230DF"/>
    <w:rsid w:val="00F23154"/>
    <w:rsid w:val="00F232D2"/>
    <w:rsid w:val="00F237D9"/>
    <w:rsid w:val="00F23B18"/>
    <w:rsid w:val="00F23BE4"/>
    <w:rsid w:val="00F23C68"/>
    <w:rsid w:val="00F23D69"/>
    <w:rsid w:val="00F23EF8"/>
    <w:rsid w:val="00F23F4F"/>
    <w:rsid w:val="00F246EE"/>
    <w:rsid w:val="00F24920"/>
    <w:rsid w:val="00F25106"/>
    <w:rsid w:val="00F25228"/>
    <w:rsid w:val="00F2575B"/>
    <w:rsid w:val="00F25C00"/>
    <w:rsid w:val="00F25E1A"/>
    <w:rsid w:val="00F2606D"/>
    <w:rsid w:val="00F26296"/>
    <w:rsid w:val="00F26575"/>
    <w:rsid w:val="00F2662F"/>
    <w:rsid w:val="00F26688"/>
    <w:rsid w:val="00F26D02"/>
    <w:rsid w:val="00F27260"/>
    <w:rsid w:val="00F27DAF"/>
    <w:rsid w:val="00F27DC3"/>
    <w:rsid w:val="00F30063"/>
    <w:rsid w:val="00F305DE"/>
    <w:rsid w:val="00F30764"/>
    <w:rsid w:val="00F30957"/>
    <w:rsid w:val="00F30E5F"/>
    <w:rsid w:val="00F30F8B"/>
    <w:rsid w:val="00F31086"/>
    <w:rsid w:val="00F31951"/>
    <w:rsid w:val="00F31A56"/>
    <w:rsid w:val="00F31C71"/>
    <w:rsid w:val="00F32046"/>
    <w:rsid w:val="00F3282F"/>
    <w:rsid w:val="00F331D3"/>
    <w:rsid w:val="00F33378"/>
    <w:rsid w:val="00F33689"/>
    <w:rsid w:val="00F33A87"/>
    <w:rsid w:val="00F33A94"/>
    <w:rsid w:val="00F33E1F"/>
    <w:rsid w:val="00F33F29"/>
    <w:rsid w:val="00F34263"/>
    <w:rsid w:val="00F34267"/>
    <w:rsid w:val="00F348D2"/>
    <w:rsid w:val="00F34A21"/>
    <w:rsid w:val="00F352F5"/>
    <w:rsid w:val="00F3533D"/>
    <w:rsid w:val="00F35A17"/>
    <w:rsid w:val="00F35ABA"/>
    <w:rsid w:val="00F35BB2"/>
    <w:rsid w:val="00F35E29"/>
    <w:rsid w:val="00F35EF9"/>
    <w:rsid w:val="00F35F7B"/>
    <w:rsid w:val="00F36561"/>
    <w:rsid w:val="00F365EC"/>
    <w:rsid w:val="00F368D0"/>
    <w:rsid w:val="00F36EF2"/>
    <w:rsid w:val="00F36FDD"/>
    <w:rsid w:val="00F37000"/>
    <w:rsid w:val="00F3721A"/>
    <w:rsid w:val="00F3731F"/>
    <w:rsid w:val="00F37375"/>
    <w:rsid w:val="00F3743B"/>
    <w:rsid w:val="00F37D6A"/>
    <w:rsid w:val="00F37FB2"/>
    <w:rsid w:val="00F401B1"/>
    <w:rsid w:val="00F401EF"/>
    <w:rsid w:val="00F40221"/>
    <w:rsid w:val="00F402D4"/>
    <w:rsid w:val="00F40329"/>
    <w:rsid w:val="00F40334"/>
    <w:rsid w:val="00F404C8"/>
    <w:rsid w:val="00F404CD"/>
    <w:rsid w:val="00F40651"/>
    <w:rsid w:val="00F4069D"/>
    <w:rsid w:val="00F40A55"/>
    <w:rsid w:val="00F40C68"/>
    <w:rsid w:val="00F41443"/>
    <w:rsid w:val="00F4181B"/>
    <w:rsid w:val="00F4234A"/>
    <w:rsid w:val="00F42751"/>
    <w:rsid w:val="00F428D5"/>
    <w:rsid w:val="00F42A1D"/>
    <w:rsid w:val="00F42BFF"/>
    <w:rsid w:val="00F43172"/>
    <w:rsid w:val="00F43214"/>
    <w:rsid w:val="00F435FB"/>
    <w:rsid w:val="00F43636"/>
    <w:rsid w:val="00F44062"/>
    <w:rsid w:val="00F4444C"/>
    <w:rsid w:val="00F44747"/>
    <w:rsid w:val="00F44A13"/>
    <w:rsid w:val="00F44A77"/>
    <w:rsid w:val="00F44E2B"/>
    <w:rsid w:val="00F44FDD"/>
    <w:rsid w:val="00F457C9"/>
    <w:rsid w:val="00F457E0"/>
    <w:rsid w:val="00F458D9"/>
    <w:rsid w:val="00F45934"/>
    <w:rsid w:val="00F45A46"/>
    <w:rsid w:val="00F45B18"/>
    <w:rsid w:val="00F463B7"/>
    <w:rsid w:val="00F463E9"/>
    <w:rsid w:val="00F4654C"/>
    <w:rsid w:val="00F46D29"/>
    <w:rsid w:val="00F47673"/>
    <w:rsid w:val="00F47875"/>
    <w:rsid w:val="00F47AB2"/>
    <w:rsid w:val="00F47DED"/>
    <w:rsid w:val="00F503C0"/>
    <w:rsid w:val="00F50570"/>
    <w:rsid w:val="00F50EC9"/>
    <w:rsid w:val="00F5143D"/>
    <w:rsid w:val="00F5165F"/>
    <w:rsid w:val="00F51A3F"/>
    <w:rsid w:val="00F51B9F"/>
    <w:rsid w:val="00F51C6B"/>
    <w:rsid w:val="00F51E8E"/>
    <w:rsid w:val="00F529EA"/>
    <w:rsid w:val="00F52B0A"/>
    <w:rsid w:val="00F52E34"/>
    <w:rsid w:val="00F52F34"/>
    <w:rsid w:val="00F52FA0"/>
    <w:rsid w:val="00F530D2"/>
    <w:rsid w:val="00F53295"/>
    <w:rsid w:val="00F533B0"/>
    <w:rsid w:val="00F5351C"/>
    <w:rsid w:val="00F53A80"/>
    <w:rsid w:val="00F541FE"/>
    <w:rsid w:val="00F54644"/>
    <w:rsid w:val="00F548CA"/>
    <w:rsid w:val="00F549DF"/>
    <w:rsid w:val="00F54AC6"/>
    <w:rsid w:val="00F55049"/>
    <w:rsid w:val="00F55308"/>
    <w:rsid w:val="00F553C7"/>
    <w:rsid w:val="00F55738"/>
    <w:rsid w:val="00F55B00"/>
    <w:rsid w:val="00F55B54"/>
    <w:rsid w:val="00F56360"/>
    <w:rsid w:val="00F5684B"/>
    <w:rsid w:val="00F56ACD"/>
    <w:rsid w:val="00F57EB4"/>
    <w:rsid w:val="00F600CC"/>
    <w:rsid w:val="00F60472"/>
    <w:rsid w:val="00F60581"/>
    <w:rsid w:val="00F60E55"/>
    <w:rsid w:val="00F612E9"/>
    <w:rsid w:val="00F61672"/>
    <w:rsid w:val="00F61939"/>
    <w:rsid w:val="00F61CD3"/>
    <w:rsid w:val="00F61D3A"/>
    <w:rsid w:val="00F61FE5"/>
    <w:rsid w:val="00F62367"/>
    <w:rsid w:val="00F6291F"/>
    <w:rsid w:val="00F632A8"/>
    <w:rsid w:val="00F636A5"/>
    <w:rsid w:val="00F637F5"/>
    <w:rsid w:val="00F63C58"/>
    <w:rsid w:val="00F63ED2"/>
    <w:rsid w:val="00F63F6F"/>
    <w:rsid w:val="00F64038"/>
    <w:rsid w:val="00F64077"/>
    <w:rsid w:val="00F64C7A"/>
    <w:rsid w:val="00F64CD1"/>
    <w:rsid w:val="00F65025"/>
    <w:rsid w:val="00F65267"/>
    <w:rsid w:val="00F6543E"/>
    <w:rsid w:val="00F65978"/>
    <w:rsid w:val="00F659A1"/>
    <w:rsid w:val="00F65AA6"/>
    <w:rsid w:val="00F66057"/>
    <w:rsid w:val="00F66110"/>
    <w:rsid w:val="00F66240"/>
    <w:rsid w:val="00F66E5A"/>
    <w:rsid w:val="00F66EBC"/>
    <w:rsid w:val="00F673FC"/>
    <w:rsid w:val="00F674D4"/>
    <w:rsid w:val="00F675C6"/>
    <w:rsid w:val="00F6789E"/>
    <w:rsid w:val="00F67BF3"/>
    <w:rsid w:val="00F67EA5"/>
    <w:rsid w:val="00F700FC"/>
    <w:rsid w:val="00F7091E"/>
    <w:rsid w:val="00F70D12"/>
    <w:rsid w:val="00F71150"/>
    <w:rsid w:val="00F719C8"/>
    <w:rsid w:val="00F71A76"/>
    <w:rsid w:val="00F71B15"/>
    <w:rsid w:val="00F71DD6"/>
    <w:rsid w:val="00F720E3"/>
    <w:rsid w:val="00F72138"/>
    <w:rsid w:val="00F723DF"/>
    <w:rsid w:val="00F72555"/>
    <w:rsid w:val="00F729A3"/>
    <w:rsid w:val="00F72A01"/>
    <w:rsid w:val="00F72E4F"/>
    <w:rsid w:val="00F72F32"/>
    <w:rsid w:val="00F72F9A"/>
    <w:rsid w:val="00F72FDA"/>
    <w:rsid w:val="00F72FEF"/>
    <w:rsid w:val="00F73004"/>
    <w:rsid w:val="00F7315A"/>
    <w:rsid w:val="00F74059"/>
    <w:rsid w:val="00F74EFE"/>
    <w:rsid w:val="00F752B8"/>
    <w:rsid w:val="00F75641"/>
    <w:rsid w:val="00F75936"/>
    <w:rsid w:val="00F75C12"/>
    <w:rsid w:val="00F75E48"/>
    <w:rsid w:val="00F760BC"/>
    <w:rsid w:val="00F76153"/>
    <w:rsid w:val="00F76163"/>
    <w:rsid w:val="00F76222"/>
    <w:rsid w:val="00F76766"/>
    <w:rsid w:val="00F768DE"/>
    <w:rsid w:val="00F76B20"/>
    <w:rsid w:val="00F770A5"/>
    <w:rsid w:val="00F77717"/>
    <w:rsid w:val="00F77FEA"/>
    <w:rsid w:val="00F802AA"/>
    <w:rsid w:val="00F804FB"/>
    <w:rsid w:val="00F80790"/>
    <w:rsid w:val="00F80A7C"/>
    <w:rsid w:val="00F8115C"/>
    <w:rsid w:val="00F8119C"/>
    <w:rsid w:val="00F81658"/>
    <w:rsid w:val="00F816FF"/>
    <w:rsid w:val="00F818BE"/>
    <w:rsid w:val="00F81A23"/>
    <w:rsid w:val="00F81EFD"/>
    <w:rsid w:val="00F82345"/>
    <w:rsid w:val="00F823D5"/>
    <w:rsid w:val="00F823EF"/>
    <w:rsid w:val="00F82853"/>
    <w:rsid w:val="00F82916"/>
    <w:rsid w:val="00F8311B"/>
    <w:rsid w:val="00F83367"/>
    <w:rsid w:val="00F83A88"/>
    <w:rsid w:val="00F83F3D"/>
    <w:rsid w:val="00F84013"/>
    <w:rsid w:val="00F849EC"/>
    <w:rsid w:val="00F85380"/>
    <w:rsid w:val="00F853EE"/>
    <w:rsid w:val="00F85602"/>
    <w:rsid w:val="00F85CA1"/>
    <w:rsid w:val="00F85CA3"/>
    <w:rsid w:val="00F85D0D"/>
    <w:rsid w:val="00F8637B"/>
    <w:rsid w:val="00F863E6"/>
    <w:rsid w:val="00F86875"/>
    <w:rsid w:val="00F869D0"/>
    <w:rsid w:val="00F86E61"/>
    <w:rsid w:val="00F8729D"/>
    <w:rsid w:val="00F8732B"/>
    <w:rsid w:val="00F87414"/>
    <w:rsid w:val="00F8751E"/>
    <w:rsid w:val="00F87906"/>
    <w:rsid w:val="00F879CD"/>
    <w:rsid w:val="00F901A3"/>
    <w:rsid w:val="00F906BB"/>
    <w:rsid w:val="00F906EC"/>
    <w:rsid w:val="00F906F6"/>
    <w:rsid w:val="00F90E46"/>
    <w:rsid w:val="00F90EF5"/>
    <w:rsid w:val="00F90F59"/>
    <w:rsid w:val="00F91B20"/>
    <w:rsid w:val="00F91F98"/>
    <w:rsid w:val="00F9274C"/>
    <w:rsid w:val="00F92DDF"/>
    <w:rsid w:val="00F92E02"/>
    <w:rsid w:val="00F92E5F"/>
    <w:rsid w:val="00F9307D"/>
    <w:rsid w:val="00F930C4"/>
    <w:rsid w:val="00F9328F"/>
    <w:rsid w:val="00F9381E"/>
    <w:rsid w:val="00F9384A"/>
    <w:rsid w:val="00F93EC8"/>
    <w:rsid w:val="00F93F3B"/>
    <w:rsid w:val="00F942A2"/>
    <w:rsid w:val="00F94342"/>
    <w:rsid w:val="00F94448"/>
    <w:rsid w:val="00F9448C"/>
    <w:rsid w:val="00F94715"/>
    <w:rsid w:val="00F94926"/>
    <w:rsid w:val="00F9518E"/>
    <w:rsid w:val="00F95993"/>
    <w:rsid w:val="00F959A5"/>
    <w:rsid w:val="00F95D81"/>
    <w:rsid w:val="00F95DCB"/>
    <w:rsid w:val="00F96125"/>
    <w:rsid w:val="00F9628A"/>
    <w:rsid w:val="00F96495"/>
    <w:rsid w:val="00F968E8"/>
    <w:rsid w:val="00F97101"/>
    <w:rsid w:val="00F97147"/>
    <w:rsid w:val="00F97849"/>
    <w:rsid w:val="00F97F40"/>
    <w:rsid w:val="00FA039A"/>
    <w:rsid w:val="00FA04A9"/>
    <w:rsid w:val="00FA093D"/>
    <w:rsid w:val="00FA12A0"/>
    <w:rsid w:val="00FA1731"/>
    <w:rsid w:val="00FA18E9"/>
    <w:rsid w:val="00FA2042"/>
    <w:rsid w:val="00FA24D0"/>
    <w:rsid w:val="00FA2EA4"/>
    <w:rsid w:val="00FA2F0C"/>
    <w:rsid w:val="00FA2FE8"/>
    <w:rsid w:val="00FA314F"/>
    <w:rsid w:val="00FA33F2"/>
    <w:rsid w:val="00FA349E"/>
    <w:rsid w:val="00FA34D4"/>
    <w:rsid w:val="00FA36DE"/>
    <w:rsid w:val="00FA39B1"/>
    <w:rsid w:val="00FA3AA0"/>
    <w:rsid w:val="00FA3AAE"/>
    <w:rsid w:val="00FA3C85"/>
    <w:rsid w:val="00FA3CC4"/>
    <w:rsid w:val="00FA3F01"/>
    <w:rsid w:val="00FA4838"/>
    <w:rsid w:val="00FA4C06"/>
    <w:rsid w:val="00FA55BC"/>
    <w:rsid w:val="00FA5648"/>
    <w:rsid w:val="00FA5C72"/>
    <w:rsid w:val="00FA5D62"/>
    <w:rsid w:val="00FA628C"/>
    <w:rsid w:val="00FA689F"/>
    <w:rsid w:val="00FA6B96"/>
    <w:rsid w:val="00FA72FF"/>
    <w:rsid w:val="00FA7A45"/>
    <w:rsid w:val="00FB032C"/>
    <w:rsid w:val="00FB0509"/>
    <w:rsid w:val="00FB0581"/>
    <w:rsid w:val="00FB08A0"/>
    <w:rsid w:val="00FB0D04"/>
    <w:rsid w:val="00FB0D11"/>
    <w:rsid w:val="00FB0E09"/>
    <w:rsid w:val="00FB104A"/>
    <w:rsid w:val="00FB10A3"/>
    <w:rsid w:val="00FB138A"/>
    <w:rsid w:val="00FB1C76"/>
    <w:rsid w:val="00FB1DE6"/>
    <w:rsid w:val="00FB216C"/>
    <w:rsid w:val="00FB23D2"/>
    <w:rsid w:val="00FB2D41"/>
    <w:rsid w:val="00FB3E6D"/>
    <w:rsid w:val="00FB43C6"/>
    <w:rsid w:val="00FB48CD"/>
    <w:rsid w:val="00FB4F38"/>
    <w:rsid w:val="00FB53D9"/>
    <w:rsid w:val="00FB5488"/>
    <w:rsid w:val="00FB54E3"/>
    <w:rsid w:val="00FB58B8"/>
    <w:rsid w:val="00FB5D69"/>
    <w:rsid w:val="00FB5FBA"/>
    <w:rsid w:val="00FB6151"/>
    <w:rsid w:val="00FB637D"/>
    <w:rsid w:val="00FB63FB"/>
    <w:rsid w:val="00FB6875"/>
    <w:rsid w:val="00FB6A71"/>
    <w:rsid w:val="00FB76B4"/>
    <w:rsid w:val="00FB7BC7"/>
    <w:rsid w:val="00FC04E1"/>
    <w:rsid w:val="00FC05A0"/>
    <w:rsid w:val="00FC166F"/>
    <w:rsid w:val="00FC1903"/>
    <w:rsid w:val="00FC1E86"/>
    <w:rsid w:val="00FC2055"/>
    <w:rsid w:val="00FC25DF"/>
    <w:rsid w:val="00FC27B0"/>
    <w:rsid w:val="00FC2883"/>
    <w:rsid w:val="00FC37A9"/>
    <w:rsid w:val="00FC3A7E"/>
    <w:rsid w:val="00FC4B13"/>
    <w:rsid w:val="00FC5163"/>
    <w:rsid w:val="00FC5452"/>
    <w:rsid w:val="00FC55FB"/>
    <w:rsid w:val="00FC576E"/>
    <w:rsid w:val="00FC5787"/>
    <w:rsid w:val="00FC57FE"/>
    <w:rsid w:val="00FC588F"/>
    <w:rsid w:val="00FC5A87"/>
    <w:rsid w:val="00FC6A66"/>
    <w:rsid w:val="00FC7876"/>
    <w:rsid w:val="00FC7A62"/>
    <w:rsid w:val="00FC7A6C"/>
    <w:rsid w:val="00FC7DDB"/>
    <w:rsid w:val="00FD009C"/>
    <w:rsid w:val="00FD018A"/>
    <w:rsid w:val="00FD02EB"/>
    <w:rsid w:val="00FD06F5"/>
    <w:rsid w:val="00FD0BB7"/>
    <w:rsid w:val="00FD1048"/>
    <w:rsid w:val="00FD113E"/>
    <w:rsid w:val="00FD13A1"/>
    <w:rsid w:val="00FD148E"/>
    <w:rsid w:val="00FD191A"/>
    <w:rsid w:val="00FD1C90"/>
    <w:rsid w:val="00FD2167"/>
    <w:rsid w:val="00FD339C"/>
    <w:rsid w:val="00FD359E"/>
    <w:rsid w:val="00FD379E"/>
    <w:rsid w:val="00FD3A35"/>
    <w:rsid w:val="00FD47D6"/>
    <w:rsid w:val="00FD4954"/>
    <w:rsid w:val="00FD52B4"/>
    <w:rsid w:val="00FD565A"/>
    <w:rsid w:val="00FD567C"/>
    <w:rsid w:val="00FD5C8F"/>
    <w:rsid w:val="00FD5F76"/>
    <w:rsid w:val="00FD62B5"/>
    <w:rsid w:val="00FD635C"/>
    <w:rsid w:val="00FD6F83"/>
    <w:rsid w:val="00FD6FEA"/>
    <w:rsid w:val="00FD7266"/>
    <w:rsid w:val="00FD7280"/>
    <w:rsid w:val="00FD792B"/>
    <w:rsid w:val="00FD7A18"/>
    <w:rsid w:val="00FD7AC9"/>
    <w:rsid w:val="00FE02C4"/>
    <w:rsid w:val="00FE0CEB"/>
    <w:rsid w:val="00FE0DEB"/>
    <w:rsid w:val="00FE0F5E"/>
    <w:rsid w:val="00FE0F72"/>
    <w:rsid w:val="00FE1066"/>
    <w:rsid w:val="00FE1144"/>
    <w:rsid w:val="00FE155A"/>
    <w:rsid w:val="00FE16E1"/>
    <w:rsid w:val="00FE177F"/>
    <w:rsid w:val="00FE1978"/>
    <w:rsid w:val="00FE1EEB"/>
    <w:rsid w:val="00FE2003"/>
    <w:rsid w:val="00FE27F3"/>
    <w:rsid w:val="00FE31A7"/>
    <w:rsid w:val="00FE3264"/>
    <w:rsid w:val="00FE32DD"/>
    <w:rsid w:val="00FE379E"/>
    <w:rsid w:val="00FE383C"/>
    <w:rsid w:val="00FE392E"/>
    <w:rsid w:val="00FE3A2A"/>
    <w:rsid w:val="00FE40E2"/>
    <w:rsid w:val="00FE4311"/>
    <w:rsid w:val="00FE4325"/>
    <w:rsid w:val="00FE43BC"/>
    <w:rsid w:val="00FE468E"/>
    <w:rsid w:val="00FE4794"/>
    <w:rsid w:val="00FE486A"/>
    <w:rsid w:val="00FE4C02"/>
    <w:rsid w:val="00FE519D"/>
    <w:rsid w:val="00FE51C6"/>
    <w:rsid w:val="00FE539D"/>
    <w:rsid w:val="00FE5A81"/>
    <w:rsid w:val="00FE5EE9"/>
    <w:rsid w:val="00FE6AED"/>
    <w:rsid w:val="00FE6E0E"/>
    <w:rsid w:val="00FE71B1"/>
    <w:rsid w:val="00FE74B1"/>
    <w:rsid w:val="00FE79AF"/>
    <w:rsid w:val="00FE7A0B"/>
    <w:rsid w:val="00FE7B92"/>
    <w:rsid w:val="00FE7CBD"/>
    <w:rsid w:val="00FE7E88"/>
    <w:rsid w:val="00FF034E"/>
    <w:rsid w:val="00FF0351"/>
    <w:rsid w:val="00FF041E"/>
    <w:rsid w:val="00FF0627"/>
    <w:rsid w:val="00FF0672"/>
    <w:rsid w:val="00FF0CD0"/>
    <w:rsid w:val="00FF0D57"/>
    <w:rsid w:val="00FF0E44"/>
    <w:rsid w:val="00FF109E"/>
    <w:rsid w:val="00FF110B"/>
    <w:rsid w:val="00FF1186"/>
    <w:rsid w:val="00FF17AC"/>
    <w:rsid w:val="00FF19E9"/>
    <w:rsid w:val="00FF1CF3"/>
    <w:rsid w:val="00FF2155"/>
    <w:rsid w:val="00FF2209"/>
    <w:rsid w:val="00FF2269"/>
    <w:rsid w:val="00FF25B9"/>
    <w:rsid w:val="00FF2DE7"/>
    <w:rsid w:val="00FF2DF4"/>
    <w:rsid w:val="00FF2F8E"/>
    <w:rsid w:val="00FF3110"/>
    <w:rsid w:val="00FF315D"/>
    <w:rsid w:val="00FF39B4"/>
    <w:rsid w:val="00FF3CA3"/>
    <w:rsid w:val="00FF497F"/>
    <w:rsid w:val="00FF576A"/>
    <w:rsid w:val="00FF5EF4"/>
    <w:rsid w:val="00FF61AC"/>
    <w:rsid w:val="00FF6511"/>
    <w:rsid w:val="00FF6524"/>
    <w:rsid w:val="00FF6566"/>
    <w:rsid w:val="00FF66B3"/>
    <w:rsid w:val="00FF6A87"/>
    <w:rsid w:val="00FF6DEC"/>
    <w:rsid w:val="00FF73E0"/>
    <w:rsid w:val="00FF781C"/>
    <w:rsid w:val="00FF790B"/>
    <w:rsid w:val="00FF7A22"/>
    <w:rsid w:val="00FF7B93"/>
    <w:rsid w:val="00FF7E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289"/>
    <w:rPr>
      <w:sz w:val="24"/>
      <w:szCs w:val="24"/>
    </w:rPr>
  </w:style>
  <w:style w:type="paragraph" w:styleId="3">
    <w:name w:val="heading 3"/>
    <w:basedOn w:val="a"/>
    <w:link w:val="30"/>
    <w:uiPriority w:val="9"/>
    <w:qFormat/>
    <w:rsid w:val="002B22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2289"/>
    <w:rPr>
      <w:b/>
      <w:bCs/>
      <w:sz w:val="27"/>
      <w:szCs w:val="27"/>
    </w:rPr>
  </w:style>
  <w:style w:type="paragraph" w:styleId="a3">
    <w:name w:val="Normal (Web)"/>
    <w:basedOn w:val="a"/>
    <w:uiPriority w:val="99"/>
    <w:unhideWhenUsed/>
    <w:rsid w:val="002B228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7975</Words>
  <Characters>45462</Characters>
  <Application>Microsoft Office Word</Application>
  <DocSecurity>0</DocSecurity>
  <Lines>378</Lines>
  <Paragraphs>106</Paragraphs>
  <ScaleCrop>false</ScaleCrop>
  <Company>Microsoft</Company>
  <LinksUpToDate>false</LinksUpToDate>
  <CharactersWithSpaces>53331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2018-07-06T08:56:00Z</dcterms:created>
  <dcterms:modified xsi:type="dcterms:W3CDTF">2018-07-06T08:56:00Z</dcterms:modified>
</cp:coreProperties>
</file>