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25A3" w14:textId="77777777" w:rsidR="005634FA" w:rsidRPr="000626F8" w:rsidRDefault="005634FA" w:rsidP="000626F8">
      <w:pPr>
        <w:spacing w:before="0" w:after="0" w:line="240" w:lineRule="auto"/>
        <w:ind w:left="5040" w:firstLine="720"/>
        <w:rPr>
          <w:rFonts w:ascii="Times New Roman" w:hAnsi="Times New Roman" w:cs="Times New Roman"/>
          <w:lang w:val="uk-UA"/>
        </w:rPr>
      </w:pPr>
      <w:r w:rsidRPr="000626F8">
        <w:rPr>
          <w:rFonts w:ascii="Times New Roman" w:hAnsi="Times New Roman" w:cs="Times New Roman"/>
          <w:lang w:val="uk-UA"/>
        </w:rPr>
        <w:t>З А Т В Е Р Д Ж Е Н О</w:t>
      </w:r>
    </w:p>
    <w:p w14:paraId="502F9A88" w14:textId="34E3836C" w:rsidR="005634FA" w:rsidRPr="000626F8" w:rsidRDefault="002D7C56" w:rsidP="000626F8">
      <w:pPr>
        <w:spacing w:before="0" w:after="0" w:line="240" w:lineRule="auto"/>
        <w:ind w:left="5040" w:firstLine="720"/>
        <w:rPr>
          <w:rFonts w:ascii="Times New Roman" w:hAnsi="Times New Roman" w:cs="Times New Roman"/>
          <w:lang w:val="uk-UA"/>
        </w:rPr>
      </w:pPr>
      <w:r>
        <w:rPr>
          <w:rFonts w:ascii="Times New Roman" w:hAnsi="Times New Roman" w:cs="Times New Roman"/>
          <w:lang w:val="uk-UA"/>
        </w:rPr>
        <w:t>р</w:t>
      </w:r>
      <w:r w:rsidR="005634FA" w:rsidRPr="000626F8">
        <w:rPr>
          <w:rFonts w:ascii="Times New Roman" w:hAnsi="Times New Roman" w:cs="Times New Roman"/>
          <w:lang w:val="uk-UA"/>
        </w:rPr>
        <w:t>ішення</w:t>
      </w:r>
      <w:r>
        <w:rPr>
          <w:rFonts w:ascii="Times New Roman" w:hAnsi="Times New Roman" w:cs="Times New Roman"/>
          <w:lang w:val="uk-UA"/>
        </w:rPr>
        <w:t>м</w:t>
      </w:r>
      <w:bookmarkStart w:id="0" w:name="_GoBack"/>
      <w:bookmarkEnd w:id="0"/>
      <w:r w:rsidR="005634FA" w:rsidRPr="000626F8">
        <w:rPr>
          <w:rFonts w:ascii="Times New Roman" w:hAnsi="Times New Roman" w:cs="Times New Roman"/>
          <w:lang w:val="uk-UA"/>
        </w:rPr>
        <w:t xml:space="preserve"> Національної комісії з </w:t>
      </w:r>
    </w:p>
    <w:p w14:paraId="4D4835B6" w14:textId="77777777" w:rsidR="005634FA" w:rsidRPr="000626F8" w:rsidRDefault="005634FA" w:rsidP="000626F8">
      <w:pPr>
        <w:spacing w:before="0" w:after="0" w:line="240" w:lineRule="auto"/>
        <w:ind w:left="5760"/>
        <w:rPr>
          <w:rFonts w:ascii="Times New Roman" w:hAnsi="Times New Roman" w:cs="Times New Roman"/>
          <w:lang w:val="uk-UA"/>
        </w:rPr>
      </w:pPr>
      <w:r w:rsidRPr="000626F8">
        <w:rPr>
          <w:rFonts w:ascii="Times New Roman" w:hAnsi="Times New Roman" w:cs="Times New Roman"/>
          <w:lang w:val="uk-UA"/>
        </w:rPr>
        <w:t xml:space="preserve">цінних паперів та фондового ринку </w:t>
      </w:r>
    </w:p>
    <w:p w14:paraId="4174E4E2" w14:textId="009180BD" w:rsidR="00DD7BE6" w:rsidRPr="000626F8" w:rsidRDefault="005634FA" w:rsidP="000626F8">
      <w:pPr>
        <w:spacing w:before="0" w:after="0" w:line="240" w:lineRule="auto"/>
        <w:ind w:left="5040" w:firstLine="720"/>
        <w:rPr>
          <w:rFonts w:ascii="Times New Roman" w:hAnsi="Times New Roman" w:cs="Times New Roman"/>
          <w:lang w:val="uk-UA"/>
        </w:rPr>
      </w:pPr>
      <w:r w:rsidRPr="000626F8">
        <w:rPr>
          <w:rFonts w:ascii="Times New Roman" w:hAnsi="Times New Roman" w:cs="Times New Roman"/>
          <w:lang w:val="uk-UA"/>
        </w:rPr>
        <w:t xml:space="preserve">від </w:t>
      </w:r>
      <w:r w:rsidR="0077332F" w:rsidRPr="0077332F">
        <w:rPr>
          <w:rFonts w:ascii="Times New Roman" w:hAnsi="Times New Roman" w:cs="Times New Roman"/>
          <w:lang w:val="uk-UA"/>
        </w:rPr>
        <w:t>14.02.2023</w:t>
      </w:r>
      <w:r w:rsidR="00B626C0">
        <w:rPr>
          <w:rFonts w:ascii="Times New Roman" w:hAnsi="Times New Roman" w:cs="Times New Roman"/>
          <w:lang w:val="uk-UA"/>
        </w:rPr>
        <w:t xml:space="preserve"> № 139</w:t>
      </w:r>
    </w:p>
    <w:p w14:paraId="5ED48089" w14:textId="77777777" w:rsidR="003053E7" w:rsidRPr="00581CFE" w:rsidRDefault="003053E7" w:rsidP="00501D25">
      <w:pPr>
        <w:rPr>
          <w:lang w:val="uk-UA"/>
        </w:rPr>
      </w:pPr>
    </w:p>
    <w:tbl>
      <w:tblPr>
        <w:tblW w:w="4919" w:type="pct"/>
        <w:tblLook w:val="04A0" w:firstRow="1" w:lastRow="0" w:firstColumn="1" w:lastColumn="0" w:noHBand="0" w:noVBand="1"/>
      </w:tblPr>
      <w:tblGrid>
        <w:gridCol w:w="1661"/>
        <w:gridCol w:w="5930"/>
        <w:gridCol w:w="1612"/>
      </w:tblGrid>
      <w:tr w:rsidR="00F87AA2" w:rsidRPr="002D772F" w14:paraId="0C66F939" w14:textId="77777777" w:rsidTr="009015FC">
        <w:trPr>
          <w:cantSplit/>
          <w:trHeight w:val="3662"/>
        </w:trPr>
        <w:tc>
          <w:tcPr>
            <w:tcW w:w="5000" w:type="pct"/>
            <w:gridSpan w:val="3"/>
          </w:tcPr>
          <w:p w14:paraId="3C7D7D7B" w14:textId="77777777" w:rsidR="00F87AA2" w:rsidRPr="00581CFE" w:rsidRDefault="00F87AA2" w:rsidP="00501D25">
            <w:pPr>
              <w:spacing w:after="0"/>
              <w:rPr>
                <w:b/>
                <w:bCs/>
                <w:lang w:val="uk-UA" w:eastAsia="en-GB"/>
              </w:rPr>
            </w:pPr>
            <w:r w:rsidRPr="00581CFE">
              <w:rPr>
                <w:b/>
                <w:bCs/>
                <w:lang w:val="uk-UA" w:eastAsia="en-GB"/>
              </w:rPr>
              <w:t xml:space="preserve"> </w:t>
            </w:r>
          </w:p>
          <w:p w14:paraId="47126E62" w14:textId="64864072" w:rsidR="00F87AA2" w:rsidRPr="00581CFE" w:rsidRDefault="00F87AA2" w:rsidP="00501D25">
            <w:pPr>
              <w:spacing w:after="0"/>
              <w:jc w:val="center"/>
              <w:rPr>
                <w:lang w:val="uk-UA"/>
              </w:rPr>
            </w:pPr>
          </w:p>
          <w:p w14:paraId="29218211" w14:textId="77777777" w:rsidR="00F87AA2" w:rsidRPr="00581CFE" w:rsidRDefault="00F87AA2" w:rsidP="00501D25">
            <w:pPr>
              <w:spacing w:after="0"/>
              <w:jc w:val="center"/>
              <w:rPr>
                <w:b/>
                <w:bCs/>
                <w:lang w:val="uk-UA" w:eastAsia="en-GB"/>
              </w:rPr>
            </w:pPr>
          </w:p>
          <w:p w14:paraId="18F6F7E8" w14:textId="77777777" w:rsidR="00F87AA2" w:rsidRPr="00581CFE" w:rsidRDefault="00F87AA2" w:rsidP="00501D25">
            <w:pPr>
              <w:pStyle w:val="af5"/>
              <w:spacing w:line="256" w:lineRule="auto"/>
              <w:jc w:val="center"/>
              <w:rPr>
                <w:rFonts w:asciiTheme="minorHAnsi" w:hAnsiTheme="minorHAnsi"/>
                <w:lang w:val="uk-UA" w:eastAsia="en-US"/>
              </w:rPr>
            </w:pPr>
          </w:p>
          <w:p w14:paraId="79A00EDC" w14:textId="77777777" w:rsidR="00F87AA2" w:rsidRPr="00581CFE" w:rsidRDefault="00F87AA2" w:rsidP="00501D25">
            <w:pPr>
              <w:pStyle w:val="af5"/>
              <w:spacing w:line="256" w:lineRule="auto"/>
              <w:jc w:val="center"/>
              <w:rPr>
                <w:rFonts w:asciiTheme="minorHAnsi" w:hAnsiTheme="minorHAnsi"/>
                <w:lang w:val="uk-UA" w:eastAsia="en-US"/>
              </w:rPr>
            </w:pPr>
          </w:p>
        </w:tc>
      </w:tr>
      <w:tr w:rsidR="00F87AA2" w:rsidRPr="0024327D" w14:paraId="51DAFEDF" w14:textId="77777777" w:rsidTr="009015FC">
        <w:trPr>
          <w:trHeight w:val="1773"/>
        </w:trPr>
        <w:tc>
          <w:tcPr>
            <w:tcW w:w="902" w:type="pct"/>
            <w:vAlign w:val="center"/>
          </w:tcPr>
          <w:p w14:paraId="6573B760" w14:textId="77777777" w:rsidR="00F87AA2" w:rsidRPr="00581CFE" w:rsidRDefault="00F87AA2" w:rsidP="00501D25">
            <w:pPr>
              <w:pStyle w:val="Parties"/>
              <w:spacing w:line="256" w:lineRule="auto"/>
              <w:rPr>
                <w:rFonts w:asciiTheme="minorHAnsi" w:hAnsiTheme="minorHAnsi"/>
                <w:lang w:val="uk-UA"/>
              </w:rPr>
            </w:pPr>
          </w:p>
        </w:tc>
        <w:tc>
          <w:tcPr>
            <w:tcW w:w="3222" w:type="pct"/>
            <w:tcBorders>
              <w:top w:val="single" w:sz="4" w:space="0" w:color="auto"/>
              <w:left w:val="nil"/>
              <w:bottom w:val="single" w:sz="4" w:space="0" w:color="auto"/>
              <w:right w:val="nil"/>
            </w:tcBorders>
            <w:vAlign w:val="center"/>
            <w:hideMark/>
          </w:tcPr>
          <w:p w14:paraId="1598B3EF" w14:textId="77777777" w:rsidR="009015FC" w:rsidRPr="0024327D" w:rsidRDefault="000E4493" w:rsidP="00F44429">
            <w:pPr>
              <w:pStyle w:val="af5"/>
              <w:spacing w:line="256" w:lineRule="auto"/>
              <w:jc w:val="center"/>
              <w:rPr>
                <w:rFonts w:asciiTheme="minorHAnsi" w:hAnsiTheme="minorHAnsi"/>
                <w:b/>
                <w:bCs/>
                <w:caps/>
                <w:sz w:val="40"/>
                <w:szCs w:val="40"/>
                <w:lang w:val="uk-UA" w:eastAsia="en-US"/>
              </w:rPr>
            </w:pPr>
            <w:r w:rsidRPr="0024327D">
              <w:rPr>
                <w:rFonts w:asciiTheme="minorHAnsi" w:hAnsiTheme="minorHAnsi"/>
                <w:b/>
                <w:bCs/>
                <w:caps/>
                <w:sz w:val="40"/>
                <w:szCs w:val="40"/>
                <w:lang w:val="uk-UA" w:eastAsia="en-US"/>
              </w:rPr>
              <w:t xml:space="preserve">Концепція </w:t>
            </w:r>
          </w:p>
          <w:p w14:paraId="234EDC82" w14:textId="4699CEA0" w:rsidR="00F87AA2" w:rsidRPr="0024327D" w:rsidRDefault="00BD1FC0" w:rsidP="00F44429">
            <w:pPr>
              <w:pStyle w:val="af5"/>
              <w:spacing w:line="256" w:lineRule="auto"/>
              <w:jc w:val="center"/>
              <w:rPr>
                <w:rFonts w:asciiTheme="minorHAnsi" w:hAnsiTheme="minorHAnsi"/>
                <w:b/>
                <w:bCs/>
                <w:caps/>
                <w:sz w:val="36"/>
                <w:szCs w:val="36"/>
                <w:lang w:val="uk-UA" w:eastAsia="en-US"/>
              </w:rPr>
            </w:pPr>
            <w:r w:rsidRPr="0024327D">
              <w:rPr>
                <w:rFonts w:asciiTheme="minorHAnsi" w:hAnsiTheme="minorHAnsi"/>
                <w:b/>
                <w:bCs/>
                <w:caps/>
                <w:sz w:val="40"/>
                <w:szCs w:val="40"/>
                <w:lang w:val="uk-UA" w:eastAsia="en-US"/>
              </w:rPr>
              <w:t xml:space="preserve">ЗАПРОВАДЖЕННЯ </w:t>
            </w:r>
            <w:r w:rsidR="00F44429" w:rsidRPr="0024327D">
              <w:rPr>
                <w:rFonts w:asciiTheme="minorHAnsi" w:hAnsiTheme="minorHAnsi"/>
                <w:b/>
                <w:bCs/>
                <w:caps/>
                <w:sz w:val="40"/>
                <w:szCs w:val="40"/>
                <w:lang w:val="uk-UA" w:eastAsia="en-US"/>
              </w:rPr>
              <w:t xml:space="preserve"> Законодавчої</w:t>
            </w:r>
            <w:r w:rsidRPr="0024327D">
              <w:rPr>
                <w:rFonts w:asciiTheme="minorHAnsi" w:hAnsiTheme="minorHAnsi"/>
                <w:b/>
                <w:bCs/>
                <w:caps/>
                <w:sz w:val="40"/>
                <w:szCs w:val="40"/>
                <w:lang w:val="uk-UA" w:eastAsia="en-US"/>
              </w:rPr>
              <w:t xml:space="preserve"> БАЗИ </w:t>
            </w:r>
            <w:r w:rsidR="00F44429" w:rsidRPr="0024327D">
              <w:rPr>
                <w:rFonts w:asciiTheme="minorHAnsi" w:hAnsiTheme="minorHAnsi"/>
                <w:b/>
                <w:bCs/>
                <w:caps/>
                <w:sz w:val="40"/>
                <w:szCs w:val="40"/>
                <w:lang w:val="uk-UA" w:eastAsia="en-US"/>
              </w:rPr>
              <w:t xml:space="preserve">щодо </w:t>
            </w:r>
            <w:r w:rsidR="00B32A12" w:rsidRPr="0024327D">
              <w:rPr>
                <w:rFonts w:asciiTheme="minorHAnsi" w:hAnsiTheme="minorHAnsi"/>
                <w:b/>
                <w:bCs/>
                <w:caps/>
                <w:sz w:val="40"/>
                <w:szCs w:val="40"/>
                <w:lang w:val="uk-UA" w:eastAsia="en-US"/>
              </w:rPr>
              <w:t xml:space="preserve">облігацій з покриттям </w:t>
            </w:r>
            <w:r w:rsidRPr="0024327D">
              <w:rPr>
                <w:rFonts w:asciiTheme="minorHAnsi" w:hAnsiTheme="minorHAnsi"/>
                <w:b/>
                <w:bCs/>
                <w:caps/>
                <w:sz w:val="40"/>
                <w:szCs w:val="40"/>
                <w:lang w:val="uk-UA" w:eastAsia="en-US"/>
              </w:rPr>
              <w:t>ТА СЕК’ЮРИТИЗАЦІЇ В УКРАЇНІ</w:t>
            </w:r>
            <w:r w:rsidRPr="0024327D">
              <w:rPr>
                <w:rFonts w:asciiTheme="minorHAnsi" w:hAnsiTheme="minorHAnsi"/>
                <w:b/>
                <w:bCs/>
                <w:caps/>
                <w:sz w:val="36"/>
                <w:szCs w:val="36"/>
                <w:lang w:val="uk-UA" w:eastAsia="en-US"/>
              </w:rPr>
              <w:t xml:space="preserve"> </w:t>
            </w:r>
          </w:p>
        </w:tc>
        <w:tc>
          <w:tcPr>
            <w:tcW w:w="876" w:type="pct"/>
            <w:vAlign w:val="center"/>
          </w:tcPr>
          <w:p w14:paraId="236E19A8" w14:textId="77777777" w:rsidR="00F87AA2" w:rsidRPr="0024327D" w:rsidRDefault="00F87AA2" w:rsidP="00501D25">
            <w:pPr>
              <w:pStyle w:val="Parties"/>
              <w:spacing w:line="256" w:lineRule="auto"/>
              <w:rPr>
                <w:rFonts w:asciiTheme="minorHAnsi" w:hAnsiTheme="minorHAnsi"/>
                <w:lang w:val="uk-UA"/>
              </w:rPr>
            </w:pPr>
          </w:p>
        </w:tc>
      </w:tr>
    </w:tbl>
    <w:p w14:paraId="59709DBB" w14:textId="25A503F3" w:rsidR="00F87AA2" w:rsidRPr="0024327D" w:rsidRDefault="00F87AA2" w:rsidP="00501D25">
      <w:pPr>
        <w:pStyle w:val="af5"/>
        <w:rPr>
          <w:rFonts w:asciiTheme="minorHAnsi" w:hAnsiTheme="minorHAnsi"/>
          <w:lang w:val="uk-UA"/>
        </w:rPr>
      </w:pPr>
    </w:p>
    <w:p w14:paraId="010DC31A" w14:textId="77777777" w:rsidR="009015FC" w:rsidRPr="0024327D" w:rsidRDefault="009015FC" w:rsidP="009015FC">
      <w:pPr>
        <w:pStyle w:val="af5"/>
        <w:rPr>
          <w:rFonts w:asciiTheme="minorHAnsi" w:hAnsiTheme="minorHAnsi"/>
          <w:b/>
          <w:bCs/>
          <w:lang w:val="uk-UA"/>
        </w:rPr>
      </w:pPr>
    </w:p>
    <w:p w14:paraId="5A63090E" w14:textId="77777777" w:rsidR="009015FC" w:rsidRPr="0024327D" w:rsidRDefault="009015FC" w:rsidP="009015FC">
      <w:pPr>
        <w:pStyle w:val="af5"/>
        <w:rPr>
          <w:rFonts w:asciiTheme="minorHAnsi" w:hAnsiTheme="minorHAnsi"/>
          <w:b/>
          <w:bCs/>
          <w:lang w:val="uk-UA"/>
        </w:rPr>
      </w:pPr>
    </w:p>
    <w:p w14:paraId="73EB9106" w14:textId="77777777" w:rsidR="009015FC" w:rsidRPr="0024327D" w:rsidRDefault="009015FC" w:rsidP="009015FC">
      <w:pPr>
        <w:pStyle w:val="af5"/>
        <w:rPr>
          <w:rFonts w:asciiTheme="minorHAnsi" w:hAnsiTheme="minorHAnsi"/>
          <w:b/>
          <w:bCs/>
          <w:lang w:val="uk-UA"/>
        </w:rPr>
      </w:pPr>
    </w:p>
    <w:p w14:paraId="1D78DAE7" w14:textId="77777777" w:rsidR="009015FC" w:rsidRPr="0024327D" w:rsidRDefault="009015FC" w:rsidP="009015FC">
      <w:pPr>
        <w:pStyle w:val="af5"/>
        <w:rPr>
          <w:rFonts w:asciiTheme="minorHAnsi" w:hAnsiTheme="minorHAnsi"/>
          <w:b/>
          <w:bCs/>
          <w:lang w:val="uk-UA"/>
        </w:rPr>
      </w:pPr>
    </w:p>
    <w:p w14:paraId="0424AB7F" w14:textId="77777777" w:rsidR="009015FC" w:rsidRPr="0024327D" w:rsidRDefault="009015FC" w:rsidP="009015FC">
      <w:pPr>
        <w:pStyle w:val="af5"/>
        <w:rPr>
          <w:rFonts w:asciiTheme="minorHAnsi" w:hAnsiTheme="minorHAnsi"/>
          <w:b/>
          <w:bCs/>
          <w:lang w:val="uk-UA"/>
        </w:rPr>
      </w:pPr>
    </w:p>
    <w:p w14:paraId="1403645F" w14:textId="77777777" w:rsidR="009015FC" w:rsidRPr="0024327D" w:rsidRDefault="009015FC" w:rsidP="009015FC">
      <w:pPr>
        <w:pStyle w:val="af5"/>
        <w:rPr>
          <w:rFonts w:asciiTheme="minorHAnsi" w:hAnsiTheme="minorHAnsi"/>
          <w:b/>
          <w:bCs/>
          <w:lang w:val="uk-UA"/>
        </w:rPr>
      </w:pPr>
    </w:p>
    <w:p w14:paraId="4B1D829A" w14:textId="77777777" w:rsidR="009015FC" w:rsidRPr="0024327D" w:rsidRDefault="009015FC" w:rsidP="009015FC">
      <w:pPr>
        <w:pStyle w:val="af5"/>
        <w:rPr>
          <w:rFonts w:asciiTheme="minorHAnsi" w:hAnsiTheme="minorHAnsi"/>
          <w:b/>
          <w:bCs/>
          <w:lang w:val="uk-UA"/>
        </w:rPr>
      </w:pPr>
    </w:p>
    <w:p w14:paraId="0E5172C5" w14:textId="77777777" w:rsidR="009015FC" w:rsidRPr="0024327D" w:rsidRDefault="009015FC" w:rsidP="009015FC">
      <w:pPr>
        <w:pStyle w:val="af5"/>
        <w:rPr>
          <w:rFonts w:asciiTheme="minorHAnsi" w:hAnsiTheme="minorHAnsi"/>
          <w:b/>
          <w:bCs/>
          <w:lang w:val="uk-UA"/>
        </w:rPr>
      </w:pPr>
    </w:p>
    <w:p w14:paraId="2E5B26D7" w14:textId="771E5C78" w:rsidR="00A5285D" w:rsidRDefault="00A5285D" w:rsidP="009015FC">
      <w:pPr>
        <w:tabs>
          <w:tab w:val="left" w:pos="567"/>
        </w:tabs>
        <w:spacing w:before="0" w:after="160"/>
        <w:jc w:val="left"/>
        <w:rPr>
          <w:b/>
          <w:bCs/>
          <w:lang w:val="uk-UA"/>
        </w:rPr>
      </w:pPr>
    </w:p>
    <w:p w14:paraId="62CE6CAA" w14:textId="77777777" w:rsidR="000626F8" w:rsidRPr="0024327D" w:rsidRDefault="000626F8" w:rsidP="009015FC">
      <w:pPr>
        <w:tabs>
          <w:tab w:val="left" w:pos="567"/>
        </w:tabs>
        <w:spacing w:before="0" w:after="160"/>
        <w:jc w:val="left"/>
        <w:rPr>
          <w:b/>
          <w:bCs/>
          <w:lang w:val="uk-UA"/>
        </w:rPr>
      </w:pPr>
    </w:p>
    <w:p w14:paraId="1DBED8ED" w14:textId="0885C2B8" w:rsidR="00E859CC" w:rsidRPr="0024327D" w:rsidRDefault="005241D1" w:rsidP="009015FC">
      <w:pPr>
        <w:tabs>
          <w:tab w:val="left" w:pos="567"/>
        </w:tabs>
        <w:spacing w:before="0" w:after="160"/>
        <w:jc w:val="left"/>
        <w:rPr>
          <w:b/>
          <w:sz w:val="32"/>
          <w:szCs w:val="32"/>
          <w:lang w:val="uk-UA"/>
        </w:rPr>
      </w:pPr>
      <w:r w:rsidRPr="0024327D">
        <w:rPr>
          <w:b/>
          <w:sz w:val="32"/>
          <w:szCs w:val="32"/>
          <w:lang w:val="uk-UA"/>
        </w:rPr>
        <w:lastRenderedPageBreak/>
        <w:t>Зміст</w:t>
      </w:r>
    </w:p>
    <w:p w14:paraId="61D9A3F3" w14:textId="6D3D0FF1" w:rsidR="00EB3F08" w:rsidRPr="0024327D" w:rsidRDefault="00943EA1" w:rsidP="009015FC">
      <w:pPr>
        <w:pStyle w:val="11"/>
        <w:tabs>
          <w:tab w:val="left" w:pos="567"/>
        </w:tabs>
        <w:ind w:right="708"/>
        <w:rPr>
          <w:noProof/>
          <w:lang w:val="en-US"/>
        </w:rPr>
      </w:pPr>
      <w:r w:rsidRPr="0024327D">
        <w:rPr>
          <w:rFonts w:eastAsiaTheme="majorEastAsia" w:cstheme="majorBidi"/>
          <w:color w:val="2E74B5" w:themeColor="accent1" w:themeShade="BF"/>
          <w:sz w:val="32"/>
          <w:szCs w:val="32"/>
          <w:lang w:val="uk-UA"/>
        </w:rPr>
        <w:fldChar w:fldCharType="begin"/>
      </w:r>
      <w:r w:rsidRPr="0024327D">
        <w:rPr>
          <w:lang w:val="uk-UA"/>
        </w:rPr>
        <w:instrText xml:space="preserve"> TOC \o "1-3" \h \z \u </w:instrText>
      </w:r>
      <w:r w:rsidRPr="0024327D">
        <w:rPr>
          <w:rFonts w:eastAsiaTheme="majorEastAsia" w:cstheme="majorBidi"/>
          <w:color w:val="2E74B5" w:themeColor="accent1" w:themeShade="BF"/>
          <w:sz w:val="32"/>
          <w:szCs w:val="32"/>
          <w:lang w:val="uk-UA"/>
        </w:rPr>
        <w:fldChar w:fldCharType="separate"/>
      </w:r>
      <w:hyperlink w:anchor="_Toc95480962" w:history="1">
        <w:r w:rsidR="00EB3F08" w:rsidRPr="0024327D">
          <w:rPr>
            <w:rStyle w:val="af4"/>
            <w:noProof/>
            <w:lang w:val="uk-UA"/>
          </w:rPr>
          <w:t>1</w:t>
        </w:r>
        <w:r w:rsidR="00EB3F08" w:rsidRPr="0024327D">
          <w:rPr>
            <w:noProof/>
            <w:lang w:val="en-US"/>
          </w:rPr>
          <w:tab/>
        </w:r>
        <w:r w:rsidR="00EB3F08" w:rsidRPr="0024327D">
          <w:rPr>
            <w:rStyle w:val="af4"/>
            <w:noProof/>
            <w:lang w:val="uk-UA"/>
          </w:rPr>
          <w:t>Резюме</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_Toc95480962 \h </w:instrText>
        </w:r>
        <w:r w:rsidR="00EB3F08" w:rsidRPr="0024327D">
          <w:rPr>
            <w:noProof/>
            <w:webHidden/>
          </w:rPr>
        </w:r>
        <w:r w:rsidR="00EB3F08" w:rsidRPr="0024327D">
          <w:rPr>
            <w:noProof/>
            <w:webHidden/>
          </w:rPr>
          <w:fldChar w:fldCharType="separate"/>
        </w:r>
        <w:r w:rsidR="005D1CBE" w:rsidRPr="0024327D">
          <w:rPr>
            <w:noProof/>
            <w:webHidden/>
          </w:rPr>
          <w:t>5</w:t>
        </w:r>
        <w:r w:rsidR="00EB3F08" w:rsidRPr="0024327D">
          <w:rPr>
            <w:noProof/>
            <w:webHidden/>
          </w:rPr>
          <w:fldChar w:fldCharType="end"/>
        </w:r>
      </w:hyperlink>
    </w:p>
    <w:p w14:paraId="75738BAC" w14:textId="4225887C" w:rsidR="00EB3F08" w:rsidRPr="0024327D" w:rsidRDefault="00C21269" w:rsidP="009015FC">
      <w:pPr>
        <w:pStyle w:val="11"/>
        <w:tabs>
          <w:tab w:val="left" w:pos="567"/>
        </w:tabs>
        <w:ind w:right="708"/>
        <w:rPr>
          <w:noProof/>
          <w:lang w:val="en-US"/>
        </w:rPr>
      </w:pPr>
      <w:hyperlink w:anchor="_Toc95480963" w:history="1">
        <w:r w:rsidR="00EB3F08" w:rsidRPr="0024327D">
          <w:rPr>
            <w:rStyle w:val="af4"/>
            <w:noProof/>
            <w:lang w:val="uk-UA"/>
          </w:rPr>
          <w:t>2</w:t>
        </w:r>
        <w:r w:rsidR="00EB3F08" w:rsidRPr="0024327D">
          <w:rPr>
            <w:noProof/>
            <w:lang w:val="en-US"/>
          </w:rPr>
          <w:tab/>
        </w:r>
        <w:r w:rsidR="00EB3F08" w:rsidRPr="0024327D">
          <w:rPr>
            <w:rStyle w:val="af4"/>
            <w:noProof/>
            <w:lang w:val="uk-UA"/>
          </w:rPr>
          <w:t>Вступ</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_Toc95480963 \h </w:instrText>
        </w:r>
        <w:r w:rsidR="00EB3F08" w:rsidRPr="0024327D">
          <w:rPr>
            <w:noProof/>
            <w:webHidden/>
          </w:rPr>
        </w:r>
        <w:r w:rsidR="00EB3F08" w:rsidRPr="0024327D">
          <w:rPr>
            <w:noProof/>
            <w:webHidden/>
          </w:rPr>
          <w:fldChar w:fldCharType="separate"/>
        </w:r>
        <w:r w:rsidR="005D1CBE" w:rsidRPr="0024327D">
          <w:rPr>
            <w:noProof/>
            <w:webHidden/>
          </w:rPr>
          <w:t>8</w:t>
        </w:r>
        <w:r w:rsidR="00EB3F08" w:rsidRPr="0024327D">
          <w:rPr>
            <w:noProof/>
            <w:webHidden/>
          </w:rPr>
          <w:fldChar w:fldCharType="end"/>
        </w:r>
      </w:hyperlink>
    </w:p>
    <w:p w14:paraId="6CC242FD" w14:textId="0C73A4EF" w:rsidR="00EB3F08" w:rsidRPr="0024327D" w:rsidRDefault="00C21269" w:rsidP="009015FC">
      <w:pPr>
        <w:pStyle w:val="21"/>
        <w:rPr>
          <w:noProof/>
          <w:lang w:val="en-US"/>
        </w:rPr>
      </w:pPr>
      <w:hyperlink w:anchor="_Toc95480964" w:history="1">
        <w:r w:rsidR="00EB3F08" w:rsidRPr="0024327D">
          <w:rPr>
            <w:noProof/>
            <w:lang w:val="en-US"/>
          </w:rPr>
          <w:t>2.1</w:t>
        </w:r>
        <w:r w:rsidR="00EB3F08" w:rsidRPr="0024327D">
          <w:rPr>
            <w:noProof/>
            <w:lang w:val="en-US"/>
          </w:rPr>
          <w:tab/>
          <w:t>Потенційні вигоди від запровадження сек’юритизації та облігацій з покриттям в Україні</w:t>
        </w:r>
        <w:r w:rsidR="00EB3F08" w:rsidRPr="0024327D">
          <w:rPr>
            <w:noProof/>
            <w:webHidden/>
            <w:lang w:val="en-US"/>
          </w:rPr>
          <w:tab/>
        </w:r>
        <w:r w:rsidR="00EB3F08" w:rsidRPr="0024327D">
          <w:rPr>
            <w:noProof/>
            <w:webHidden/>
            <w:lang w:val="en-US"/>
          </w:rPr>
          <w:fldChar w:fldCharType="begin"/>
        </w:r>
        <w:r w:rsidR="00EB3F08" w:rsidRPr="0024327D">
          <w:rPr>
            <w:noProof/>
            <w:webHidden/>
            <w:lang w:val="en-US"/>
          </w:rPr>
          <w:instrText xml:space="preserve"> PAGEREF _Toc95480964 \h </w:instrText>
        </w:r>
        <w:r w:rsidR="00EB3F08" w:rsidRPr="0024327D">
          <w:rPr>
            <w:noProof/>
            <w:webHidden/>
            <w:lang w:val="en-US"/>
          </w:rPr>
        </w:r>
        <w:r w:rsidR="00EB3F08" w:rsidRPr="0024327D">
          <w:rPr>
            <w:noProof/>
            <w:webHidden/>
            <w:lang w:val="en-US"/>
          </w:rPr>
          <w:fldChar w:fldCharType="separate"/>
        </w:r>
        <w:r w:rsidR="005D1CBE" w:rsidRPr="0024327D">
          <w:rPr>
            <w:noProof/>
            <w:webHidden/>
            <w:lang w:val="en-US"/>
          </w:rPr>
          <w:t>8</w:t>
        </w:r>
        <w:r w:rsidR="00EB3F08" w:rsidRPr="0024327D">
          <w:rPr>
            <w:noProof/>
            <w:webHidden/>
            <w:lang w:val="en-US"/>
          </w:rPr>
          <w:fldChar w:fldCharType="end"/>
        </w:r>
      </w:hyperlink>
    </w:p>
    <w:p w14:paraId="7390C756" w14:textId="5849D846" w:rsidR="00EB3F08" w:rsidRPr="0024327D" w:rsidRDefault="00C21269" w:rsidP="009015FC">
      <w:pPr>
        <w:pStyle w:val="21"/>
        <w:rPr>
          <w:noProof/>
          <w:lang w:val="en-US"/>
        </w:rPr>
      </w:pPr>
      <w:hyperlink w:anchor="_Toc95480965" w:history="1">
        <w:r w:rsidR="00EB3F08" w:rsidRPr="0024327D">
          <w:rPr>
            <w:rStyle w:val="af4"/>
            <w:noProof/>
            <w:lang w:val="uk-UA"/>
          </w:rPr>
          <w:t>2.2</w:t>
        </w:r>
        <w:r w:rsidR="00EB3F08" w:rsidRPr="0024327D">
          <w:rPr>
            <w:noProof/>
            <w:lang w:val="en-US"/>
          </w:rPr>
          <w:tab/>
        </w:r>
        <w:r w:rsidR="00EB3F08" w:rsidRPr="0024327D">
          <w:rPr>
            <w:rStyle w:val="af4"/>
            <w:noProof/>
            <w:lang w:val="uk-UA"/>
          </w:rPr>
          <w:t>Сфера застосування та роль концепції</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_Toc95480965 \h </w:instrText>
        </w:r>
        <w:r w:rsidR="00EB3F08" w:rsidRPr="0024327D">
          <w:rPr>
            <w:noProof/>
            <w:webHidden/>
          </w:rPr>
        </w:r>
        <w:r w:rsidR="00EB3F08" w:rsidRPr="0024327D">
          <w:rPr>
            <w:noProof/>
            <w:webHidden/>
          </w:rPr>
          <w:fldChar w:fldCharType="separate"/>
        </w:r>
        <w:r w:rsidR="005D1CBE" w:rsidRPr="0024327D">
          <w:rPr>
            <w:noProof/>
            <w:webHidden/>
          </w:rPr>
          <w:t>9</w:t>
        </w:r>
        <w:r w:rsidR="00EB3F08" w:rsidRPr="0024327D">
          <w:rPr>
            <w:noProof/>
            <w:webHidden/>
          </w:rPr>
          <w:fldChar w:fldCharType="end"/>
        </w:r>
      </w:hyperlink>
    </w:p>
    <w:p w14:paraId="143C2FF2" w14:textId="6A9C27EB" w:rsidR="00EB3F08" w:rsidRPr="0024327D" w:rsidRDefault="00C21269" w:rsidP="009015FC">
      <w:pPr>
        <w:pStyle w:val="21"/>
        <w:rPr>
          <w:noProof/>
          <w:lang w:val="en-US"/>
        </w:rPr>
      </w:pPr>
      <w:hyperlink w:anchor="_Toc95480966" w:history="1">
        <w:r w:rsidR="00EB3F08" w:rsidRPr="0024327D">
          <w:rPr>
            <w:rStyle w:val="af4"/>
            <w:noProof/>
            <w:lang w:val="uk-UA"/>
          </w:rPr>
          <w:t>2.3</w:t>
        </w:r>
        <w:r w:rsidR="00EB3F08" w:rsidRPr="0024327D">
          <w:rPr>
            <w:noProof/>
            <w:lang w:val="en-US"/>
          </w:rPr>
          <w:tab/>
        </w:r>
        <w:r w:rsidR="00EB3F08" w:rsidRPr="0024327D">
          <w:rPr>
            <w:rStyle w:val="af4"/>
            <w:noProof/>
            <w:lang w:val="uk-UA"/>
          </w:rPr>
          <w:t>Мета концепції</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_Toc95480966 \h </w:instrText>
        </w:r>
        <w:r w:rsidR="00EB3F08" w:rsidRPr="0024327D">
          <w:rPr>
            <w:noProof/>
            <w:webHidden/>
          </w:rPr>
        </w:r>
        <w:r w:rsidR="00EB3F08" w:rsidRPr="0024327D">
          <w:rPr>
            <w:noProof/>
            <w:webHidden/>
          </w:rPr>
          <w:fldChar w:fldCharType="separate"/>
        </w:r>
        <w:r w:rsidR="005D1CBE" w:rsidRPr="0024327D">
          <w:rPr>
            <w:noProof/>
            <w:webHidden/>
          </w:rPr>
          <w:t>9</w:t>
        </w:r>
        <w:r w:rsidR="00EB3F08" w:rsidRPr="0024327D">
          <w:rPr>
            <w:noProof/>
            <w:webHidden/>
          </w:rPr>
          <w:fldChar w:fldCharType="end"/>
        </w:r>
      </w:hyperlink>
    </w:p>
    <w:p w14:paraId="64081A93" w14:textId="3AE6C406" w:rsidR="00EB3F08" w:rsidRPr="0024327D" w:rsidRDefault="00C21269" w:rsidP="009015FC">
      <w:pPr>
        <w:pStyle w:val="21"/>
        <w:rPr>
          <w:noProof/>
          <w:lang w:val="en-US"/>
        </w:rPr>
      </w:pPr>
      <w:hyperlink w:anchor="_Toc95480967" w:history="1">
        <w:r w:rsidR="00EB3F08" w:rsidRPr="0024327D">
          <w:rPr>
            <w:rStyle w:val="af4"/>
            <w:noProof/>
            <w:lang w:val="uk-UA"/>
          </w:rPr>
          <w:t>2.4</w:t>
        </w:r>
        <w:r w:rsidR="00EB3F08" w:rsidRPr="0024327D">
          <w:rPr>
            <w:noProof/>
            <w:lang w:val="en-US"/>
          </w:rPr>
          <w:tab/>
        </w:r>
        <w:r w:rsidR="00EB3F08" w:rsidRPr="0024327D">
          <w:rPr>
            <w:rStyle w:val="af4"/>
            <w:noProof/>
            <w:lang w:val="uk-UA"/>
          </w:rPr>
          <w:t>Загальний опис процесу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_Toc95480967 \h </w:instrText>
        </w:r>
        <w:r w:rsidR="00EB3F08" w:rsidRPr="0024327D">
          <w:rPr>
            <w:noProof/>
            <w:webHidden/>
          </w:rPr>
        </w:r>
        <w:r w:rsidR="00EB3F08" w:rsidRPr="0024327D">
          <w:rPr>
            <w:noProof/>
            <w:webHidden/>
          </w:rPr>
          <w:fldChar w:fldCharType="separate"/>
        </w:r>
        <w:r w:rsidR="005D1CBE" w:rsidRPr="0024327D">
          <w:rPr>
            <w:noProof/>
            <w:webHidden/>
          </w:rPr>
          <w:t>10</w:t>
        </w:r>
        <w:r w:rsidR="00EB3F08" w:rsidRPr="0024327D">
          <w:rPr>
            <w:noProof/>
            <w:webHidden/>
          </w:rPr>
          <w:fldChar w:fldCharType="end"/>
        </w:r>
      </w:hyperlink>
    </w:p>
    <w:p w14:paraId="25F05411" w14:textId="137B687E" w:rsidR="00EB3F08" w:rsidRPr="0024327D" w:rsidRDefault="00C21269" w:rsidP="009015FC">
      <w:pPr>
        <w:pStyle w:val="11"/>
        <w:tabs>
          <w:tab w:val="left" w:pos="567"/>
        </w:tabs>
        <w:ind w:right="708"/>
        <w:rPr>
          <w:noProof/>
          <w:lang w:val="en-US"/>
        </w:rPr>
      </w:pPr>
      <w:hyperlink w:anchor="_Toc95480968" w:history="1">
        <w:r w:rsidR="00EB3F08" w:rsidRPr="0024327D">
          <w:rPr>
            <w:rStyle w:val="af4"/>
            <w:noProof/>
            <w:lang w:val="uk-UA"/>
          </w:rPr>
          <w:t>3</w:t>
        </w:r>
        <w:r w:rsidR="00EB3F08" w:rsidRPr="0024327D">
          <w:rPr>
            <w:noProof/>
            <w:lang w:val="en-US"/>
          </w:rPr>
          <w:tab/>
        </w:r>
        <w:r w:rsidR="00EB3F08" w:rsidRPr="0024327D">
          <w:rPr>
            <w:rStyle w:val="af4"/>
            <w:noProof/>
            <w:lang w:val="uk-UA"/>
          </w:rPr>
          <w:t>Опис</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_Toc95480968 \h </w:instrText>
        </w:r>
        <w:r w:rsidR="00EB3F08" w:rsidRPr="0024327D">
          <w:rPr>
            <w:noProof/>
            <w:webHidden/>
          </w:rPr>
        </w:r>
        <w:r w:rsidR="00EB3F08" w:rsidRPr="0024327D">
          <w:rPr>
            <w:noProof/>
            <w:webHidden/>
          </w:rPr>
          <w:fldChar w:fldCharType="separate"/>
        </w:r>
        <w:r w:rsidR="005D1CBE" w:rsidRPr="0024327D">
          <w:rPr>
            <w:noProof/>
            <w:webHidden/>
          </w:rPr>
          <w:t>11</w:t>
        </w:r>
        <w:r w:rsidR="00EB3F08" w:rsidRPr="0024327D">
          <w:rPr>
            <w:noProof/>
            <w:webHidden/>
          </w:rPr>
          <w:fldChar w:fldCharType="end"/>
        </w:r>
      </w:hyperlink>
    </w:p>
    <w:p w14:paraId="0FD5E1C7" w14:textId="06BC21F9" w:rsidR="00EB3F08" w:rsidRPr="0024327D" w:rsidRDefault="00C21269" w:rsidP="009015FC">
      <w:pPr>
        <w:pStyle w:val="21"/>
        <w:rPr>
          <w:noProof/>
          <w:lang w:val="en-US"/>
        </w:rPr>
      </w:pPr>
      <w:hyperlink w:anchor="_Toc95480969" w:history="1">
        <w:r w:rsidR="00EB3F08" w:rsidRPr="0024327D">
          <w:rPr>
            <w:rStyle w:val="af4"/>
            <w:noProof/>
            <w:lang w:val="uk-UA"/>
          </w:rPr>
          <w:t>3.1</w:t>
        </w:r>
        <w:r w:rsidR="00EB3F08" w:rsidRPr="0024327D">
          <w:rPr>
            <w:noProof/>
            <w:lang w:val="en-US"/>
          </w:rPr>
          <w:tab/>
        </w:r>
        <w:r w:rsidR="00EB3F08" w:rsidRPr="0024327D">
          <w:rPr>
            <w:rStyle w:val="af4"/>
            <w:noProof/>
            <w:lang w:val="uk-UA"/>
          </w:rPr>
          <w:t>Порівняння сек’юритизації та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_Toc95480969 \h </w:instrText>
        </w:r>
        <w:r w:rsidR="00EB3F08" w:rsidRPr="0024327D">
          <w:rPr>
            <w:noProof/>
            <w:webHidden/>
          </w:rPr>
        </w:r>
        <w:r w:rsidR="00EB3F08" w:rsidRPr="0024327D">
          <w:rPr>
            <w:noProof/>
            <w:webHidden/>
          </w:rPr>
          <w:fldChar w:fldCharType="separate"/>
        </w:r>
        <w:r w:rsidR="005D1CBE" w:rsidRPr="0024327D">
          <w:rPr>
            <w:noProof/>
            <w:webHidden/>
          </w:rPr>
          <w:t>11</w:t>
        </w:r>
        <w:r w:rsidR="00EB3F08" w:rsidRPr="0024327D">
          <w:rPr>
            <w:noProof/>
            <w:webHidden/>
          </w:rPr>
          <w:fldChar w:fldCharType="end"/>
        </w:r>
      </w:hyperlink>
    </w:p>
    <w:p w14:paraId="1B433B5A" w14:textId="66D0FAFE" w:rsidR="00EB3F08" w:rsidRPr="0024327D" w:rsidRDefault="00C21269" w:rsidP="009015FC">
      <w:pPr>
        <w:pStyle w:val="21"/>
        <w:rPr>
          <w:noProof/>
          <w:lang w:val="en-US"/>
        </w:rPr>
      </w:pPr>
      <w:hyperlink w:anchor="_Toc95480970" w:history="1">
        <w:r w:rsidR="00EB3F08" w:rsidRPr="0024327D">
          <w:rPr>
            <w:rStyle w:val="af4"/>
            <w:noProof/>
            <w:lang w:val="uk-UA"/>
          </w:rPr>
          <w:t>3.2</w:t>
        </w:r>
        <w:r w:rsidR="00EB3F08" w:rsidRPr="0024327D">
          <w:rPr>
            <w:noProof/>
            <w:lang w:val="en-US"/>
          </w:rPr>
          <w:tab/>
        </w:r>
        <w:r w:rsidR="00EB3F08" w:rsidRPr="0024327D">
          <w:rPr>
            <w:rStyle w:val="af4"/>
            <w:noProof/>
            <w:lang w:val="uk-UA"/>
          </w:rPr>
          <w:t>Відмінність між облігаціями з покриттям, що дають подвійне право вимоги, та сек’юритизацією, що за характером є “передачею ризиків”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_Toc95480970 \h </w:instrText>
        </w:r>
        <w:r w:rsidR="00EB3F08" w:rsidRPr="0024327D">
          <w:rPr>
            <w:noProof/>
            <w:webHidden/>
          </w:rPr>
        </w:r>
        <w:r w:rsidR="00EB3F08" w:rsidRPr="0024327D">
          <w:rPr>
            <w:noProof/>
            <w:webHidden/>
          </w:rPr>
          <w:fldChar w:fldCharType="separate"/>
        </w:r>
        <w:r w:rsidR="005D1CBE" w:rsidRPr="0024327D">
          <w:rPr>
            <w:noProof/>
            <w:webHidden/>
          </w:rPr>
          <w:t>15</w:t>
        </w:r>
        <w:r w:rsidR="00EB3F08" w:rsidRPr="0024327D">
          <w:rPr>
            <w:noProof/>
            <w:webHidden/>
          </w:rPr>
          <w:fldChar w:fldCharType="end"/>
        </w:r>
      </w:hyperlink>
    </w:p>
    <w:p w14:paraId="7D48BE0A" w14:textId="410216C4" w:rsidR="00EB3F08" w:rsidRPr="0024327D" w:rsidRDefault="00C21269" w:rsidP="002B671F">
      <w:pPr>
        <w:pStyle w:val="31"/>
        <w:rPr>
          <w:noProof/>
          <w:lang w:val="en-US"/>
        </w:rPr>
      </w:pPr>
      <w:hyperlink w:anchor="_Toc95480971" w:history="1">
        <w:r w:rsidR="00EB3F08" w:rsidRPr="0024327D">
          <w:rPr>
            <w:rStyle w:val="af4"/>
            <w:noProof/>
            <w:lang w:val="uk-UA"/>
          </w:rPr>
          <w:t>3.2.1</w:t>
        </w:r>
        <w:r w:rsidR="00EB3F08" w:rsidRPr="0024327D">
          <w:rPr>
            <w:noProof/>
            <w:lang w:val="en-US"/>
          </w:rPr>
          <w:tab/>
        </w:r>
        <w:r w:rsidR="00EB3F08" w:rsidRPr="0024327D">
          <w:rPr>
            <w:rStyle w:val="af4"/>
            <w:noProof/>
            <w:lang w:val="uk-UA"/>
          </w:rPr>
          <w:t>Оригінатор</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_Toc95480971 \h </w:instrText>
        </w:r>
        <w:r w:rsidR="00EB3F08" w:rsidRPr="0024327D">
          <w:rPr>
            <w:noProof/>
            <w:webHidden/>
          </w:rPr>
        </w:r>
        <w:r w:rsidR="00EB3F08" w:rsidRPr="0024327D">
          <w:rPr>
            <w:noProof/>
            <w:webHidden/>
          </w:rPr>
          <w:fldChar w:fldCharType="separate"/>
        </w:r>
        <w:r w:rsidR="005D1CBE" w:rsidRPr="0024327D">
          <w:rPr>
            <w:noProof/>
            <w:webHidden/>
          </w:rPr>
          <w:t>15</w:t>
        </w:r>
        <w:r w:rsidR="00EB3F08" w:rsidRPr="0024327D">
          <w:rPr>
            <w:noProof/>
            <w:webHidden/>
          </w:rPr>
          <w:fldChar w:fldCharType="end"/>
        </w:r>
      </w:hyperlink>
    </w:p>
    <w:p w14:paraId="6AAF775F" w14:textId="423559E0" w:rsidR="00EB3F08" w:rsidRPr="0024327D" w:rsidRDefault="00C21269" w:rsidP="002B671F">
      <w:pPr>
        <w:pStyle w:val="31"/>
        <w:rPr>
          <w:noProof/>
          <w:lang w:val="en-US"/>
        </w:rPr>
      </w:pPr>
      <w:hyperlink w:anchor="_Toc95480972" w:history="1">
        <w:r w:rsidR="00EB3F08" w:rsidRPr="0024327D">
          <w:rPr>
            <w:rStyle w:val="af4"/>
            <w:noProof/>
            <w:lang w:val="uk-UA"/>
          </w:rPr>
          <w:t>3.2.2</w:t>
        </w:r>
        <w:r w:rsidR="00EB3F08" w:rsidRPr="0024327D">
          <w:rPr>
            <w:noProof/>
            <w:lang w:val="en-US"/>
          </w:rPr>
          <w:tab/>
        </w:r>
        <w:r w:rsidR="00EB3F08" w:rsidRPr="0024327D">
          <w:rPr>
            <w:rStyle w:val="af4"/>
            <w:noProof/>
            <w:lang w:val="uk-UA"/>
          </w:rPr>
          <w:t>Інвестор</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_Toc95480972 \h </w:instrText>
        </w:r>
        <w:r w:rsidR="00EB3F08" w:rsidRPr="0024327D">
          <w:rPr>
            <w:noProof/>
            <w:webHidden/>
          </w:rPr>
        </w:r>
        <w:r w:rsidR="00EB3F08" w:rsidRPr="0024327D">
          <w:rPr>
            <w:noProof/>
            <w:webHidden/>
          </w:rPr>
          <w:fldChar w:fldCharType="separate"/>
        </w:r>
        <w:r w:rsidR="005D1CBE" w:rsidRPr="0024327D">
          <w:rPr>
            <w:noProof/>
            <w:webHidden/>
          </w:rPr>
          <w:t>16</w:t>
        </w:r>
        <w:r w:rsidR="00EB3F08" w:rsidRPr="0024327D">
          <w:rPr>
            <w:noProof/>
            <w:webHidden/>
          </w:rPr>
          <w:fldChar w:fldCharType="end"/>
        </w:r>
      </w:hyperlink>
    </w:p>
    <w:p w14:paraId="68836D86" w14:textId="3F229515" w:rsidR="00EB3F08" w:rsidRPr="0024327D" w:rsidRDefault="00C21269" w:rsidP="002B671F">
      <w:pPr>
        <w:pStyle w:val="31"/>
        <w:rPr>
          <w:noProof/>
          <w:lang w:val="en-US"/>
        </w:rPr>
      </w:pPr>
      <w:hyperlink w:anchor="_Toc95480973" w:history="1">
        <w:r w:rsidR="00EB3F08" w:rsidRPr="0024327D">
          <w:rPr>
            <w:rStyle w:val="af4"/>
            <w:noProof/>
            <w:lang w:val="uk-UA"/>
          </w:rPr>
          <w:t>3.2.3</w:t>
        </w:r>
        <w:r w:rsidR="00EB3F08" w:rsidRPr="0024327D">
          <w:rPr>
            <w:noProof/>
            <w:lang w:val="en-US"/>
          </w:rPr>
          <w:tab/>
        </w:r>
        <w:r w:rsidR="00EB3F08" w:rsidRPr="0024327D">
          <w:rPr>
            <w:rStyle w:val="af4"/>
            <w:noProof/>
            <w:lang w:val="uk-UA"/>
          </w:rPr>
          <w:t>Клієнти, чия заборгованість включена до складу пулу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_Toc95480973 \h </w:instrText>
        </w:r>
        <w:r w:rsidR="00EB3F08" w:rsidRPr="0024327D">
          <w:rPr>
            <w:noProof/>
            <w:webHidden/>
          </w:rPr>
        </w:r>
        <w:r w:rsidR="00EB3F08" w:rsidRPr="0024327D">
          <w:rPr>
            <w:noProof/>
            <w:webHidden/>
          </w:rPr>
          <w:fldChar w:fldCharType="separate"/>
        </w:r>
        <w:r w:rsidR="005D1CBE" w:rsidRPr="0024327D">
          <w:rPr>
            <w:noProof/>
            <w:webHidden/>
          </w:rPr>
          <w:t>16</w:t>
        </w:r>
        <w:r w:rsidR="00EB3F08" w:rsidRPr="0024327D">
          <w:rPr>
            <w:noProof/>
            <w:webHidden/>
          </w:rPr>
          <w:fldChar w:fldCharType="end"/>
        </w:r>
      </w:hyperlink>
    </w:p>
    <w:p w14:paraId="150D8ABE" w14:textId="001944C5" w:rsidR="00EB3F08" w:rsidRPr="0024327D" w:rsidRDefault="00C21269" w:rsidP="009015FC">
      <w:pPr>
        <w:pStyle w:val="21"/>
        <w:rPr>
          <w:noProof/>
          <w:lang w:val="en-US"/>
        </w:rPr>
      </w:pPr>
      <w:hyperlink w:anchor="_Toc95480974" w:history="1">
        <w:r w:rsidR="00EB3F08" w:rsidRPr="0024327D">
          <w:rPr>
            <w:rStyle w:val="af4"/>
            <w:noProof/>
            <w:lang w:val="uk-UA"/>
          </w:rPr>
          <w:t>3.3</w:t>
        </w:r>
        <w:r w:rsidR="00EB3F08" w:rsidRPr="0024327D">
          <w:rPr>
            <w:noProof/>
            <w:lang w:val="en-US"/>
          </w:rPr>
          <w:tab/>
        </w:r>
        <w:r w:rsidR="00EB3F08" w:rsidRPr="0024327D">
          <w:rPr>
            <w:rStyle w:val="af4"/>
            <w:noProof/>
            <w:lang w:val="uk-UA"/>
          </w:rPr>
          <w:t>Альтернативні форми сек’юритизації</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_Toc95480974 \h </w:instrText>
        </w:r>
        <w:r w:rsidR="00EB3F08" w:rsidRPr="0024327D">
          <w:rPr>
            <w:noProof/>
            <w:webHidden/>
          </w:rPr>
        </w:r>
        <w:r w:rsidR="00EB3F08" w:rsidRPr="0024327D">
          <w:rPr>
            <w:noProof/>
            <w:webHidden/>
          </w:rPr>
          <w:fldChar w:fldCharType="separate"/>
        </w:r>
        <w:r w:rsidR="005D1CBE" w:rsidRPr="0024327D">
          <w:rPr>
            <w:noProof/>
            <w:webHidden/>
          </w:rPr>
          <w:t>16</w:t>
        </w:r>
        <w:r w:rsidR="00EB3F08" w:rsidRPr="0024327D">
          <w:rPr>
            <w:noProof/>
            <w:webHidden/>
          </w:rPr>
          <w:fldChar w:fldCharType="end"/>
        </w:r>
      </w:hyperlink>
    </w:p>
    <w:p w14:paraId="4390656D" w14:textId="7EED2BCD" w:rsidR="00EB3F08" w:rsidRPr="0024327D" w:rsidRDefault="00C21269" w:rsidP="002B671F">
      <w:pPr>
        <w:pStyle w:val="31"/>
        <w:rPr>
          <w:noProof/>
          <w:lang w:val="en-US"/>
        </w:rPr>
      </w:pPr>
      <w:hyperlink w:anchor="_Toc95480975" w:history="1">
        <w:r w:rsidR="00EB3F08" w:rsidRPr="0024327D">
          <w:rPr>
            <w:rStyle w:val="af4"/>
            <w:noProof/>
            <w:lang w:val="uk-UA"/>
          </w:rPr>
          <w:t>3.3.1</w:t>
        </w:r>
        <w:r w:rsidR="00EB3F08" w:rsidRPr="0024327D">
          <w:rPr>
            <w:noProof/>
            <w:lang w:val="en-US"/>
          </w:rPr>
          <w:tab/>
        </w:r>
        <w:r w:rsidR="00EB3F08" w:rsidRPr="0024327D">
          <w:rPr>
            <w:rStyle w:val="af4"/>
            <w:noProof/>
            <w:lang w:val="uk-UA"/>
          </w:rPr>
          <w:t>Синтетичні сек’юритизації</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_Toc95480975 \h </w:instrText>
        </w:r>
        <w:r w:rsidR="00EB3F08" w:rsidRPr="0024327D">
          <w:rPr>
            <w:noProof/>
            <w:webHidden/>
          </w:rPr>
        </w:r>
        <w:r w:rsidR="00EB3F08" w:rsidRPr="0024327D">
          <w:rPr>
            <w:noProof/>
            <w:webHidden/>
          </w:rPr>
          <w:fldChar w:fldCharType="separate"/>
        </w:r>
        <w:r w:rsidR="005D1CBE" w:rsidRPr="0024327D">
          <w:rPr>
            <w:noProof/>
            <w:webHidden/>
          </w:rPr>
          <w:t>17</w:t>
        </w:r>
        <w:r w:rsidR="00EB3F08" w:rsidRPr="0024327D">
          <w:rPr>
            <w:noProof/>
            <w:webHidden/>
          </w:rPr>
          <w:fldChar w:fldCharType="end"/>
        </w:r>
      </w:hyperlink>
    </w:p>
    <w:p w14:paraId="158FEE9A" w14:textId="45D10DCE" w:rsidR="00EB3F08" w:rsidRPr="0024327D" w:rsidRDefault="00C21269" w:rsidP="002B671F">
      <w:pPr>
        <w:pStyle w:val="31"/>
        <w:rPr>
          <w:noProof/>
          <w:lang w:val="en-US"/>
        </w:rPr>
      </w:pPr>
      <w:hyperlink w:anchor="_Toc95480976" w:history="1">
        <w:r w:rsidR="00EB3F08" w:rsidRPr="0024327D">
          <w:rPr>
            <w:rStyle w:val="af4"/>
            <w:noProof/>
            <w:lang w:val="uk-UA"/>
          </w:rPr>
          <w:t>3.3.2</w:t>
        </w:r>
        <w:r w:rsidR="00EB3F08" w:rsidRPr="0024327D">
          <w:rPr>
            <w:noProof/>
            <w:lang w:val="en-US"/>
          </w:rPr>
          <w:tab/>
        </w:r>
        <w:r w:rsidR="00EB3F08" w:rsidRPr="0024327D">
          <w:rPr>
            <w:rStyle w:val="af4"/>
            <w:noProof/>
            <w:lang w:val="uk-UA"/>
          </w:rPr>
          <w:t>Сек’юритизація майбутніх надходжень</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_Toc95480976 \h </w:instrText>
        </w:r>
        <w:r w:rsidR="00EB3F08" w:rsidRPr="0024327D">
          <w:rPr>
            <w:noProof/>
            <w:webHidden/>
          </w:rPr>
        </w:r>
        <w:r w:rsidR="00EB3F08" w:rsidRPr="0024327D">
          <w:rPr>
            <w:noProof/>
            <w:webHidden/>
          </w:rPr>
          <w:fldChar w:fldCharType="separate"/>
        </w:r>
        <w:r w:rsidR="005D1CBE" w:rsidRPr="0024327D">
          <w:rPr>
            <w:noProof/>
            <w:webHidden/>
          </w:rPr>
          <w:t>17</w:t>
        </w:r>
        <w:r w:rsidR="00EB3F08" w:rsidRPr="0024327D">
          <w:rPr>
            <w:noProof/>
            <w:webHidden/>
          </w:rPr>
          <w:fldChar w:fldCharType="end"/>
        </w:r>
      </w:hyperlink>
    </w:p>
    <w:p w14:paraId="4DC141EB" w14:textId="45A524C0" w:rsidR="00EB3F08" w:rsidRPr="0024327D" w:rsidRDefault="00C21269" w:rsidP="009015FC">
      <w:pPr>
        <w:pStyle w:val="21"/>
        <w:rPr>
          <w:noProof/>
          <w:lang w:val="en-US"/>
        </w:rPr>
      </w:pPr>
      <w:hyperlink w:anchor="_Toc95480977" w:history="1">
        <w:r w:rsidR="00EB3F08" w:rsidRPr="0024327D">
          <w:rPr>
            <w:rStyle w:val="af4"/>
            <w:noProof/>
            <w:lang w:val="uk-UA"/>
          </w:rPr>
          <w:t>3.4</w:t>
        </w:r>
        <w:r w:rsidR="00EB3F08" w:rsidRPr="0024327D">
          <w:rPr>
            <w:noProof/>
            <w:lang w:val="en-US"/>
          </w:rPr>
          <w:tab/>
        </w:r>
        <w:r w:rsidR="00EB3F08" w:rsidRPr="0024327D">
          <w:rPr>
            <w:rStyle w:val="af4"/>
            <w:noProof/>
            <w:lang w:val="uk-UA"/>
          </w:rPr>
          <w:t>Альтернативні форми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_Toc95480977 \h </w:instrText>
        </w:r>
        <w:r w:rsidR="00EB3F08" w:rsidRPr="0024327D">
          <w:rPr>
            <w:noProof/>
            <w:webHidden/>
          </w:rPr>
        </w:r>
        <w:r w:rsidR="00EB3F08" w:rsidRPr="0024327D">
          <w:rPr>
            <w:noProof/>
            <w:webHidden/>
          </w:rPr>
          <w:fldChar w:fldCharType="separate"/>
        </w:r>
        <w:r w:rsidR="005D1CBE" w:rsidRPr="0024327D">
          <w:rPr>
            <w:noProof/>
            <w:webHidden/>
          </w:rPr>
          <w:t>18</w:t>
        </w:r>
        <w:r w:rsidR="00EB3F08" w:rsidRPr="0024327D">
          <w:rPr>
            <w:noProof/>
            <w:webHidden/>
          </w:rPr>
          <w:fldChar w:fldCharType="end"/>
        </w:r>
      </w:hyperlink>
    </w:p>
    <w:p w14:paraId="0A0AA226" w14:textId="1FB2C54A" w:rsidR="00EB3F08" w:rsidRPr="0024327D" w:rsidRDefault="00C21269" w:rsidP="009015FC">
      <w:pPr>
        <w:pStyle w:val="21"/>
        <w:rPr>
          <w:noProof/>
          <w:lang w:val="en-US"/>
        </w:rPr>
      </w:pPr>
      <w:hyperlink w:anchor="_Toc95480978" w:history="1">
        <w:r w:rsidR="00EB3F08" w:rsidRPr="0024327D">
          <w:rPr>
            <w:rStyle w:val="af4"/>
            <w:noProof/>
            <w:lang w:val="uk-UA"/>
          </w:rPr>
          <w:t>3.5</w:t>
        </w:r>
        <w:r w:rsidR="00EB3F08" w:rsidRPr="0024327D">
          <w:rPr>
            <w:noProof/>
            <w:lang w:val="en-US"/>
          </w:rPr>
          <w:tab/>
        </w:r>
        <w:r w:rsidR="00EB3F08" w:rsidRPr="0024327D">
          <w:rPr>
            <w:rStyle w:val="af4"/>
            <w:noProof/>
            <w:lang w:val="uk-UA"/>
          </w:rPr>
          <w:t>Історичні міркування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_Toc95480978 \h </w:instrText>
        </w:r>
        <w:r w:rsidR="00EB3F08" w:rsidRPr="0024327D">
          <w:rPr>
            <w:noProof/>
            <w:webHidden/>
          </w:rPr>
        </w:r>
        <w:r w:rsidR="00EB3F08" w:rsidRPr="0024327D">
          <w:rPr>
            <w:noProof/>
            <w:webHidden/>
          </w:rPr>
          <w:fldChar w:fldCharType="separate"/>
        </w:r>
        <w:r w:rsidR="00794F12" w:rsidRPr="0024327D">
          <w:rPr>
            <w:noProof/>
            <w:webHidden/>
          </w:rPr>
          <w:t>19</w:t>
        </w:r>
        <w:r w:rsidR="00EB3F08" w:rsidRPr="0024327D">
          <w:rPr>
            <w:noProof/>
            <w:webHidden/>
          </w:rPr>
          <w:fldChar w:fldCharType="end"/>
        </w:r>
      </w:hyperlink>
    </w:p>
    <w:p w14:paraId="54FB541C" w14:textId="345E741A" w:rsidR="00EB3F08" w:rsidRPr="0024327D" w:rsidRDefault="00C21269" w:rsidP="002B671F">
      <w:pPr>
        <w:pStyle w:val="31"/>
        <w:rPr>
          <w:noProof/>
          <w:lang w:val="en-US"/>
        </w:rPr>
      </w:pPr>
      <w:hyperlink w:anchor="_Toc95480979" w:history="1">
        <w:r w:rsidR="00EB3F08" w:rsidRPr="0024327D">
          <w:rPr>
            <w:rStyle w:val="af4"/>
            <w:noProof/>
            <w:lang w:val="uk-UA"/>
          </w:rPr>
          <w:t>3.5.1</w:t>
        </w:r>
        <w:r w:rsidR="00EB3F08" w:rsidRPr="0024327D">
          <w:rPr>
            <w:noProof/>
            <w:lang w:val="en-US"/>
          </w:rPr>
          <w:tab/>
        </w:r>
        <w:r w:rsidR="00EB3F08" w:rsidRPr="0024327D">
          <w:rPr>
            <w:rStyle w:val="af4"/>
            <w:noProof/>
            <w:lang w:val="uk-UA"/>
          </w:rPr>
          <w:t>Облігації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_Toc95480979 \h </w:instrText>
        </w:r>
        <w:r w:rsidR="00EB3F08" w:rsidRPr="0024327D">
          <w:rPr>
            <w:noProof/>
            <w:webHidden/>
          </w:rPr>
        </w:r>
        <w:r w:rsidR="00EB3F08" w:rsidRPr="0024327D">
          <w:rPr>
            <w:noProof/>
            <w:webHidden/>
          </w:rPr>
          <w:fldChar w:fldCharType="separate"/>
        </w:r>
        <w:r w:rsidR="00794F12" w:rsidRPr="0024327D">
          <w:rPr>
            <w:noProof/>
            <w:webHidden/>
          </w:rPr>
          <w:t>19</w:t>
        </w:r>
        <w:r w:rsidR="00EB3F08" w:rsidRPr="0024327D">
          <w:rPr>
            <w:noProof/>
            <w:webHidden/>
          </w:rPr>
          <w:fldChar w:fldCharType="end"/>
        </w:r>
      </w:hyperlink>
    </w:p>
    <w:p w14:paraId="48D69AE0" w14:textId="757A8BBB" w:rsidR="00EB3F08" w:rsidRPr="0024327D" w:rsidRDefault="00C21269" w:rsidP="002B671F">
      <w:pPr>
        <w:pStyle w:val="31"/>
        <w:rPr>
          <w:noProof/>
          <w:lang w:val="en-US"/>
        </w:rPr>
      </w:pPr>
      <w:hyperlink w:anchor="_Toc95480980" w:history="1">
        <w:r w:rsidR="00EB3F08" w:rsidRPr="0024327D">
          <w:rPr>
            <w:rStyle w:val="af4"/>
            <w:noProof/>
            <w:lang w:val="uk-UA"/>
          </w:rPr>
          <w:t>3.5.2</w:t>
        </w:r>
        <w:r w:rsidR="00EB3F08" w:rsidRPr="0024327D">
          <w:rPr>
            <w:noProof/>
            <w:lang w:val="en-US"/>
          </w:rPr>
          <w:tab/>
        </w:r>
        <w:r w:rsidR="00EB3F08" w:rsidRPr="0024327D">
          <w:rPr>
            <w:rStyle w:val="af4"/>
            <w:noProof/>
            <w:lang w:val="uk-UA"/>
          </w:rPr>
          <w:t>Сек’юритизація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_Toc95480980 \h </w:instrText>
        </w:r>
        <w:r w:rsidR="00EB3F08" w:rsidRPr="0024327D">
          <w:rPr>
            <w:noProof/>
            <w:webHidden/>
          </w:rPr>
        </w:r>
        <w:r w:rsidR="00EB3F08" w:rsidRPr="0024327D">
          <w:rPr>
            <w:noProof/>
            <w:webHidden/>
          </w:rPr>
          <w:fldChar w:fldCharType="separate"/>
        </w:r>
        <w:r w:rsidR="005D1CBE" w:rsidRPr="0024327D">
          <w:rPr>
            <w:noProof/>
            <w:webHidden/>
          </w:rPr>
          <w:t>19</w:t>
        </w:r>
        <w:r w:rsidR="00EB3F08" w:rsidRPr="0024327D">
          <w:rPr>
            <w:noProof/>
            <w:webHidden/>
          </w:rPr>
          <w:fldChar w:fldCharType="end"/>
        </w:r>
      </w:hyperlink>
    </w:p>
    <w:p w14:paraId="6C006202" w14:textId="2C252FD2" w:rsidR="00EB3F08" w:rsidRPr="0024327D" w:rsidRDefault="00C21269" w:rsidP="009015FC">
      <w:pPr>
        <w:pStyle w:val="21"/>
        <w:rPr>
          <w:noProof/>
          <w:lang w:val="en-US"/>
        </w:rPr>
      </w:pPr>
      <w:hyperlink w:anchor="_Toc95480981" w:history="1">
        <w:r w:rsidR="00EB3F08" w:rsidRPr="0024327D">
          <w:rPr>
            <w:rStyle w:val="af4"/>
            <w:noProof/>
            <w:lang w:val="uk-UA"/>
          </w:rPr>
          <w:t>3.6</w:t>
        </w:r>
        <w:r w:rsidR="00EB3F08" w:rsidRPr="0024327D">
          <w:rPr>
            <w:noProof/>
            <w:lang w:val="en-US"/>
          </w:rPr>
          <w:tab/>
        </w:r>
        <w:r w:rsidR="00EB3F08" w:rsidRPr="0024327D">
          <w:rPr>
            <w:rStyle w:val="af4"/>
            <w:noProof/>
            <w:lang w:val="uk-UA"/>
          </w:rPr>
          <w:t>Потенційні переваги</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_Toc95480981 \h </w:instrText>
        </w:r>
        <w:r w:rsidR="00EB3F08" w:rsidRPr="0024327D">
          <w:rPr>
            <w:noProof/>
            <w:webHidden/>
          </w:rPr>
        </w:r>
        <w:r w:rsidR="00EB3F08" w:rsidRPr="0024327D">
          <w:rPr>
            <w:noProof/>
            <w:webHidden/>
          </w:rPr>
          <w:fldChar w:fldCharType="separate"/>
        </w:r>
        <w:r w:rsidR="005D1CBE" w:rsidRPr="0024327D">
          <w:rPr>
            <w:noProof/>
            <w:webHidden/>
          </w:rPr>
          <w:t>20</w:t>
        </w:r>
        <w:r w:rsidR="00EB3F08" w:rsidRPr="0024327D">
          <w:rPr>
            <w:noProof/>
            <w:webHidden/>
          </w:rPr>
          <w:fldChar w:fldCharType="end"/>
        </w:r>
      </w:hyperlink>
    </w:p>
    <w:p w14:paraId="65BCD060" w14:textId="7D145988" w:rsidR="00EB3F08" w:rsidRPr="0024327D" w:rsidRDefault="00C21269" w:rsidP="009015FC">
      <w:pPr>
        <w:pStyle w:val="21"/>
        <w:rPr>
          <w:noProof/>
          <w:lang w:val="en-US"/>
        </w:rPr>
      </w:pPr>
      <w:hyperlink w:anchor="_Toc95480982" w:history="1">
        <w:r w:rsidR="00EB3F08" w:rsidRPr="0024327D">
          <w:rPr>
            <w:rStyle w:val="af4"/>
            <w:noProof/>
            <w:lang w:val="uk-UA"/>
          </w:rPr>
          <w:t>3.7</w:t>
        </w:r>
        <w:r w:rsidR="00EB3F08" w:rsidRPr="0024327D">
          <w:rPr>
            <w:noProof/>
            <w:lang w:val="en-US"/>
          </w:rPr>
          <w:tab/>
        </w:r>
        <w:r w:rsidR="00EB3F08" w:rsidRPr="0024327D">
          <w:rPr>
            <w:rStyle w:val="af4"/>
            <w:noProof/>
            <w:lang w:val="uk-UA"/>
          </w:rPr>
          <w:t>Потенційні ризики</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_Toc95480982 \h </w:instrText>
        </w:r>
        <w:r w:rsidR="00EB3F08" w:rsidRPr="0024327D">
          <w:rPr>
            <w:noProof/>
            <w:webHidden/>
          </w:rPr>
        </w:r>
        <w:r w:rsidR="00EB3F08" w:rsidRPr="0024327D">
          <w:rPr>
            <w:noProof/>
            <w:webHidden/>
          </w:rPr>
          <w:fldChar w:fldCharType="separate"/>
        </w:r>
        <w:r w:rsidR="00794F12" w:rsidRPr="0024327D">
          <w:rPr>
            <w:noProof/>
            <w:webHidden/>
          </w:rPr>
          <w:t>22</w:t>
        </w:r>
        <w:r w:rsidR="00EB3F08" w:rsidRPr="0024327D">
          <w:rPr>
            <w:noProof/>
            <w:webHidden/>
          </w:rPr>
          <w:fldChar w:fldCharType="end"/>
        </w:r>
      </w:hyperlink>
    </w:p>
    <w:p w14:paraId="1792D136" w14:textId="79D0CFCF" w:rsidR="00EB3F08" w:rsidRPr="0024327D" w:rsidRDefault="00C21269" w:rsidP="009015FC">
      <w:pPr>
        <w:pStyle w:val="21"/>
        <w:rPr>
          <w:noProof/>
          <w:lang w:val="en-US"/>
        </w:rPr>
      </w:pPr>
      <w:hyperlink w:anchor="_Toc95480983" w:history="1">
        <w:r w:rsidR="00EB3F08" w:rsidRPr="0024327D">
          <w:rPr>
            <w:rStyle w:val="af4"/>
            <w:noProof/>
            <w:lang w:val="uk-UA"/>
          </w:rPr>
          <w:t>3.8</w:t>
        </w:r>
        <w:r w:rsidR="00EB3F08" w:rsidRPr="0024327D">
          <w:rPr>
            <w:noProof/>
            <w:lang w:val="en-US"/>
          </w:rPr>
          <w:tab/>
        </w:r>
        <w:r w:rsidR="00EB3F08" w:rsidRPr="0024327D">
          <w:rPr>
            <w:rStyle w:val="af4"/>
            <w:noProof/>
            <w:lang w:val="uk-UA"/>
          </w:rPr>
          <w:t>Механізми захисту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_Toc95480983 \h </w:instrText>
        </w:r>
        <w:r w:rsidR="00EB3F08" w:rsidRPr="0024327D">
          <w:rPr>
            <w:noProof/>
            <w:webHidden/>
          </w:rPr>
        </w:r>
        <w:r w:rsidR="00EB3F08" w:rsidRPr="0024327D">
          <w:rPr>
            <w:noProof/>
            <w:webHidden/>
          </w:rPr>
          <w:fldChar w:fldCharType="separate"/>
        </w:r>
        <w:r w:rsidR="00794F12" w:rsidRPr="0024327D">
          <w:rPr>
            <w:noProof/>
            <w:webHidden/>
          </w:rPr>
          <w:t>23</w:t>
        </w:r>
        <w:r w:rsidR="00EB3F08" w:rsidRPr="0024327D">
          <w:rPr>
            <w:noProof/>
            <w:webHidden/>
          </w:rPr>
          <w:fldChar w:fldCharType="end"/>
        </w:r>
      </w:hyperlink>
    </w:p>
    <w:p w14:paraId="7670D264" w14:textId="194C6739" w:rsidR="00EB3F08" w:rsidRPr="0024327D" w:rsidRDefault="00C21269" w:rsidP="009015FC">
      <w:pPr>
        <w:pStyle w:val="11"/>
        <w:tabs>
          <w:tab w:val="left" w:pos="567"/>
        </w:tabs>
        <w:ind w:right="708"/>
        <w:rPr>
          <w:noProof/>
          <w:lang w:val="en-US"/>
        </w:rPr>
      </w:pPr>
      <w:hyperlink w:anchor="_Toc95480984" w:history="1">
        <w:r w:rsidR="00EB3F08" w:rsidRPr="0024327D">
          <w:rPr>
            <w:rStyle w:val="af4"/>
            <w:noProof/>
            <w:lang w:val="uk-UA"/>
          </w:rPr>
          <w:t>4</w:t>
        </w:r>
        <w:r w:rsidR="00EB3F08" w:rsidRPr="0024327D">
          <w:rPr>
            <w:noProof/>
            <w:lang w:val="en-US"/>
          </w:rPr>
          <w:tab/>
        </w:r>
        <w:r w:rsidR="00EB3F08" w:rsidRPr="0024327D">
          <w:rPr>
            <w:rStyle w:val="af4"/>
            <w:noProof/>
            <w:lang w:val="uk-UA"/>
          </w:rPr>
          <w:t>Структурні складові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_Toc95480984 \h </w:instrText>
        </w:r>
        <w:r w:rsidR="00EB3F08" w:rsidRPr="0024327D">
          <w:rPr>
            <w:noProof/>
            <w:webHidden/>
          </w:rPr>
        </w:r>
        <w:r w:rsidR="00EB3F08" w:rsidRPr="0024327D">
          <w:rPr>
            <w:noProof/>
            <w:webHidden/>
          </w:rPr>
          <w:fldChar w:fldCharType="separate"/>
        </w:r>
        <w:r w:rsidR="005D1CBE" w:rsidRPr="0024327D">
          <w:rPr>
            <w:noProof/>
            <w:webHidden/>
          </w:rPr>
          <w:t>24</w:t>
        </w:r>
        <w:r w:rsidR="00EB3F08" w:rsidRPr="0024327D">
          <w:rPr>
            <w:noProof/>
            <w:webHidden/>
          </w:rPr>
          <w:fldChar w:fldCharType="end"/>
        </w:r>
      </w:hyperlink>
    </w:p>
    <w:p w14:paraId="614434FF" w14:textId="17AD66DE" w:rsidR="00EB3F08" w:rsidRPr="0024327D" w:rsidRDefault="00C21269" w:rsidP="009015FC">
      <w:pPr>
        <w:pStyle w:val="21"/>
        <w:rPr>
          <w:noProof/>
          <w:lang w:val="en-US"/>
        </w:rPr>
      </w:pPr>
      <w:hyperlink w:anchor="_Toc95480985" w:history="1">
        <w:r w:rsidR="00EB3F08" w:rsidRPr="0024327D">
          <w:rPr>
            <w:rStyle w:val="af4"/>
            <w:noProof/>
            <w:lang w:val="uk-UA"/>
          </w:rPr>
          <w:t>4.1</w:t>
        </w:r>
        <w:r w:rsidR="00EB3F08" w:rsidRPr="0024327D">
          <w:rPr>
            <w:noProof/>
            <w:lang w:val="en-US"/>
          </w:rPr>
          <w:tab/>
        </w:r>
        <w:r w:rsidR="00EB3F08" w:rsidRPr="0024327D">
          <w:rPr>
            <w:rStyle w:val="af4"/>
            <w:noProof/>
            <w:lang w:val="uk-UA"/>
          </w:rPr>
          <w:t>Структурні складові ринку сек’юритизації</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_Toc95480985 \h </w:instrText>
        </w:r>
        <w:r w:rsidR="00EB3F08" w:rsidRPr="0024327D">
          <w:rPr>
            <w:noProof/>
            <w:webHidden/>
          </w:rPr>
        </w:r>
        <w:r w:rsidR="00EB3F08" w:rsidRPr="0024327D">
          <w:rPr>
            <w:noProof/>
            <w:webHidden/>
          </w:rPr>
          <w:fldChar w:fldCharType="separate"/>
        </w:r>
        <w:r w:rsidR="005D1CBE" w:rsidRPr="0024327D">
          <w:rPr>
            <w:noProof/>
            <w:webHidden/>
          </w:rPr>
          <w:t>24</w:t>
        </w:r>
        <w:r w:rsidR="00EB3F08" w:rsidRPr="0024327D">
          <w:rPr>
            <w:noProof/>
            <w:webHidden/>
          </w:rPr>
          <w:fldChar w:fldCharType="end"/>
        </w:r>
      </w:hyperlink>
    </w:p>
    <w:p w14:paraId="10B1FF6B" w14:textId="3BE2F31C" w:rsidR="00EB3F08" w:rsidRPr="0024327D" w:rsidRDefault="00C21269" w:rsidP="002B671F">
      <w:pPr>
        <w:pStyle w:val="31"/>
        <w:rPr>
          <w:noProof/>
          <w:lang w:val="en-US"/>
        </w:rPr>
      </w:pPr>
      <w:hyperlink w:anchor="_Toc95480986" w:history="1">
        <w:r w:rsidR="00EB3F08" w:rsidRPr="0024327D">
          <w:rPr>
            <w:rStyle w:val="af4"/>
            <w:noProof/>
            <w:lang w:val="uk-UA"/>
          </w:rPr>
          <w:t>4.1.1</w:t>
        </w:r>
        <w:r w:rsidR="00EB3F08" w:rsidRPr="0024327D">
          <w:rPr>
            <w:noProof/>
            <w:lang w:val="en-US"/>
          </w:rPr>
          <w:tab/>
        </w:r>
        <w:r w:rsidR="00EB3F08" w:rsidRPr="0024327D">
          <w:rPr>
            <w:rStyle w:val="af4"/>
            <w:noProof/>
            <w:lang w:val="uk-UA"/>
          </w:rPr>
          <w:t>Компанія спеціального призначення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_Toc95480986 \h </w:instrText>
        </w:r>
        <w:r w:rsidR="00EB3F08" w:rsidRPr="0024327D">
          <w:rPr>
            <w:noProof/>
            <w:webHidden/>
          </w:rPr>
        </w:r>
        <w:r w:rsidR="00EB3F08" w:rsidRPr="0024327D">
          <w:rPr>
            <w:noProof/>
            <w:webHidden/>
          </w:rPr>
          <w:fldChar w:fldCharType="separate"/>
        </w:r>
        <w:r w:rsidR="005D1CBE" w:rsidRPr="0024327D">
          <w:rPr>
            <w:noProof/>
            <w:webHidden/>
          </w:rPr>
          <w:t>24</w:t>
        </w:r>
        <w:r w:rsidR="00EB3F08" w:rsidRPr="0024327D">
          <w:rPr>
            <w:noProof/>
            <w:webHidden/>
          </w:rPr>
          <w:fldChar w:fldCharType="end"/>
        </w:r>
      </w:hyperlink>
    </w:p>
    <w:p w14:paraId="17A06B1D" w14:textId="08C8D650" w:rsidR="00EB3F08" w:rsidRPr="0024327D" w:rsidRDefault="00C21269" w:rsidP="002B671F">
      <w:pPr>
        <w:pStyle w:val="31"/>
        <w:rPr>
          <w:noProof/>
          <w:lang w:val="en-US"/>
        </w:rPr>
      </w:pPr>
      <w:hyperlink w:anchor="_Toc95480987" w:history="1">
        <w:r w:rsidR="00EB3F08" w:rsidRPr="0024327D">
          <w:rPr>
            <w:rStyle w:val="af4"/>
            <w:noProof/>
            <w:lang w:val="uk-UA"/>
          </w:rPr>
          <w:t>4.1.2</w:t>
        </w:r>
        <w:r w:rsidR="00EB3F08" w:rsidRPr="0024327D">
          <w:rPr>
            <w:noProof/>
            <w:lang w:val="en-US"/>
          </w:rPr>
          <w:tab/>
        </w:r>
        <w:r w:rsidR="00EB3F08" w:rsidRPr="0024327D">
          <w:rPr>
            <w:rStyle w:val="af4"/>
            <w:noProof/>
            <w:lang w:val="uk-UA"/>
          </w:rPr>
          <w:t>Передача активів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_Toc95480987 \h </w:instrText>
        </w:r>
        <w:r w:rsidR="00EB3F08" w:rsidRPr="0024327D">
          <w:rPr>
            <w:noProof/>
            <w:webHidden/>
          </w:rPr>
        </w:r>
        <w:r w:rsidR="00EB3F08" w:rsidRPr="0024327D">
          <w:rPr>
            <w:noProof/>
            <w:webHidden/>
          </w:rPr>
          <w:fldChar w:fldCharType="separate"/>
        </w:r>
        <w:r w:rsidR="005D1CBE" w:rsidRPr="0024327D">
          <w:rPr>
            <w:noProof/>
            <w:webHidden/>
          </w:rPr>
          <w:t>25</w:t>
        </w:r>
        <w:r w:rsidR="00EB3F08" w:rsidRPr="0024327D">
          <w:rPr>
            <w:noProof/>
            <w:webHidden/>
          </w:rPr>
          <w:fldChar w:fldCharType="end"/>
        </w:r>
      </w:hyperlink>
    </w:p>
    <w:p w14:paraId="0039F6B4" w14:textId="3A681258" w:rsidR="00EB3F08" w:rsidRPr="0024327D" w:rsidRDefault="00C21269" w:rsidP="002B671F">
      <w:pPr>
        <w:pStyle w:val="31"/>
        <w:rPr>
          <w:noProof/>
          <w:lang w:val="en-US"/>
        </w:rPr>
      </w:pPr>
      <w:hyperlink w:anchor="_Toc95480988" w:history="1">
        <w:r w:rsidR="00EB3F08" w:rsidRPr="0024327D">
          <w:rPr>
            <w:rStyle w:val="af4"/>
            <w:noProof/>
            <w:lang w:val="uk-UA"/>
          </w:rPr>
          <w:t>4.1.3</w:t>
        </w:r>
        <w:r w:rsidR="00EB3F08" w:rsidRPr="0024327D">
          <w:rPr>
            <w:noProof/>
            <w:lang w:val="en-US"/>
          </w:rPr>
          <w:tab/>
        </w:r>
        <w:r w:rsidR="00EB3F08" w:rsidRPr="0024327D">
          <w:rPr>
            <w:rStyle w:val="af4"/>
            <w:noProof/>
            <w:lang w:val="uk-UA"/>
          </w:rPr>
          <w:t>Створення забезпечення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_Toc95480988 \h </w:instrText>
        </w:r>
        <w:r w:rsidR="00EB3F08" w:rsidRPr="0024327D">
          <w:rPr>
            <w:noProof/>
            <w:webHidden/>
          </w:rPr>
        </w:r>
        <w:r w:rsidR="00EB3F08" w:rsidRPr="0024327D">
          <w:rPr>
            <w:noProof/>
            <w:webHidden/>
          </w:rPr>
          <w:fldChar w:fldCharType="separate"/>
        </w:r>
        <w:r w:rsidR="005D1CBE" w:rsidRPr="0024327D">
          <w:rPr>
            <w:noProof/>
            <w:webHidden/>
          </w:rPr>
          <w:t>26</w:t>
        </w:r>
        <w:r w:rsidR="00EB3F08" w:rsidRPr="0024327D">
          <w:rPr>
            <w:noProof/>
            <w:webHidden/>
          </w:rPr>
          <w:fldChar w:fldCharType="end"/>
        </w:r>
      </w:hyperlink>
    </w:p>
    <w:p w14:paraId="4ABA0F96" w14:textId="0953EADE" w:rsidR="00EB3F08" w:rsidRPr="0024327D" w:rsidRDefault="00C21269" w:rsidP="002B671F">
      <w:pPr>
        <w:pStyle w:val="31"/>
        <w:rPr>
          <w:noProof/>
          <w:lang w:val="en-US"/>
        </w:rPr>
      </w:pPr>
      <w:hyperlink w:anchor="_Toc95480989" w:history="1">
        <w:r w:rsidR="00EB3F08" w:rsidRPr="0024327D">
          <w:rPr>
            <w:rStyle w:val="af4"/>
            <w:noProof/>
            <w:lang w:val="uk-UA"/>
          </w:rPr>
          <w:t>4.1.4</w:t>
        </w:r>
        <w:r w:rsidR="00EB3F08" w:rsidRPr="0024327D">
          <w:rPr>
            <w:noProof/>
            <w:lang w:val="en-US"/>
          </w:rPr>
          <w:tab/>
        </w:r>
        <w:r w:rsidR="00EB3F08" w:rsidRPr="0024327D">
          <w:rPr>
            <w:rStyle w:val="af4"/>
            <w:noProof/>
            <w:lang w:val="uk-UA"/>
          </w:rPr>
          <w:t>Зниження кредитного ризику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_Toc95480989 \h </w:instrText>
        </w:r>
        <w:r w:rsidR="00EB3F08" w:rsidRPr="0024327D">
          <w:rPr>
            <w:noProof/>
            <w:webHidden/>
          </w:rPr>
        </w:r>
        <w:r w:rsidR="00EB3F08" w:rsidRPr="0024327D">
          <w:rPr>
            <w:noProof/>
            <w:webHidden/>
          </w:rPr>
          <w:fldChar w:fldCharType="separate"/>
        </w:r>
        <w:r w:rsidR="005D1CBE" w:rsidRPr="0024327D">
          <w:rPr>
            <w:noProof/>
            <w:webHidden/>
          </w:rPr>
          <w:t>26</w:t>
        </w:r>
        <w:r w:rsidR="00EB3F08" w:rsidRPr="0024327D">
          <w:rPr>
            <w:noProof/>
            <w:webHidden/>
          </w:rPr>
          <w:fldChar w:fldCharType="end"/>
        </w:r>
      </w:hyperlink>
    </w:p>
    <w:p w14:paraId="5EF4D02C" w14:textId="4F2BB3DD" w:rsidR="00EB3F08" w:rsidRPr="0024327D" w:rsidRDefault="00C21269" w:rsidP="002B671F">
      <w:pPr>
        <w:pStyle w:val="31"/>
        <w:rPr>
          <w:noProof/>
          <w:lang w:val="en-US"/>
        </w:rPr>
      </w:pPr>
      <w:hyperlink w:anchor="_Toc95480990" w:history="1">
        <w:r w:rsidR="00EB3F08" w:rsidRPr="0024327D">
          <w:rPr>
            <w:rStyle w:val="af4"/>
            <w:noProof/>
            <w:lang w:val="uk-UA"/>
          </w:rPr>
          <w:t>4.1.5</w:t>
        </w:r>
        <w:r w:rsidR="00EB3F08" w:rsidRPr="0024327D">
          <w:rPr>
            <w:noProof/>
            <w:lang w:val="en-US"/>
          </w:rPr>
          <w:tab/>
        </w:r>
        <w:r w:rsidR="00EB3F08" w:rsidRPr="0024327D">
          <w:rPr>
            <w:rStyle w:val="af4"/>
            <w:noProof/>
            <w:lang w:val="uk-UA"/>
          </w:rPr>
          <w:t>Створення облігацій</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_Toc95480990 \h </w:instrText>
        </w:r>
        <w:r w:rsidR="00EB3F08" w:rsidRPr="0024327D">
          <w:rPr>
            <w:noProof/>
            <w:webHidden/>
          </w:rPr>
        </w:r>
        <w:r w:rsidR="00EB3F08" w:rsidRPr="0024327D">
          <w:rPr>
            <w:noProof/>
            <w:webHidden/>
          </w:rPr>
          <w:fldChar w:fldCharType="separate"/>
        </w:r>
        <w:r w:rsidR="005D1CBE" w:rsidRPr="0024327D">
          <w:rPr>
            <w:noProof/>
            <w:webHidden/>
          </w:rPr>
          <w:t>27</w:t>
        </w:r>
        <w:r w:rsidR="00EB3F08" w:rsidRPr="0024327D">
          <w:rPr>
            <w:noProof/>
            <w:webHidden/>
          </w:rPr>
          <w:fldChar w:fldCharType="end"/>
        </w:r>
      </w:hyperlink>
    </w:p>
    <w:p w14:paraId="70E318AD" w14:textId="3B7FABF2" w:rsidR="00EB3F08" w:rsidRPr="0024327D" w:rsidRDefault="00C21269" w:rsidP="002B671F">
      <w:pPr>
        <w:pStyle w:val="31"/>
        <w:rPr>
          <w:noProof/>
          <w:lang w:val="en-US"/>
        </w:rPr>
      </w:pPr>
      <w:hyperlink w:anchor="_Toc95480991" w:history="1">
        <w:r w:rsidR="00EB3F08" w:rsidRPr="0024327D">
          <w:rPr>
            <w:rStyle w:val="af4"/>
            <w:noProof/>
            <w:lang w:val="uk-UA"/>
          </w:rPr>
          <w:t>4.1.6</w:t>
        </w:r>
        <w:r w:rsidR="00EB3F08" w:rsidRPr="0024327D">
          <w:rPr>
            <w:noProof/>
            <w:lang w:val="en-US"/>
          </w:rPr>
          <w:tab/>
        </w:r>
        <w:r w:rsidR="00EB3F08" w:rsidRPr="0024327D">
          <w:rPr>
            <w:rStyle w:val="af4"/>
            <w:noProof/>
            <w:lang w:val="uk-UA"/>
          </w:rPr>
          <w:t>Податковий нейтралітет</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_Toc95480991 \h </w:instrText>
        </w:r>
        <w:r w:rsidR="00EB3F08" w:rsidRPr="0024327D">
          <w:rPr>
            <w:noProof/>
            <w:webHidden/>
          </w:rPr>
        </w:r>
        <w:r w:rsidR="00EB3F08" w:rsidRPr="0024327D">
          <w:rPr>
            <w:noProof/>
            <w:webHidden/>
          </w:rPr>
          <w:fldChar w:fldCharType="separate"/>
        </w:r>
        <w:r w:rsidR="005D1CBE" w:rsidRPr="0024327D">
          <w:rPr>
            <w:noProof/>
            <w:webHidden/>
          </w:rPr>
          <w:t>27</w:t>
        </w:r>
        <w:r w:rsidR="00EB3F08" w:rsidRPr="0024327D">
          <w:rPr>
            <w:noProof/>
            <w:webHidden/>
          </w:rPr>
          <w:fldChar w:fldCharType="end"/>
        </w:r>
      </w:hyperlink>
    </w:p>
    <w:p w14:paraId="533685E1" w14:textId="14B69B0A" w:rsidR="00EB3F08" w:rsidRPr="0024327D" w:rsidRDefault="00C21269" w:rsidP="002B671F">
      <w:pPr>
        <w:pStyle w:val="31"/>
        <w:rPr>
          <w:noProof/>
          <w:lang w:val="en-US"/>
        </w:rPr>
      </w:pPr>
      <w:hyperlink w:anchor="_Toc95480992" w:history="1">
        <w:r w:rsidR="00EB3F08" w:rsidRPr="0024327D">
          <w:rPr>
            <w:rStyle w:val="af4"/>
            <w:noProof/>
            <w:lang w:val="uk-UA"/>
          </w:rPr>
          <w:t>4.1.7</w:t>
        </w:r>
        <w:r w:rsidR="00EB3F08" w:rsidRPr="0024327D">
          <w:rPr>
            <w:noProof/>
            <w:lang w:val="en-US"/>
          </w:rPr>
          <w:tab/>
        </w:r>
        <w:r w:rsidR="00EB3F08" w:rsidRPr="0024327D">
          <w:rPr>
            <w:rStyle w:val="af4"/>
            <w:noProof/>
            <w:lang w:val="uk-UA"/>
          </w:rPr>
          <w:t>Інші структурні елементи</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_Toc95480992 \h </w:instrText>
        </w:r>
        <w:r w:rsidR="00EB3F08" w:rsidRPr="0024327D">
          <w:rPr>
            <w:noProof/>
            <w:webHidden/>
          </w:rPr>
        </w:r>
        <w:r w:rsidR="00EB3F08" w:rsidRPr="0024327D">
          <w:rPr>
            <w:noProof/>
            <w:webHidden/>
          </w:rPr>
          <w:fldChar w:fldCharType="separate"/>
        </w:r>
        <w:r w:rsidR="005D1CBE" w:rsidRPr="0024327D">
          <w:rPr>
            <w:noProof/>
            <w:webHidden/>
          </w:rPr>
          <w:t>28</w:t>
        </w:r>
        <w:r w:rsidR="00EB3F08" w:rsidRPr="0024327D">
          <w:rPr>
            <w:noProof/>
            <w:webHidden/>
          </w:rPr>
          <w:fldChar w:fldCharType="end"/>
        </w:r>
      </w:hyperlink>
    </w:p>
    <w:p w14:paraId="6DBAEB44" w14:textId="020FB5F9" w:rsidR="00EB3F08" w:rsidRPr="0024327D" w:rsidRDefault="00C21269" w:rsidP="009015FC">
      <w:pPr>
        <w:pStyle w:val="21"/>
        <w:rPr>
          <w:noProof/>
          <w:lang w:val="en-US"/>
        </w:rPr>
      </w:pPr>
      <w:hyperlink w:anchor="_Toc95480993" w:history="1">
        <w:r w:rsidR="00EB3F08" w:rsidRPr="0024327D">
          <w:rPr>
            <w:rStyle w:val="af4"/>
            <w:noProof/>
            <w:lang w:val="uk-UA"/>
          </w:rPr>
          <w:t>4.2</w:t>
        </w:r>
        <w:r w:rsidR="00EB3F08" w:rsidRPr="0024327D">
          <w:rPr>
            <w:noProof/>
            <w:lang w:val="en-US"/>
          </w:rPr>
          <w:tab/>
        </w:r>
        <w:r w:rsidR="00EB3F08" w:rsidRPr="0024327D">
          <w:rPr>
            <w:rStyle w:val="af4"/>
            <w:noProof/>
            <w:lang w:val="uk-UA"/>
          </w:rPr>
          <w:t>Створення ринку сек’юритизації в Україні</w:t>
        </w:r>
        <w:r w:rsidR="00EB3F08" w:rsidRPr="0024327D">
          <w:rPr>
            <w:noProof/>
            <w:webHidden/>
          </w:rPr>
          <w:tab/>
        </w:r>
        <w:r w:rsidR="007C7CC5">
          <w:rPr>
            <w:noProof/>
            <w:webHidden/>
            <w:lang w:val="uk-UA"/>
          </w:rPr>
          <w:t>29</w:t>
        </w:r>
      </w:hyperlink>
    </w:p>
    <w:p w14:paraId="36E08A70" w14:textId="411A2A37" w:rsidR="00EB3F08" w:rsidRPr="0024327D" w:rsidRDefault="00C21269" w:rsidP="002B671F">
      <w:pPr>
        <w:pStyle w:val="31"/>
        <w:rPr>
          <w:noProof/>
          <w:lang w:val="en-US"/>
        </w:rPr>
      </w:pPr>
      <w:hyperlink w:anchor="_Toc95480994" w:history="1">
        <w:r w:rsidR="00EB3F08" w:rsidRPr="0024327D">
          <w:rPr>
            <w:rStyle w:val="af4"/>
            <w:noProof/>
            <w:lang w:val="uk-UA"/>
          </w:rPr>
          <w:t>4.2.1</w:t>
        </w:r>
        <w:r w:rsidR="00EB3F08" w:rsidRPr="0024327D">
          <w:rPr>
            <w:noProof/>
            <w:lang w:val="en-US"/>
          </w:rPr>
          <w:tab/>
        </w:r>
        <w:r w:rsidR="00EB3F08" w:rsidRPr="0024327D">
          <w:rPr>
            <w:rStyle w:val="af4"/>
            <w:noProof/>
            <w:lang w:val="uk-UA"/>
          </w:rPr>
          <w:t>Компанія спеціального призначення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_Toc95480994 \h </w:instrText>
        </w:r>
        <w:r w:rsidR="00EB3F08" w:rsidRPr="0024327D">
          <w:rPr>
            <w:noProof/>
            <w:webHidden/>
          </w:rPr>
        </w:r>
        <w:r w:rsidR="00EB3F08" w:rsidRPr="0024327D">
          <w:rPr>
            <w:noProof/>
            <w:webHidden/>
          </w:rPr>
          <w:fldChar w:fldCharType="separate"/>
        </w:r>
        <w:r w:rsidR="005D1CBE" w:rsidRPr="0024327D">
          <w:rPr>
            <w:noProof/>
            <w:webHidden/>
          </w:rPr>
          <w:t>30</w:t>
        </w:r>
        <w:r w:rsidR="00EB3F08" w:rsidRPr="0024327D">
          <w:rPr>
            <w:noProof/>
            <w:webHidden/>
          </w:rPr>
          <w:fldChar w:fldCharType="end"/>
        </w:r>
      </w:hyperlink>
    </w:p>
    <w:p w14:paraId="5F2BB28B" w14:textId="04F8D9A1" w:rsidR="00EB3F08" w:rsidRPr="0024327D" w:rsidRDefault="00C21269" w:rsidP="002B671F">
      <w:pPr>
        <w:pStyle w:val="31"/>
        <w:rPr>
          <w:noProof/>
          <w:lang w:val="en-US"/>
        </w:rPr>
      </w:pPr>
      <w:hyperlink w:anchor="_Toc95480995" w:history="1">
        <w:r w:rsidR="00EB3F08" w:rsidRPr="0024327D">
          <w:rPr>
            <w:rStyle w:val="af4"/>
            <w:noProof/>
            <w:lang w:val="uk-UA"/>
          </w:rPr>
          <w:t>4.2.2</w:t>
        </w:r>
        <w:r w:rsidR="00EB3F08" w:rsidRPr="0024327D">
          <w:rPr>
            <w:noProof/>
            <w:lang w:val="en-US"/>
          </w:rPr>
          <w:tab/>
        </w:r>
        <w:r w:rsidR="00EB3F08" w:rsidRPr="0024327D">
          <w:rPr>
            <w:rStyle w:val="af4"/>
            <w:noProof/>
            <w:lang w:val="uk-UA"/>
          </w:rPr>
          <w:t>Передача активів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_Toc95480995 \h </w:instrText>
        </w:r>
        <w:r w:rsidR="00EB3F08" w:rsidRPr="0024327D">
          <w:rPr>
            <w:noProof/>
            <w:webHidden/>
          </w:rPr>
        </w:r>
        <w:r w:rsidR="00EB3F08" w:rsidRPr="0024327D">
          <w:rPr>
            <w:noProof/>
            <w:webHidden/>
          </w:rPr>
          <w:fldChar w:fldCharType="separate"/>
        </w:r>
        <w:r w:rsidR="005D1CBE" w:rsidRPr="0024327D">
          <w:rPr>
            <w:noProof/>
            <w:webHidden/>
          </w:rPr>
          <w:t>33</w:t>
        </w:r>
        <w:r w:rsidR="00EB3F08" w:rsidRPr="0024327D">
          <w:rPr>
            <w:noProof/>
            <w:webHidden/>
          </w:rPr>
          <w:fldChar w:fldCharType="end"/>
        </w:r>
      </w:hyperlink>
    </w:p>
    <w:p w14:paraId="2A6D5FC1" w14:textId="68A89D2C" w:rsidR="00EB3F08" w:rsidRPr="0024327D" w:rsidRDefault="00C21269" w:rsidP="002B671F">
      <w:pPr>
        <w:pStyle w:val="31"/>
        <w:rPr>
          <w:noProof/>
          <w:lang w:val="en-US"/>
        </w:rPr>
      </w:pPr>
      <w:hyperlink w:anchor="_Toc95480996" w:history="1">
        <w:r w:rsidR="00EB3F08" w:rsidRPr="0024327D">
          <w:rPr>
            <w:rStyle w:val="af4"/>
            <w:noProof/>
            <w:lang w:val="uk-UA"/>
          </w:rPr>
          <w:t>4.2.3</w:t>
        </w:r>
        <w:r w:rsidR="00EB3F08" w:rsidRPr="0024327D">
          <w:rPr>
            <w:noProof/>
            <w:lang w:val="en-US"/>
          </w:rPr>
          <w:tab/>
        </w:r>
        <w:r w:rsidR="00EB3F08" w:rsidRPr="0024327D">
          <w:rPr>
            <w:rStyle w:val="af4"/>
            <w:noProof/>
            <w:lang w:val="uk-UA"/>
          </w:rPr>
          <w:t>Створення забезпечення</w:t>
        </w:r>
        <w:r w:rsidR="00EB3F08" w:rsidRPr="0024327D">
          <w:rPr>
            <w:noProof/>
            <w:webHidden/>
          </w:rPr>
          <w:tab/>
        </w:r>
        <w:r w:rsidR="00FB057A">
          <w:rPr>
            <w:noProof/>
            <w:webHidden/>
            <w:lang w:val="uk-UA"/>
          </w:rPr>
          <w:t>33</w:t>
        </w:r>
      </w:hyperlink>
    </w:p>
    <w:p w14:paraId="40FF401C" w14:textId="023810D2" w:rsidR="00EB3F08" w:rsidRPr="0024327D" w:rsidRDefault="00C21269" w:rsidP="002B671F">
      <w:pPr>
        <w:pStyle w:val="31"/>
        <w:rPr>
          <w:noProof/>
          <w:lang w:val="en-US"/>
        </w:rPr>
      </w:pPr>
      <w:hyperlink w:anchor="_Toc95480997" w:history="1">
        <w:r w:rsidR="00EB3F08" w:rsidRPr="0024327D">
          <w:rPr>
            <w:rStyle w:val="af4"/>
            <w:noProof/>
            <w:lang w:val="uk-UA"/>
          </w:rPr>
          <w:t>4.2.4</w:t>
        </w:r>
        <w:r w:rsidR="00EB3F08" w:rsidRPr="0024327D">
          <w:rPr>
            <w:noProof/>
            <w:lang w:val="en-US"/>
          </w:rPr>
          <w:tab/>
        </w:r>
        <w:r w:rsidR="00EB3F08" w:rsidRPr="0024327D">
          <w:rPr>
            <w:rStyle w:val="af4"/>
            <w:noProof/>
            <w:lang w:val="uk-UA"/>
          </w:rPr>
          <w:t>Зниження кредитного ризику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_Toc95480997 \h </w:instrText>
        </w:r>
        <w:r w:rsidR="00EB3F08" w:rsidRPr="0024327D">
          <w:rPr>
            <w:noProof/>
            <w:webHidden/>
          </w:rPr>
        </w:r>
        <w:r w:rsidR="00EB3F08" w:rsidRPr="0024327D">
          <w:rPr>
            <w:noProof/>
            <w:webHidden/>
          </w:rPr>
          <w:fldChar w:fldCharType="separate"/>
        </w:r>
        <w:r w:rsidR="005D1CBE" w:rsidRPr="0024327D">
          <w:rPr>
            <w:noProof/>
            <w:webHidden/>
          </w:rPr>
          <w:t>34</w:t>
        </w:r>
        <w:r w:rsidR="00EB3F08" w:rsidRPr="0024327D">
          <w:rPr>
            <w:noProof/>
            <w:webHidden/>
          </w:rPr>
          <w:fldChar w:fldCharType="end"/>
        </w:r>
      </w:hyperlink>
    </w:p>
    <w:p w14:paraId="1B4B5993" w14:textId="74FCFA05" w:rsidR="00EB3F08" w:rsidRPr="0024327D" w:rsidRDefault="00C21269" w:rsidP="002B671F">
      <w:pPr>
        <w:pStyle w:val="31"/>
        <w:rPr>
          <w:noProof/>
          <w:lang w:val="en-US"/>
        </w:rPr>
      </w:pPr>
      <w:hyperlink w:anchor="_Toc95480998" w:history="1">
        <w:r w:rsidR="00EB3F08" w:rsidRPr="0024327D">
          <w:rPr>
            <w:rStyle w:val="af4"/>
            <w:noProof/>
            <w:lang w:val="uk-UA"/>
          </w:rPr>
          <w:t>4.2.5</w:t>
        </w:r>
        <w:r w:rsidR="00EB3F08" w:rsidRPr="0024327D">
          <w:rPr>
            <w:noProof/>
            <w:lang w:val="en-US"/>
          </w:rPr>
          <w:tab/>
        </w:r>
        <w:r w:rsidR="00EB3F08" w:rsidRPr="0024327D">
          <w:rPr>
            <w:rStyle w:val="af4"/>
            <w:noProof/>
            <w:lang w:val="uk-UA"/>
          </w:rPr>
          <w:t>Податковий нейтралітет</w:t>
        </w:r>
        <w:r w:rsidR="00EB3F08" w:rsidRPr="0024327D">
          <w:rPr>
            <w:noProof/>
            <w:webHidden/>
          </w:rPr>
          <w:tab/>
        </w:r>
        <w:r w:rsidR="00063110">
          <w:rPr>
            <w:noProof/>
            <w:webHidden/>
            <w:lang w:val="uk-UA"/>
          </w:rPr>
          <w:t>34</w:t>
        </w:r>
      </w:hyperlink>
    </w:p>
    <w:p w14:paraId="34B8295B" w14:textId="3AAB61EA" w:rsidR="00EB3F08" w:rsidRPr="0024327D" w:rsidRDefault="00C21269" w:rsidP="009015FC">
      <w:pPr>
        <w:pStyle w:val="21"/>
        <w:rPr>
          <w:noProof/>
          <w:lang w:val="en-US"/>
        </w:rPr>
      </w:pPr>
      <w:hyperlink w:anchor="_Toc95480999" w:history="1">
        <w:r w:rsidR="00EB3F08" w:rsidRPr="0024327D">
          <w:rPr>
            <w:rStyle w:val="af4"/>
            <w:noProof/>
            <w:lang w:val="uk-UA"/>
          </w:rPr>
          <w:t>4.3</w:t>
        </w:r>
        <w:r w:rsidR="00EB3F08" w:rsidRPr="0024327D">
          <w:rPr>
            <w:noProof/>
            <w:lang w:val="en-US"/>
          </w:rPr>
          <w:tab/>
        </w:r>
        <w:r w:rsidR="00EB3F08" w:rsidRPr="0024327D">
          <w:rPr>
            <w:rStyle w:val="af4"/>
            <w:noProof/>
            <w:lang w:val="uk-UA"/>
          </w:rPr>
          <w:t>Структурні елементи ринку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_Toc95480999 \h </w:instrText>
        </w:r>
        <w:r w:rsidR="00EB3F08" w:rsidRPr="0024327D">
          <w:rPr>
            <w:noProof/>
            <w:webHidden/>
          </w:rPr>
        </w:r>
        <w:r w:rsidR="00EB3F08" w:rsidRPr="0024327D">
          <w:rPr>
            <w:noProof/>
            <w:webHidden/>
          </w:rPr>
          <w:fldChar w:fldCharType="separate"/>
        </w:r>
        <w:r w:rsidR="005D1CBE" w:rsidRPr="0024327D">
          <w:rPr>
            <w:noProof/>
            <w:webHidden/>
          </w:rPr>
          <w:t>3</w:t>
        </w:r>
        <w:r w:rsidR="002779AB">
          <w:rPr>
            <w:noProof/>
            <w:webHidden/>
            <w:lang w:val="uk-UA"/>
          </w:rPr>
          <w:t>5</w:t>
        </w:r>
        <w:r w:rsidR="00EB3F08" w:rsidRPr="0024327D">
          <w:rPr>
            <w:noProof/>
            <w:webHidden/>
          </w:rPr>
          <w:fldChar w:fldCharType="end"/>
        </w:r>
      </w:hyperlink>
    </w:p>
    <w:p w14:paraId="18175071" w14:textId="65947E5B" w:rsidR="00EB3F08" w:rsidRPr="0024327D" w:rsidRDefault="00C21269" w:rsidP="002B671F">
      <w:pPr>
        <w:pStyle w:val="31"/>
        <w:rPr>
          <w:noProof/>
          <w:lang w:val="en-US"/>
        </w:rPr>
      </w:pPr>
      <w:hyperlink w:anchor="_Toc95481000" w:history="1">
        <w:r w:rsidR="00EB3F08" w:rsidRPr="0024327D">
          <w:rPr>
            <w:rStyle w:val="af4"/>
            <w:noProof/>
            <w:lang w:val="uk-UA"/>
          </w:rPr>
          <w:t>4.3.1</w:t>
        </w:r>
        <w:r w:rsidR="00EB3F08" w:rsidRPr="0024327D">
          <w:rPr>
            <w:noProof/>
            <w:lang w:val="en-US"/>
          </w:rPr>
          <w:tab/>
        </w:r>
        <w:r w:rsidR="00EB3F08" w:rsidRPr="0024327D">
          <w:rPr>
            <w:rStyle w:val="af4"/>
            <w:noProof/>
            <w:lang w:val="uk-UA"/>
          </w:rPr>
          <w:t>Запропонована структура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_Toc95481000 \h </w:instrText>
        </w:r>
        <w:r w:rsidR="00EB3F08" w:rsidRPr="0024327D">
          <w:rPr>
            <w:noProof/>
            <w:webHidden/>
          </w:rPr>
        </w:r>
        <w:r w:rsidR="00EB3F08" w:rsidRPr="0024327D">
          <w:rPr>
            <w:noProof/>
            <w:webHidden/>
          </w:rPr>
          <w:fldChar w:fldCharType="separate"/>
        </w:r>
        <w:r w:rsidR="005D1CBE" w:rsidRPr="0024327D">
          <w:rPr>
            <w:noProof/>
            <w:webHidden/>
          </w:rPr>
          <w:t>3</w:t>
        </w:r>
        <w:r w:rsidR="002779AB">
          <w:rPr>
            <w:noProof/>
            <w:webHidden/>
            <w:lang w:val="uk-UA"/>
          </w:rPr>
          <w:t>6</w:t>
        </w:r>
        <w:r w:rsidR="00EB3F08" w:rsidRPr="0024327D">
          <w:rPr>
            <w:noProof/>
            <w:webHidden/>
          </w:rPr>
          <w:fldChar w:fldCharType="end"/>
        </w:r>
      </w:hyperlink>
    </w:p>
    <w:p w14:paraId="5175C45C" w14:textId="0CC05B54" w:rsidR="00EB3F08" w:rsidRPr="0024327D" w:rsidRDefault="00C21269" w:rsidP="002B671F">
      <w:pPr>
        <w:pStyle w:val="31"/>
        <w:rPr>
          <w:noProof/>
          <w:lang w:val="en-US"/>
        </w:rPr>
      </w:pPr>
      <w:hyperlink w:anchor="_Toc95481001" w:history="1">
        <w:r w:rsidR="00EB3F08" w:rsidRPr="0024327D">
          <w:rPr>
            <w:rStyle w:val="af4"/>
            <w:rFonts w:eastAsiaTheme="majorEastAsia" w:cstheme="majorBidi"/>
            <w:noProof/>
            <w:lang w:val="uk-UA"/>
          </w:rPr>
          <w:t>4.3.2</w:t>
        </w:r>
        <w:r w:rsidR="00EB3F08" w:rsidRPr="0024327D">
          <w:rPr>
            <w:noProof/>
            <w:lang w:val="en-US"/>
          </w:rPr>
          <w:tab/>
        </w:r>
        <w:r w:rsidR="00EB3F08" w:rsidRPr="0024327D">
          <w:rPr>
            <w:rStyle w:val="af4"/>
            <w:rFonts w:eastAsiaTheme="majorEastAsia" w:cstheme="majorBidi"/>
            <w:noProof/>
            <w:lang w:val="uk-UA"/>
          </w:rPr>
          <w:t>Визначення активів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_Toc95481001 \h </w:instrText>
        </w:r>
        <w:r w:rsidR="00EB3F08" w:rsidRPr="0024327D">
          <w:rPr>
            <w:noProof/>
            <w:webHidden/>
          </w:rPr>
        </w:r>
        <w:r w:rsidR="00EB3F08" w:rsidRPr="0024327D">
          <w:rPr>
            <w:noProof/>
            <w:webHidden/>
          </w:rPr>
          <w:fldChar w:fldCharType="separate"/>
        </w:r>
        <w:r w:rsidR="005D1CBE" w:rsidRPr="0024327D">
          <w:rPr>
            <w:noProof/>
            <w:webHidden/>
          </w:rPr>
          <w:t>3</w:t>
        </w:r>
        <w:r w:rsidR="002779AB">
          <w:rPr>
            <w:noProof/>
            <w:webHidden/>
            <w:lang w:val="uk-UA"/>
          </w:rPr>
          <w:t>7</w:t>
        </w:r>
        <w:r w:rsidR="00EB3F08" w:rsidRPr="0024327D">
          <w:rPr>
            <w:noProof/>
            <w:webHidden/>
          </w:rPr>
          <w:fldChar w:fldCharType="end"/>
        </w:r>
      </w:hyperlink>
    </w:p>
    <w:p w14:paraId="2DFAD7F0" w14:textId="4A7C5911" w:rsidR="00EB3F08" w:rsidRPr="0024327D" w:rsidRDefault="00C21269" w:rsidP="002B671F">
      <w:pPr>
        <w:pStyle w:val="31"/>
        <w:rPr>
          <w:noProof/>
          <w:lang w:val="en-US"/>
        </w:rPr>
      </w:pPr>
      <w:hyperlink w:anchor="_Toc95481002" w:history="1">
        <w:r w:rsidR="00EB3F08" w:rsidRPr="0024327D">
          <w:rPr>
            <w:rStyle w:val="af4"/>
            <w:rFonts w:eastAsiaTheme="majorEastAsia" w:cstheme="majorBidi"/>
            <w:noProof/>
            <w:lang w:val="uk-UA"/>
          </w:rPr>
          <w:t>4.3.3</w:t>
        </w:r>
        <w:r w:rsidR="00EB3F08" w:rsidRPr="0024327D">
          <w:rPr>
            <w:noProof/>
            <w:lang w:val="en-US"/>
          </w:rPr>
          <w:tab/>
        </w:r>
        <w:r w:rsidR="00EB3F08" w:rsidRPr="0024327D">
          <w:rPr>
            <w:rStyle w:val="af4"/>
            <w:rFonts w:eastAsiaTheme="majorEastAsia" w:cstheme="majorBidi"/>
            <w:noProof/>
            <w:lang w:val="uk-UA"/>
          </w:rPr>
          <w:t>Передача активів, що входять до пулу покриття, на користь компанії спеціального призначення</w:t>
        </w:r>
        <w:r w:rsidR="009015FC" w:rsidRPr="0024327D">
          <w:rPr>
            <w:rStyle w:val="af4"/>
            <w:rFonts w:eastAsiaTheme="majorEastAsia" w:cstheme="majorBidi"/>
            <w:noProof/>
            <w:lang w:val="uk-UA"/>
          </w:rPr>
          <w:tab/>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_Toc95481002 \h </w:instrText>
        </w:r>
        <w:r w:rsidR="00EB3F08" w:rsidRPr="0024327D">
          <w:rPr>
            <w:noProof/>
            <w:webHidden/>
          </w:rPr>
        </w:r>
        <w:r w:rsidR="00EB3F08" w:rsidRPr="0024327D">
          <w:rPr>
            <w:noProof/>
            <w:webHidden/>
          </w:rPr>
          <w:fldChar w:fldCharType="separate"/>
        </w:r>
        <w:r w:rsidR="005D1CBE" w:rsidRPr="0024327D">
          <w:rPr>
            <w:noProof/>
            <w:webHidden/>
          </w:rPr>
          <w:t>3</w:t>
        </w:r>
        <w:r w:rsidR="002779AB">
          <w:rPr>
            <w:noProof/>
            <w:webHidden/>
            <w:lang w:val="uk-UA"/>
          </w:rPr>
          <w:t>8</w:t>
        </w:r>
        <w:r w:rsidR="00EB3F08" w:rsidRPr="0024327D">
          <w:rPr>
            <w:noProof/>
            <w:webHidden/>
          </w:rPr>
          <w:fldChar w:fldCharType="end"/>
        </w:r>
      </w:hyperlink>
    </w:p>
    <w:p w14:paraId="0B3AD5DA" w14:textId="1F71B9D1" w:rsidR="00EB3F08" w:rsidRPr="0024327D" w:rsidRDefault="00C21269" w:rsidP="002B671F">
      <w:pPr>
        <w:pStyle w:val="31"/>
        <w:rPr>
          <w:noProof/>
          <w:lang w:val="en-US"/>
        </w:rPr>
      </w:pPr>
      <w:hyperlink w:anchor="_Toc95481003" w:history="1">
        <w:r w:rsidR="00EB3F08" w:rsidRPr="0024327D">
          <w:rPr>
            <w:rStyle w:val="af4"/>
            <w:rFonts w:eastAsiaTheme="majorEastAsia" w:cstheme="majorBidi"/>
            <w:noProof/>
            <w:lang w:val="uk-UA"/>
          </w:rPr>
          <w:t>4.3.4</w:t>
        </w:r>
        <w:r w:rsidR="00EB3F08" w:rsidRPr="0024327D">
          <w:rPr>
            <w:noProof/>
            <w:lang w:val="en-US"/>
          </w:rPr>
          <w:tab/>
        </w:r>
        <w:r w:rsidR="00EB3F08" w:rsidRPr="0024327D">
          <w:rPr>
            <w:rStyle w:val="af4"/>
            <w:rFonts w:eastAsiaTheme="majorEastAsia" w:cstheme="majorBidi"/>
            <w:noProof/>
            <w:lang w:val="uk-UA"/>
          </w:rPr>
          <w:t>Обов'язок здійснити викуп</w:t>
        </w:r>
        <w:r w:rsidR="00EB3F08" w:rsidRPr="0024327D">
          <w:rPr>
            <w:noProof/>
            <w:webHidden/>
          </w:rPr>
          <w:tab/>
        </w:r>
        <w:r w:rsidR="002779AB">
          <w:rPr>
            <w:noProof/>
            <w:webHidden/>
            <w:lang w:val="uk-UA"/>
          </w:rPr>
          <w:t>39</w:t>
        </w:r>
      </w:hyperlink>
    </w:p>
    <w:p w14:paraId="6B2AC07E" w14:textId="68F25C31" w:rsidR="00EB3F08" w:rsidRPr="0024327D" w:rsidRDefault="00C21269" w:rsidP="002B671F">
      <w:pPr>
        <w:pStyle w:val="31"/>
        <w:rPr>
          <w:noProof/>
          <w:lang w:val="en-US"/>
        </w:rPr>
      </w:pPr>
      <w:hyperlink w:anchor="_Toc95481004" w:history="1">
        <w:r w:rsidR="00EB3F08" w:rsidRPr="0024327D">
          <w:rPr>
            <w:rStyle w:val="af4"/>
            <w:rFonts w:eastAsiaTheme="majorEastAsia" w:cstheme="majorBidi"/>
            <w:noProof/>
            <w:lang w:val="uk-UA"/>
          </w:rPr>
          <w:t>4.3.5</w:t>
        </w:r>
        <w:r w:rsidR="00EB3F08" w:rsidRPr="0024327D">
          <w:rPr>
            <w:noProof/>
            <w:lang w:val="en-US"/>
          </w:rPr>
          <w:tab/>
        </w:r>
        <w:r w:rsidR="00EB3F08" w:rsidRPr="0024327D">
          <w:rPr>
            <w:rStyle w:val="af4"/>
            <w:rFonts w:eastAsiaTheme="majorEastAsia" w:cstheme="majorBidi"/>
            <w:noProof/>
            <w:lang w:val="uk-UA"/>
          </w:rPr>
          <w:t>Захист інвестора</w:t>
        </w:r>
        <w:r w:rsidR="00EB3F08" w:rsidRPr="0024327D">
          <w:rPr>
            <w:noProof/>
            <w:webHidden/>
          </w:rPr>
          <w:tab/>
        </w:r>
        <w:r w:rsidR="002779AB">
          <w:rPr>
            <w:noProof/>
            <w:webHidden/>
            <w:lang w:val="uk-UA"/>
          </w:rPr>
          <w:t>39</w:t>
        </w:r>
      </w:hyperlink>
    </w:p>
    <w:p w14:paraId="622799BB" w14:textId="34C7B8C4" w:rsidR="00EB3F08" w:rsidRPr="0024327D" w:rsidRDefault="00C21269" w:rsidP="002B671F">
      <w:pPr>
        <w:pStyle w:val="31"/>
        <w:rPr>
          <w:noProof/>
          <w:lang w:val="en-US"/>
        </w:rPr>
      </w:pPr>
      <w:hyperlink w:anchor="_Toc95481005" w:history="1">
        <w:r w:rsidR="00EB3F08" w:rsidRPr="0024327D">
          <w:rPr>
            <w:rStyle w:val="af4"/>
            <w:rFonts w:eastAsiaTheme="majorEastAsia" w:cstheme="majorBidi"/>
            <w:noProof/>
            <w:lang w:val="uk-UA"/>
          </w:rPr>
          <w:t>4.3.6</w:t>
        </w:r>
        <w:r w:rsidR="00EB3F08" w:rsidRPr="0024327D">
          <w:rPr>
            <w:noProof/>
            <w:lang w:val="en-US"/>
          </w:rPr>
          <w:tab/>
        </w:r>
        <w:r w:rsidR="00EB3F08" w:rsidRPr="0024327D">
          <w:rPr>
            <w:rStyle w:val="af4"/>
            <w:rFonts w:eastAsiaTheme="majorEastAsia" w:cstheme="majorBidi"/>
            <w:noProof/>
            <w:lang w:val="uk-UA"/>
          </w:rPr>
          <w:t>Наслідки відокремлення емітента облігацій та власника активів</w:t>
        </w:r>
        <w:r w:rsidR="00EB3F08" w:rsidRPr="0024327D">
          <w:rPr>
            <w:noProof/>
            <w:webHidden/>
          </w:rPr>
          <w:tab/>
        </w:r>
        <w:r w:rsidR="002779AB">
          <w:rPr>
            <w:noProof/>
            <w:webHidden/>
            <w:lang w:val="uk-UA"/>
          </w:rPr>
          <w:t>39</w:t>
        </w:r>
      </w:hyperlink>
    </w:p>
    <w:p w14:paraId="244193CC" w14:textId="6D07FF6E" w:rsidR="00EB3F08" w:rsidRPr="0024327D" w:rsidRDefault="00C21269" w:rsidP="002B671F">
      <w:pPr>
        <w:pStyle w:val="31"/>
        <w:rPr>
          <w:noProof/>
          <w:lang w:val="en-US"/>
        </w:rPr>
      </w:pPr>
      <w:hyperlink w:anchor="_Toc95481006" w:history="1">
        <w:r w:rsidR="00EB3F08" w:rsidRPr="0024327D">
          <w:rPr>
            <w:rStyle w:val="af4"/>
            <w:rFonts w:eastAsiaTheme="majorEastAsia" w:cstheme="majorBidi"/>
            <w:noProof/>
            <w:lang w:val="uk-UA"/>
          </w:rPr>
          <w:t>4.3.7</w:t>
        </w:r>
        <w:r w:rsidR="00EB3F08" w:rsidRPr="0024327D">
          <w:rPr>
            <w:noProof/>
            <w:lang w:val="en-US"/>
          </w:rPr>
          <w:tab/>
        </w:r>
        <w:r w:rsidR="00EB3F08" w:rsidRPr="0024327D">
          <w:rPr>
            <w:rStyle w:val="af4"/>
            <w:rFonts w:eastAsiaTheme="majorEastAsia" w:cstheme="majorBidi"/>
            <w:noProof/>
            <w:lang w:val="uk-UA"/>
          </w:rPr>
          <w:t>Режим пулу покриття у разі неплатоспроможності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_Toc95481006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0</w:t>
        </w:r>
        <w:r w:rsidR="00EB3F08" w:rsidRPr="0024327D">
          <w:rPr>
            <w:noProof/>
            <w:webHidden/>
          </w:rPr>
          <w:fldChar w:fldCharType="end"/>
        </w:r>
      </w:hyperlink>
    </w:p>
    <w:p w14:paraId="02CFAC11" w14:textId="66DF230F" w:rsidR="00EB3F08" w:rsidRPr="0024327D" w:rsidRDefault="00C21269" w:rsidP="002B671F">
      <w:pPr>
        <w:pStyle w:val="31"/>
        <w:rPr>
          <w:noProof/>
          <w:lang w:val="en-US"/>
        </w:rPr>
      </w:pPr>
      <w:hyperlink w:anchor="_Toc95481007" w:history="1">
        <w:r w:rsidR="00EB3F08" w:rsidRPr="0024327D">
          <w:rPr>
            <w:rStyle w:val="af4"/>
            <w:rFonts w:eastAsiaTheme="majorEastAsia" w:cstheme="majorBidi"/>
            <w:noProof/>
            <w:lang w:val="uk-UA"/>
          </w:rPr>
          <w:t>4.3.8</w:t>
        </w:r>
        <w:r w:rsidR="00EB3F08" w:rsidRPr="0024327D">
          <w:rPr>
            <w:noProof/>
            <w:lang w:val="en-US"/>
          </w:rPr>
          <w:tab/>
        </w:r>
        <w:r w:rsidR="00EB3F08" w:rsidRPr="0024327D">
          <w:rPr>
            <w:rStyle w:val="af4"/>
            <w:rFonts w:eastAsiaTheme="majorEastAsia" w:cstheme="majorBidi"/>
            <w:noProof/>
            <w:lang w:val="uk-UA"/>
          </w:rPr>
          <w:t>Режим нагляду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_Toc95481007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1</w:t>
        </w:r>
        <w:r w:rsidR="00EB3F08" w:rsidRPr="0024327D">
          <w:rPr>
            <w:noProof/>
            <w:webHidden/>
          </w:rPr>
          <w:fldChar w:fldCharType="end"/>
        </w:r>
      </w:hyperlink>
    </w:p>
    <w:p w14:paraId="7408A911" w14:textId="1950D948" w:rsidR="00EB3F08" w:rsidRPr="0024327D" w:rsidRDefault="00C21269" w:rsidP="009015FC">
      <w:pPr>
        <w:pStyle w:val="21"/>
        <w:rPr>
          <w:noProof/>
          <w:lang w:val="en-US"/>
        </w:rPr>
      </w:pPr>
      <w:hyperlink w:anchor="_Toc95481008" w:history="1">
        <w:r w:rsidR="00EB3F08" w:rsidRPr="0024327D">
          <w:rPr>
            <w:rStyle w:val="af4"/>
            <w:rFonts w:eastAsiaTheme="majorEastAsia" w:cstheme="majorBidi"/>
            <w:noProof/>
            <w:lang w:val="uk-UA"/>
          </w:rPr>
          <w:t>4.4</w:t>
        </w:r>
        <w:r w:rsidR="00EB3F08" w:rsidRPr="0024327D">
          <w:rPr>
            <w:noProof/>
            <w:lang w:val="en-US"/>
          </w:rPr>
          <w:tab/>
        </w:r>
        <w:r w:rsidR="00EB3F08" w:rsidRPr="0024327D">
          <w:rPr>
            <w:rStyle w:val="af4"/>
            <w:rFonts w:eastAsiaTheme="majorEastAsia" w:cstheme="majorBidi"/>
            <w:noProof/>
            <w:lang w:val="uk-UA"/>
          </w:rPr>
          <w:t>Створення ринку облігацій з покриттям в Україні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_Toc95481008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1</w:t>
        </w:r>
        <w:r w:rsidR="00EB3F08" w:rsidRPr="0024327D">
          <w:rPr>
            <w:noProof/>
            <w:webHidden/>
          </w:rPr>
          <w:fldChar w:fldCharType="end"/>
        </w:r>
      </w:hyperlink>
    </w:p>
    <w:p w14:paraId="0B4AE76B" w14:textId="588ED63F" w:rsidR="00EB3F08" w:rsidRPr="0024327D" w:rsidRDefault="00C21269" w:rsidP="002B671F">
      <w:pPr>
        <w:pStyle w:val="31"/>
        <w:rPr>
          <w:noProof/>
          <w:lang w:val="en-US"/>
        </w:rPr>
      </w:pPr>
      <w:hyperlink w:anchor="_Toc95481009" w:history="1">
        <w:r w:rsidR="00EB3F08" w:rsidRPr="0024327D">
          <w:rPr>
            <w:rStyle w:val="af4"/>
            <w:rFonts w:eastAsiaTheme="majorEastAsia" w:cstheme="majorBidi"/>
            <w:noProof/>
            <w:lang w:val="uk-UA"/>
          </w:rPr>
          <w:t>4.4.1</w:t>
        </w:r>
        <w:r w:rsidR="00EB3F08" w:rsidRPr="0024327D">
          <w:rPr>
            <w:noProof/>
            <w:lang w:val="en-US"/>
          </w:rPr>
          <w:tab/>
        </w:r>
        <w:r w:rsidR="00EB3F08" w:rsidRPr="0024327D">
          <w:rPr>
            <w:rStyle w:val="af4"/>
            <w:rFonts w:eastAsiaTheme="majorEastAsia" w:cstheme="majorBidi"/>
            <w:noProof/>
            <w:lang w:val="uk-UA"/>
          </w:rPr>
          <w:t>Визначення активів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_Toc95481009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1</w:t>
        </w:r>
        <w:r w:rsidR="00EB3F08" w:rsidRPr="0024327D">
          <w:rPr>
            <w:noProof/>
            <w:webHidden/>
          </w:rPr>
          <w:fldChar w:fldCharType="end"/>
        </w:r>
      </w:hyperlink>
    </w:p>
    <w:p w14:paraId="539CB030" w14:textId="4DAC6909" w:rsidR="00EB3F08" w:rsidRPr="0024327D" w:rsidRDefault="00C21269" w:rsidP="002B671F">
      <w:pPr>
        <w:pStyle w:val="31"/>
        <w:rPr>
          <w:noProof/>
          <w:lang w:val="en-US"/>
        </w:rPr>
      </w:pPr>
      <w:hyperlink w:anchor="_Toc95481010" w:history="1">
        <w:r w:rsidR="00EB3F08" w:rsidRPr="0024327D">
          <w:rPr>
            <w:rStyle w:val="af4"/>
            <w:rFonts w:eastAsiaTheme="majorEastAsia" w:cstheme="majorBidi"/>
            <w:noProof/>
            <w:lang w:val="uk-UA"/>
          </w:rPr>
          <w:t>4.4.2</w:t>
        </w:r>
        <w:r w:rsidR="00EB3F08" w:rsidRPr="0024327D">
          <w:rPr>
            <w:noProof/>
            <w:lang w:val="en-US"/>
          </w:rPr>
          <w:tab/>
        </w:r>
        <w:r w:rsidR="00EB3F08" w:rsidRPr="0024327D">
          <w:rPr>
            <w:rStyle w:val="af4"/>
            <w:rFonts w:eastAsiaTheme="majorEastAsia" w:cstheme="majorBidi"/>
            <w:noProof/>
            <w:lang w:val="uk-UA"/>
          </w:rPr>
          <w:t>Зобов'язання здійснити викуп</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_Toc95481010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2</w:t>
        </w:r>
        <w:r w:rsidR="00EB3F08" w:rsidRPr="0024327D">
          <w:rPr>
            <w:noProof/>
            <w:webHidden/>
          </w:rPr>
          <w:fldChar w:fldCharType="end"/>
        </w:r>
      </w:hyperlink>
    </w:p>
    <w:p w14:paraId="3D2003BE" w14:textId="6A465BDA" w:rsidR="00EB3F08" w:rsidRPr="0024327D" w:rsidRDefault="00C21269" w:rsidP="002B671F">
      <w:pPr>
        <w:pStyle w:val="31"/>
        <w:rPr>
          <w:noProof/>
          <w:lang w:val="en-US"/>
        </w:rPr>
      </w:pPr>
      <w:hyperlink w:anchor="_Toc95481012" w:history="1">
        <w:r w:rsidR="00EB3F08" w:rsidRPr="0024327D">
          <w:rPr>
            <w:rStyle w:val="af4"/>
            <w:noProof/>
            <w:lang w:val="uk-UA"/>
          </w:rPr>
          <w:t>4.4.3</w:t>
        </w:r>
        <w:r w:rsidR="00EB3F08" w:rsidRPr="0024327D">
          <w:rPr>
            <w:noProof/>
            <w:lang w:val="en-US"/>
          </w:rPr>
          <w:tab/>
        </w:r>
        <w:r w:rsidR="00EB3F08" w:rsidRPr="0024327D">
          <w:rPr>
            <w:rStyle w:val="af4"/>
            <w:noProof/>
            <w:lang w:val="uk-UA"/>
          </w:rPr>
          <w:t>Наслідки відокремлення емітента облігацій та власника активів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_Toc95481012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3</w:t>
        </w:r>
        <w:r w:rsidR="00EB3F08" w:rsidRPr="0024327D">
          <w:rPr>
            <w:noProof/>
            <w:webHidden/>
          </w:rPr>
          <w:fldChar w:fldCharType="end"/>
        </w:r>
      </w:hyperlink>
    </w:p>
    <w:p w14:paraId="103C75DB" w14:textId="283EB561" w:rsidR="00EB3F08" w:rsidRPr="0024327D" w:rsidRDefault="00C21269" w:rsidP="002B671F">
      <w:pPr>
        <w:pStyle w:val="31"/>
        <w:rPr>
          <w:noProof/>
          <w:lang w:val="en-US"/>
        </w:rPr>
      </w:pPr>
      <w:hyperlink w:anchor="_Toc95481013" w:history="1">
        <w:r w:rsidR="00EB3F08" w:rsidRPr="0024327D">
          <w:rPr>
            <w:rStyle w:val="af4"/>
            <w:rFonts w:eastAsiaTheme="majorEastAsia" w:cstheme="majorBidi"/>
            <w:noProof/>
            <w:lang w:val="uk-UA"/>
          </w:rPr>
          <w:t>4.4.4</w:t>
        </w:r>
        <w:r w:rsidR="00EB3F08" w:rsidRPr="0024327D">
          <w:rPr>
            <w:noProof/>
            <w:lang w:val="en-US"/>
          </w:rPr>
          <w:tab/>
        </w:r>
        <w:r w:rsidR="00EB3F08" w:rsidRPr="0024327D">
          <w:rPr>
            <w:rStyle w:val="af4"/>
            <w:rFonts w:eastAsiaTheme="majorEastAsia" w:cstheme="majorBidi"/>
            <w:noProof/>
            <w:lang w:val="uk-UA"/>
          </w:rPr>
          <w:t>Режим пулу покриття у разі неплатоспроможності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_Toc95481013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3</w:t>
        </w:r>
        <w:r w:rsidR="00EB3F08" w:rsidRPr="0024327D">
          <w:rPr>
            <w:noProof/>
            <w:webHidden/>
          </w:rPr>
          <w:fldChar w:fldCharType="end"/>
        </w:r>
      </w:hyperlink>
    </w:p>
    <w:p w14:paraId="7A820043" w14:textId="08C11565" w:rsidR="00EB3F08" w:rsidRPr="0024327D" w:rsidRDefault="00C21269" w:rsidP="002B671F">
      <w:pPr>
        <w:pStyle w:val="31"/>
        <w:rPr>
          <w:noProof/>
          <w:lang w:val="en-US"/>
        </w:rPr>
      </w:pPr>
      <w:hyperlink w:anchor="_Toc95481014" w:history="1">
        <w:r w:rsidR="00EB3F08" w:rsidRPr="0024327D">
          <w:rPr>
            <w:rStyle w:val="af4"/>
            <w:rFonts w:eastAsiaTheme="majorEastAsia" w:cstheme="majorBidi"/>
            <w:noProof/>
            <w:lang w:val="uk-UA"/>
          </w:rPr>
          <w:t>4.4.5</w:t>
        </w:r>
        <w:r w:rsidR="00EB3F08" w:rsidRPr="0024327D">
          <w:rPr>
            <w:noProof/>
            <w:lang w:val="en-US"/>
          </w:rPr>
          <w:tab/>
        </w:r>
        <w:r w:rsidR="00EB3F08" w:rsidRPr="0024327D">
          <w:rPr>
            <w:rStyle w:val="af4"/>
            <w:rFonts w:eastAsiaTheme="majorEastAsia" w:cstheme="majorBidi"/>
            <w:noProof/>
            <w:lang w:val="uk-UA"/>
          </w:rPr>
          <w:t>Режим нагляду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_Toc95481014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4</w:t>
        </w:r>
        <w:r w:rsidR="00EB3F08" w:rsidRPr="0024327D">
          <w:rPr>
            <w:noProof/>
            <w:webHidden/>
          </w:rPr>
          <w:fldChar w:fldCharType="end"/>
        </w:r>
      </w:hyperlink>
    </w:p>
    <w:p w14:paraId="685102E6" w14:textId="725E7E48" w:rsidR="00EB3F08" w:rsidRPr="0024327D" w:rsidRDefault="00C21269" w:rsidP="009015FC">
      <w:pPr>
        <w:pStyle w:val="21"/>
        <w:rPr>
          <w:noProof/>
          <w:lang w:val="en-US"/>
        </w:rPr>
      </w:pPr>
      <w:hyperlink w:anchor="_Toc95481015" w:history="1">
        <w:r w:rsidR="00EB3F08" w:rsidRPr="0024327D">
          <w:rPr>
            <w:rStyle w:val="af4"/>
            <w:rFonts w:eastAsiaTheme="majorEastAsia" w:cstheme="majorBidi"/>
            <w:noProof/>
            <w:lang w:val="uk-UA"/>
          </w:rPr>
          <w:t>4.5</w:t>
        </w:r>
        <w:r w:rsidR="00EB3F08" w:rsidRPr="0024327D">
          <w:rPr>
            <w:noProof/>
            <w:lang w:val="en-US"/>
          </w:rPr>
          <w:tab/>
        </w:r>
        <w:r w:rsidR="00EB3F08" w:rsidRPr="0024327D">
          <w:rPr>
            <w:rStyle w:val="af4"/>
            <w:rFonts w:eastAsiaTheme="majorEastAsia" w:cstheme="majorBidi"/>
            <w:noProof/>
            <w:lang w:val="uk-UA"/>
          </w:rPr>
          <w:t>Вимоги до інфраструктури та регуляторних органів</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_Toc95481015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4</w:t>
        </w:r>
        <w:r w:rsidR="00EB3F08" w:rsidRPr="0024327D">
          <w:rPr>
            <w:noProof/>
            <w:webHidden/>
          </w:rPr>
          <w:fldChar w:fldCharType="end"/>
        </w:r>
      </w:hyperlink>
    </w:p>
    <w:p w14:paraId="06E91570" w14:textId="2E1F9202" w:rsidR="00EB3F08" w:rsidRPr="0024327D" w:rsidRDefault="00C21269" w:rsidP="002B671F">
      <w:pPr>
        <w:pStyle w:val="31"/>
        <w:rPr>
          <w:noProof/>
          <w:lang w:val="en-US"/>
        </w:rPr>
      </w:pPr>
      <w:hyperlink w:anchor="_Toc95481016" w:history="1">
        <w:r w:rsidR="00EB3F08" w:rsidRPr="0024327D">
          <w:rPr>
            <w:rStyle w:val="af4"/>
            <w:rFonts w:eastAsiaTheme="majorEastAsia" w:cstheme="majorBidi"/>
            <w:noProof/>
            <w:lang w:val="uk-UA"/>
          </w:rPr>
          <w:t>4.5.1</w:t>
        </w:r>
        <w:r w:rsidR="00EB3F08" w:rsidRPr="0024327D">
          <w:rPr>
            <w:noProof/>
            <w:lang w:val="en-US"/>
          </w:rPr>
          <w:tab/>
        </w:r>
        <w:r w:rsidR="00EB3F08" w:rsidRPr="0024327D">
          <w:rPr>
            <w:rStyle w:val="af4"/>
            <w:rFonts w:eastAsiaTheme="majorEastAsia" w:cstheme="majorBidi"/>
            <w:noProof/>
            <w:lang w:val="uk-UA"/>
          </w:rPr>
          <w:t>Елементи інфраструктури</w:t>
        </w:r>
        <w:r w:rsidR="00D4404F" w:rsidRPr="0024327D">
          <w:rPr>
            <w:rStyle w:val="af4"/>
            <w:rFonts w:eastAsiaTheme="majorEastAsia" w:cstheme="majorBidi"/>
            <w:noProof/>
            <w:lang w:val="uk-UA"/>
          </w:rPr>
          <w:t>……….</w:t>
        </w:r>
        <w:r w:rsidR="00EB3F08" w:rsidRPr="0024327D">
          <w:rPr>
            <w:noProof/>
            <w:webHidden/>
          </w:rPr>
          <w:tab/>
        </w:r>
      </w:hyperlink>
      <w:r w:rsidR="00CF6AA8" w:rsidRPr="0024327D">
        <w:rPr>
          <w:noProof/>
          <w:webHidden/>
        </w:rPr>
        <w:fldChar w:fldCharType="begin"/>
      </w:r>
      <w:r w:rsidR="00CF6AA8" w:rsidRPr="0024327D">
        <w:rPr>
          <w:noProof/>
          <w:webHidden/>
        </w:rPr>
        <w:instrText xml:space="preserve"> PAGEREF _Toc95481016 \h </w:instrText>
      </w:r>
      <w:r w:rsidR="00CF6AA8" w:rsidRPr="0024327D">
        <w:rPr>
          <w:noProof/>
          <w:webHidden/>
        </w:rPr>
      </w:r>
      <w:r w:rsidR="00CF6AA8" w:rsidRPr="0024327D">
        <w:rPr>
          <w:noProof/>
          <w:webHidden/>
        </w:rPr>
        <w:fldChar w:fldCharType="separate"/>
      </w:r>
      <w:r w:rsidR="005D1CBE" w:rsidRPr="0024327D">
        <w:rPr>
          <w:noProof/>
          <w:webHidden/>
        </w:rPr>
        <w:t>4</w:t>
      </w:r>
      <w:r w:rsidR="002779AB">
        <w:rPr>
          <w:noProof/>
          <w:webHidden/>
          <w:lang w:val="uk-UA"/>
        </w:rPr>
        <w:t>4</w:t>
      </w:r>
      <w:r w:rsidR="00CF6AA8" w:rsidRPr="0024327D">
        <w:rPr>
          <w:noProof/>
          <w:webHidden/>
        </w:rPr>
        <w:fldChar w:fldCharType="end"/>
      </w:r>
    </w:p>
    <w:p w14:paraId="36E82209" w14:textId="0C312854" w:rsidR="00EB3F08" w:rsidRPr="0024327D" w:rsidRDefault="00C21269" w:rsidP="002B671F">
      <w:pPr>
        <w:pStyle w:val="31"/>
        <w:rPr>
          <w:noProof/>
          <w:lang w:val="en-US"/>
        </w:rPr>
      </w:pPr>
      <w:hyperlink w:anchor="_Toc95481017" w:history="1">
        <w:r w:rsidR="00EB3F08" w:rsidRPr="0024327D">
          <w:rPr>
            <w:rStyle w:val="af4"/>
            <w:rFonts w:eastAsiaTheme="majorEastAsia" w:cstheme="majorBidi"/>
            <w:noProof/>
            <w:lang w:val="uk-UA"/>
          </w:rPr>
          <w:t>4.5.2</w:t>
        </w:r>
        <w:r w:rsidR="00EB3F08" w:rsidRPr="0024327D">
          <w:rPr>
            <w:noProof/>
            <w:lang w:val="en-US"/>
          </w:rPr>
          <w:tab/>
        </w:r>
        <w:r w:rsidR="00EB3F08" w:rsidRPr="0024327D">
          <w:rPr>
            <w:rStyle w:val="af4"/>
            <w:rFonts w:eastAsiaTheme="majorEastAsia" w:cstheme="majorBidi"/>
            <w:noProof/>
            <w:lang w:val="uk-UA"/>
          </w:rPr>
          <w:t>Режим контролю</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_Toc95481017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6</w:t>
        </w:r>
        <w:r w:rsidR="00EB3F08" w:rsidRPr="0024327D">
          <w:rPr>
            <w:noProof/>
            <w:webHidden/>
          </w:rPr>
          <w:fldChar w:fldCharType="end"/>
        </w:r>
      </w:hyperlink>
    </w:p>
    <w:p w14:paraId="026E7D87" w14:textId="54E4CA93" w:rsidR="00EB3F08" w:rsidRPr="0024327D" w:rsidRDefault="00C21269" w:rsidP="002B671F">
      <w:pPr>
        <w:pStyle w:val="31"/>
        <w:rPr>
          <w:noProof/>
          <w:lang w:val="en-US"/>
        </w:rPr>
      </w:pPr>
      <w:hyperlink w:anchor="_Toc95481018" w:history="1">
        <w:r w:rsidR="00EB3F08" w:rsidRPr="0024327D">
          <w:rPr>
            <w:rStyle w:val="af4"/>
            <w:rFonts w:eastAsiaTheme="majorEastAsia" w:cstheme="majorBidi"/>
            <w:noProof/>
            <w:lang w:val="uk-UA"/>
          </w:rPr>
          <w:t>4.5.3</w:t>
        </w:r>
        <w:r w:rsidR="00EB3F08" w:rsidRPr="0024327D">
          <w:rPr>
            <w:noProof/>
            <w:lang w:val="en-US"/>
          </w:rPr>
          <w:tab/>
        </w:r>
        <w:r w:rsidR="00EB3F08" w:rsidRPr="0024327D">
          <w:rPr>
            <w:rStyle w:val="af4"/>
            <w:rFonts w:eastAsiaTheme="majorEastAsia" w:cstheme="majorBidi"/>
            <w:noProof/>
            <w:lang w:val="uk-UA"/>
          </w:rPr>
          <w:t>Рейтинги та розподіл капіталу</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_Toc95481018 \h </w:instrText>
        </w:r>
        <w:r w:rsidR="00EB3F08" w:rsidRPr="0024327D">
          <w:rPr>
            <w:noProof/>
            <w:webHidden/>
          </w:rPr>
        </w:r>
        <w:r w:rsidR="00EB3F08" w:rsidRPr="0024327D">
          <w:rPr>
            <w:noProof/>
            <w:webHidden/>
          </w:rPr>
          <w:fldChar w:fldCharType="separate"/>
        </w:r>
        <w:r w:rsidR="005D1CBE" w:rsidRPr="0024327D">
          <w:rPr>
            <w:noProof/>
            <w:webHidden/>
          </w:rPr>
          <w:t>4</w:t>
        </w:r>
        <w:r w:rsidR="002779AB">
          <w:rPr>
            <w:noProof/>
            <w:webHidden/>
            <w:lang w:val="uk-UA"/>
          </w:rPr>
          <w:t>7</w:t>
        </w:r>
        <w:r w:rsidR="00EB3F08" w:rsidRPr="0024327D">
          <w:rPr>
            <w:noProof/>
            <w:webHidden/>
          </w:rPr>
          <w:fldChar w:fldCharType="end"/>
        </w:r>
      </w:hyperlink>
    </w:p>
    <w:p w14:paraId="63D257BE" w14:textId="683C3BBF" w:rsidR="00EB3F08" w:rsidRPr="0024327D" w:rsidRDefault="00C21269" w:rsidP="009015FC">
      <w:pPr>
        <w:pStyle w:val="21"/>
        <w:rPr>
          <w:noProof/>
          <w:lang w:val="en-US"/>
        </w:rPr>
      </w:pPr>
      <w:hyperlink w:anchor="_Toc95481019" w:history="1">
        <w:r w:rsidR="00EB3F08" w:rsidRPr="0024327D">
          <w:rPr>
            <w:rStyle w:val="af4"/>
            <w:rFonts w:eastAsiaTheme="majorEastAsia" w:cstheme="majorBidi"/>
            <w:noProof/>
            <w:lang w:val="uk-UA"/>
          </w:rPr>
          <w:t>4.6</w:t>
        </w:r>
        <w:r w:rsidR="00EB3F08" w:rsidRPr="0024327D">
          <w:rPr>
            <w:noProof/>
            <w:lang w:val="en-US"/>
          </w:rPr>
          <w:tab/>
        </w:r>
        <w:r w:rsidR="00EB3F08" w:rsidRPr="0024327D">
          <w:rPr>
            <w:rStyle w:val="af4"/>
            <w:rFonts w:eastAsiaTheme="majorEastAsia" w:cstheme="majorBidi"/>
            <w:noProof/>
            <w:lang w:val="uk-UA"/>
          </w:rPr>
          <w:t>Використання інструментів</w:t>
        </w:r>
        <w:r w:rsidR="00EB3F08" w:rsidRPr="0024327D">
          <w:rPr>
            <w:noProof/>
            <w:webHidden/>
          </w:rPr>
          <w:tab/>
        </w:r>
        <w:r w:rsidR="002779AB">
          <w:rPr>
            <w:noProof/>
            <w:webHidden/>
            <w:lang w:val="uk-UA"/>
          </w:rPr>
          <w:t>49</w:t>
        </w:r>
      </w:hyperlink>
    </w:p>
    <w:p w14:paraId="177CFA9B" w14:textId="69CD0020" w:rsidR="00EB3F08" w:rsidRPr="0024327D" w:rsidRDefault="00C21269" w:rsidP="002B671F">
      <w:pPr>
        <w:pStyle w:val="31"/>
        <w:rPr>
          <w:noProof/>
          <w:lang w:val="en-US"/>
        </w:rPr>
      </w:pPr>
      <w:hyperlink w:anchor="_Toc95481020" w:history="1">
        <w:r w:rsidR="00EB3F08" w:rsidRPr="0024327D">
          <w:rPr>
            <w:rStyle w:val="af4"/>
            <w:rFonts w:eastAsiaTheme="majorEastAsia" w:cstheme="majorBidi"/>
            <w:noProof/>
            <w:lang w:val="uk-UA"/>
          </w:rPr>
          <w:t>4.6.1</w:t>
        </w:r>
        <w:r w:rsidR="00EB3F08" w:rsidRPr="0024327D">
          <w:rPr>
            <w:noProof/>
            <w:lang w:val="en-US"/>
          </w:rPr>
          <w:tab/>
        </w:r>
        <w:r w:rsidR="00EB3F08" w:rsidRPr="0024327D">
          <w:rPr>
            <w:rStyle w:val="af4"/>
            <w:rFonts w:eastAsiaTheme="majorEastAsia" w:cstheme="majorBidi"/>
            <w:noProof/>
            <w:lang w:val="uk-UA"/>
          </w:rPr>
          <w:t>Прийнятні активи – облігації з покриттям</w:t>
        </w:r>
        <w:r w:rsidR="00EB3F08" w:rsidRPr="0024327D">
          <w:rPr>
            <w:noProof/>
            <w:webHidden/>
          </w:rPr>
          <w:tab/>
        </w:r>
        <w:r w:rsidR="002779AB">
          <w:rPr>
            <w:noProof/>
            <w:webHidden/>
            <w:lang w:val="uk-UA"/>
          </w:rPr>
          <w:t>49</w:t>
        </w:r>
      </w:hyperlink>
    </w:p>
    <w:p w14:paraId="30A6C9FA" w14:textId="788AC17C" w:rsidR="00EB3F08" w:rsidRPr="0024327D" w:rsidRDefault="00C21269" w:rsidP="002B671F">
      <w:pPr>
        <w:pStyle w:val="31"/>
        <w:rPr>
          <w:noProof/>
          <w:lang w:val="en-US"/>
        </w:rPr>
      </w:pPr>
      <w:hyperlink w:anchor="_Toc95481021" w:history="1">
        <w:r w:rsidR="00EB3F08" w:rsidRPr="0024327D">
          <w:rPr>
            <w:rStyle w:val="af4"/>
            <w:rFonts w:eastAsiaTheme="majorEastAsia" w:cstheme="majorBidi"/>
            <w:noProof/>
            <w:lang w:val="uk-UA"/>
          </w:rPr>
          <w:t>4.6.2</w:t>
        </w:r>
        <w:r w:rsidR="00EB3F08" w:rsidRPr="0024327D">
          <w:rPr>
            <w:noProof/>
            <w:lang w:val="en-US"/>
          </w:rPr>
          <w:tab/>
        </w:r>
        <w:r w:rsidR="00EB3F08" w:rsidRPr="0024327D">
          <w:rPr>
            <w:rStyle w:val="af4"/>
            <w:rFonts w:eastAsiaTheme="majorEastAsia" w:cstheme="majorBidi"/>
            <w:noProof/>
            <w:lang w:val="uk-UA"/>
          </w:rPr>
          <w:t>Прийнятні емітенти – облігації з покриттям</w:t>
        </w:r>
        <w:r w:rsidR="00EB3F08" w:rsidRPr="0024327D">
          <w:rPr>
            <w:noProof/>
            <w:webHidden/>
          </w:rPr>
          <w:tab/>
        </w:r>
        <w:r w:rsidR="002779AB">
          <w:rPr>
            <w:noProof/>
            <w:webHidden/>
            <w:lang w:val="uk-UA"/>
          </w:rPr>
          <w:t>49</w:t>
        </w:r>
      </w:hyperlink>
    </w:p>
    <w:p w14:paraId="099F421B" w14:textId="7E2DA788" w:rsidR="00EB3F08" w:rsidRPr="0024327D" w:rsidRDefault="00C21269" w:rsidP="002B671F">
      <w:pPr>
        <w:pStyle w:val="31"/>
        <w:rPr>
          <w:noProof/>
          <w:lang w:val="en-US"/>
        </w:rPr>
      </w:pPr>
      <w:hyperlink w:anchor="_Toc95481022" w:history="1">
        <w:r w:rsidR="00EB3F08" w:rsidRPr="0024327D">
          <w:rPr>
            <w:rStyle w:val="af4"/>
            <w:rFonts w:eastAsiaTheme="majorEastAsia" w:cstheme="majorBidi"/>
            <w:noProof/>
            <w:lang w:val="uk-UA"/>
          </w:rPr>
          <w:t>4.6.3</w:t>
        </w:r>
        <w:r w:rsidR="00EB3F08" w:rsidRPr="0024327D">
          <w:rPr>
            <w:noProof/>
            <w:lang w:val="en-US"/>
          </w:rPr>
          <w:tab/>
        </w:r>
        <w:r w:rsidR="00EB3F08" w:rsidRPr="0024327D">
          <w:rPr>
            <w:rStyle w:val="af4"/>
            <w:rFonts w:eastAsiaTheme="majorEastAsia" w:cstheme="majorBidi"/>
            <w:noProof/>
            <w:lang w:val="uk-UA"/>
          </w:rPr>
          <w:t>Прийнятні активи – сек'юритизація</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_Toc95481022 \h </w:instrText>
        </w:r>
        <w:r w:rsidR="00EB3F08" w:rsidRPr="0024327D">
          <w:rPr>
            <w:noProof/>
            <w:webHidden/>
          </w:rPr>
        </w:r>
        <w:r w:rsidR="00EB3F08" w:rsidRPr="0024327D">
          <w:rPr>
            <w:noProof/>
            <w:webHidden/>
          </w:rPr>
          <w:fldChar w:fldCharType="separate"/>
        </w:r>
        <w:r w:rsidR="005D1CBE" w:rsidRPr="0024327D">
          <w:rPr>
            <w:noProof/>
            <w:webHidden/>
          </w:rPr>
          <w:t>5</w:t>
        </w:r>
        <w:r w:rsidR="002779AB">
          <w:rPr>
            <w:noProof/>
            <w:webHidden/>
            <w:lang w:val="uk-UA"/>
          </w:rPr>
          <w:t>0</w:t>
        </w:r>
        <w:r w:rsidR="00EB3F08" w:rsidRPr="0024327D">
          <w:rPr>
            <w:noProof/>
            <w:webHidden/>
          </w:rPr>
          <w:fldChar w:fldCharType="end"/>
        </w:r>
      </w:hyperlink>
    </w:p>
    <w:p w14:paraId="3DB7C7D2" w14:textId="3881056B" w:rsidR="00EB3F08" w:rsidRPr="0024327D" w:rsidRDefault="00C21269" w:rsidP="002B671F">
      <w:pPr>
        <w:pStyle w:val="31"/>
        <w:rPr>
          <w:noProof/>
          <w:lang w:val="en-US"/>
        </w:rPr>
      </w:pPr>
      <w:hyperlink w:anchor="_Toc95481023" w:history="1">
        <w:r w:rsidR="00EB3F08" w:rsidRPr="0024327D">
          <w:rPr>
            <w:rStyle w:val="af4"/>
            <w:rFonts w:eastAsiaTheme="majorEastAsia" w:cstheme="majorBidi"/>
            <w:noProof/>
            <w:lang w:val="uk-UA"/>
          </w:rPr>
          <w:t>4.6.4</w:t>
        </w:r>
        <w:r w:rsidR="00EB3F08" w:rsidRPr="0024327D">
          <w:rPr>
            <w:noProof/>
            <w:lang w:val="en-US"/>
          </w:rPr>
          <w:tab/>
        </w:r>
        <w:r w:rsidR="00EB3F08" w:rsidRPr="0024327D">
          <w:rPr>
            <w:rStyle w:val="af4"/>
            <w:rFonts w:eastAsiaTheme="majorEastAsia" w:cstheme="majorBidi"/>
            <w:noProof/>
            <w:lang w:val="uk-UA"/>
          </w:rPr>
          <w:t>Очікування щодо випуску в Україні облігацій з покриттям та здійснення сек’юритизації</w:t>
        </w:r>
        <w:r w:rsidR="00D4404F" w:rsidRPr="0024327D">
          <w:rPr>
            <w:rStyle w:val="af4"/>
            <w:rFonts w:eastAsiaTheme="majorEastAsia" w:cstheme="majorBidi"/>
            <w:noProof/>
            <w:lang w:val="uk-UA"/>
          </w:rPr>
          <w:t>…</w:t>
        </w:r>
        <w:r w:rsidR="009015FC" w:rsidRPr="0024327D">
          <w:rPr>
            <w:rStyle w:val="af4"/>
            <w:rFonts w:eastAsiaTheme="majorEastAsia" w:cstheme="majorBidi"/>
            <w:noProof/>
            <w:lang w:val="uk-UA"/>
          </w:rPr>
          <w:tab/>
          <w:t> </w:t>
        </w:r>
        <w:r w:rsidR="00EB3F08" w:rsidRPr="0024327D">
          <w:rPr>
            <w:noProof/>
            <w:webHidden/>
          </w:rPr>
          <w:fldChar w:fldCharType="begin"/>
        </w:r>
        <w:r w:rsidR="00EB3F08" w:rsidRPr="0024327D">
          <w:rPr>
            <w:noProof/>
            <w:webHidden/>
          </w:rPr>
          <w:instrText xml:space="preserve"> PAGEREF _Toc95481023 \h </w:instrText>
        </w:r>
        <w:r w:rsidR="00EB3F08" w:rsidRPr="0024327D">
          <w:rPr>
            <w:noProof/>
            <w:webHidden/>
          </w:rPr>
        </w:r>
        <w:r w:rsidR="00EB3F08" w:rsidRPr="0024327D">
          <w:rPr>
            <w:noProof/>
            <w:webHidden/>
          </w:rPr>
          <w:fldChar w:fldCharType="separate"/>
        </w:r>
        <w:r w:rsidR="005D1CBE" w:rsidRPr="0024327D">
          <w:rPr>
            <w:noProof/>
            <w:webHidden/>
          </w:rPr>
          <w:t>5</w:t>
        </w:r>
        <w:r w:rsidR="002779AB">
          <w:rPr>
            <w:noProof/>
            <w:webHidden/>
            <w:lang w:val="uk-UA"/>
          </w:rPr>
          <w:t>0</w:t>
        </w:r>
        <w:r w:rsidR="00EB3F08" w:rsidRPr="0024327D">
          <w:rPr>
            <w:noProof/>
            <w:webHidden/>
          </w:rPr>
          <w:fldChar w:fldCharType="end"/>
        </w:r>
      </w:hyperlink>
    </w:p>
    <w:p w14:paraId="4E799E1A" w14:textId="48B99AD5" w:rsidR="00EB3F08" w:rsidRPr="0024327D" w:rsidRDefault="00C21269" w:rsidP="009015FC">
      <w:pPr>
        <w:pStyle w:val="11"/>
        <w:tabs>
          <w:tab w:val="left" w:pos="567"/>
        </w:tabs>
        <w:ind w:right="708"/>
        <w:rPr>
          <w:noProof/>
          <w:lang w:val="en-US"/>
        </w:rPr>
      </w:pPr>
      <w:hyperlink w:anchor="_Toc95481024" w:history="1">
        <w:r w:rsidR="00EB3F08" w:rsidRPr="0024327D">
          <w:rPr>
            <w:rStyle w:val="af4"/>
            <w:rFonts w:eastAsiaTheme="majorEastAsia" w:cstheme="majorBidi"/>
            <w:noProof/>
            <w:lang w:val="uk-UA"/>
          </w:rPr>
          <w:t>5</w:t>
        </w:r>
        <w:r w:rsidR="00EB3F08" w:rsidRPr="0024327D">
          <w:rPr>
            <w:noProof/>
            <w:lang w:val="en-US"/>
          </w:rPr>
          <w:tab/>
        </w:r>
        <w:r w:rsidR="00EB3F08" w:rsidRPr="0024327D">
          <w:rPr>
            <w:rStyle w:val="af4"/>
            <w:rFonts w:eastAsiaTheme="majorEastAsia" w:cstheme="majorBidi"/>
            <w:noProof/>
            <w:lang w:val="uk-UA"/>
          </w:rPr>
          <w:t>Наступні кроки та перспективи сек'юритизації та облігацій з покриттям в Україні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_Toc95481024 \h </w:instrText>
        </w:r>
        <w:r w:rsidR="00EB3F08" w:rsidRPr="0024327D">
          <w:rPr>
            <w:noProof/>
            <w:webHidden/>
          </w:rPr>
        </w:r>
        <w:r w:rsidR="00EB3F08" w:rsidRPr="0024327D">
          <w:rPr>
            <w:noProof/>
            <w:webHidden/>
          </w:rPr>
          <w:fldChar w:fldCharType="separate"/>
        </w:r>
        <w:r w:rsidR="005D1CBE" w:rsidRPr="0024327D">
          <w:rPr>
            <w:noProof/>
            <w:webHidden/>
          </w:rPr>
          <w:t>5</w:t>
        </w:r>
        <w:r w:rsidR="002779AB">
          <w:rPr>
            <w:noProof/>
            <w:webHidden/>
            <w:lang w:val="uk-UA"/>
          </w:rPr>
          <w:t>1</w:t>
        </w:r>
        <w:r w:rsidR="00EB3F08" w:rsidRPr="0024327D">
          <w:rPr>
            <w:noProof/>
            <w:webHidden/>
          </w:rPr>
          <w:fldChar w:fldCharType="end"/>
        </w:r>
      </w:hyperlink>
    </w:p>
    <w:p w14:paraId="2AB32AFB" w14:textId="1375C9BA" w:rsidR="00EB3F08" w:rsidRPr="0024327D" w:rsidRDefault="00C21269" w:rsidP="002B671F">
      <w:pPr>
        <w:pStyle w:val="31"/>
        <w:rPr>
          <w:noProof/>
          <w:lang w:val="en-US"/>
        </w:rPr>
      </w:pPr>
      <w:hyperlink w:anchor="_Toc95481025" w:history="1">
        <w:r w:rsidR="00EB3F08" w:rsidRPr="0024327D">
          <w:rPr>
            <w:rStyle w:val="af4"/>
            <w:rFonts w:eastAsiaTheme="majorEastAsia" w:cstheme="majorBidi"/>
            <w:noProof/>
            <w:lang w:val="uk-UA"/>
          </w:rPr>
          <w:t>5.1.1</w:t>
        </w:r>
        <w:r w:rsidR="00EB3F08" w:rsidRPr="0024327D">
          <w:rPr>
            <w:noProof/>
            <w:lang w:val="en-US"/>
          </w:rPr>
          <w:tab/>
        </w:r>
        <w:r w:rsidR="00EB3F08" w:rsidRPr="0024327D">
          <w:rPr>
            <w:rStyle w:val="af4"/>
            <w:rFonts w:eastAsiaTheme="majorEastAsia" w:cstheme="majorBidi"/>
            <w:noProof/>
            <w:lang w:val="uk-UA"/>
          </w:rPr>
          <w:t>Розвиток в інших країнах</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_Toc95481025 \h </w:instrText>
        </w:r>
        <w:r w:rsidR="00EB3F08" w:rsidRPr="0024327D">
          <w:rPr>
            <w:noProof/>
            <w:webHidden/>
          </w:rPr>
        </w:r>
        <w:r w:rsidR="00EB3F08" w:rsidRPr="0024327D">
          <w:rPr>
            <w:noProof/>
            <w:webHidden/>
          </w:rPr>
          <w:fldChar w:fldCharType="separate"/>
        </w:r>
        <w:r w:rsidR="005D1CBE" w:rsidRPr="0024327D">
          <w:rPr>
            <w:noProof/>
            <w:webHidden/>
          </w:rPr>
          <w:t>5</w:t>
        </w:r>
        <w:r w:rsidR="002779AB">
          <w:rPr>
            <w:noProof/>
            <w:webHidden/>
            <w:lang w:val="uk-UA"/>
          </w:rPr>
          <w:t>1</w:t>
        </w:r>
        <w:r w:rsidR="00EB3F08" w:rsidRPr="0024327D">
          <w:rPr>
            <w:noProof/>
            <w:webHidden/>
          </w:rPr>
          <w:fldChar w:fldCharType="end"/>
        </w:r>
      </w:hyperlink>
    </w:p>
    <w:p w14:paraId="3684A95D" w14:textId="28C8B113" w:rsidR="00EB3F08" w:rsidRPr="0024327D" w:rsidRDefault="00C21269" w:rsidP="002B671F">
      <w:pPr>
        <w:pStyle w:val="31"/>
        <w:rPr>
          <w:noProof/>
          <w:lang w:val="en-US"/>
        </w:rPr>
      </w:pPr>
      <w:hyperlink w:anchor="_Toc95481026" w:history="1">
        <w:r w:rsidR="00EB3F08" w:rsidRPr="0024327D">
          <w:rPr>
            <w:rStyle w:val="af4"/>
            <w:rFonts w:eastAsiaTheme="majorEastAsia" w:cstheme="majorBidi"/>
            <w:noProof/>
            <w:lang w:val="uk-UA"/>
          </w:rPr>
          <w:t>5.1.2</w:t>
        </w:r>
        <w:r w:rsidR="00EB3F08" w:rsidRPr="0024327D">
          <w:rPr>
            <w:noProof/>
            <w:lang w:val="en-US"/>
          </w:rPr>
          <w:tab/>
        </w:r>
        <w:r w:rsidR="00EB3F08" w:rsidRPr="0024327D">
          <w:rPr>
            <w:rStyle w:val="af4"/>
            <w:rFonts w:eastAsiaTheme="majorEastAsia" w:cstheme="majorBidi"/>
            <w:noProof/>
            <w:lang w:val="uk-UA"/>
          </w:rPr>
          <w:t>Передумови для успішної сек'юритизації та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_Toc95481026 \h </w:instrText>
        </w:r>
        <w:r w:rsidR="00EB3F08" w:rsidRPr="0024327D">
          <w:rPr>
            <w:noProof/>
            <w:webHidden/>
          </w:rPr>
        </w:r>
        <w:r w:rsidR="00EB3F08" w:rsidRPr="0024327D">
          <w:rPr>
            <w:noProof/>
            <w:webHidden/>
          </w:rPr>
          <w:fldChar w:fldCharType="separate"/>
        </w:r>
        <w:r w:rsidR="005D1CBE" w:rsidRPr="0024327D">
          <w:rPr>
            <w:noProof/>
            <w:webHidden/>
          </w:rPr>
          <w:t>5</w:t>
        </w:r>
        <w:r w:rsidR="0089115A">
          <w:rPr>
            <w:noProof/>
            <w:webHidden/>
            <w:lang w:val="uk-UA"/>
          </w:rPr>
          <w:t>2</w:t>
        </w:r>
        <w:r w:rsidR="00EB3F08" w:rsidRPr="0024327D">
          <w:rPr>
            <w:noProof/>
            <w:webHidden/>
          </w:rPr>
          <w:fldChar w:fldCharType="end"/>
        </w:r>
      </w:hyperlink>
    </w:p>
    <w:p w14:paraId="1A6227E2" w14:textId="363DEAD6" w:rsidR="00EB3F08" w:rsidRPr="0024327D" w:rsidRDefault="00C21269" w:rsidP="002B671F">
      <w:pPr>
        <w:pStyle w:val="31"/>
        <w:rPr>
          <w:noProof/>
          <w:lang w:val="en-US"/>
        </w:rPr>
      </w:pPr>
      <w:hyperlink w:anchor="_Toc95481027" w:history="1">
        <w:r w:rsidR="00EB3F08" w:rsidRPr="0024327D">
          <w:rPr>
            <w:rStyle w:val="af4"/>
            <w:rFonts w:eastAsiaTheme="majorEastAsia" w:cstheme="majorBidi"/>
            <w:noProof/>
            <w:lang w:val="uk-UA"/>
          </w:rPr>
          <w:t>5.1.3</w:t>
        </w:r>
        <w:r w:rsidR="00EB3F08" w:rsidRPr="0024327D">
          <w:rPr>
            <w:noProof/>
            <w:lang w:val="en-US"/>
          </w:rPr>
          <w:tab/>
        </w:r>
        <w:r w:rsidR="00EB3F08" w:rsidRPr="0024327D">
          <w:rPr>
            <w:rStyle w:val="af4"/>
            <w:rFonts w:eastAsiaTheme="majorEastAsia" w:cstheme="majorBidi"/>
            <w:noProof/>
            <w:lang w:val="uk-UA"/>
          </w:rPr>
          <w:t>Перспективи сек'юритизації та облігацій з покриттям в Україні на думку учасників ринку</w:t>
        </w:r>
        <w:r w:rsidR="009015FC" w:rsidRPr="0024327D">
          <w:rPr>
            <w:rStyle w:val="af4"/>
            <w:rFonts w:eastAsiaTheme="majorEastAsia" w:cstheme="majorBidi"/>
            <w:noProof/>
            <w:lang w:val="uk-UA"/>
          </w:rPr>
          <w:tab/>
        </w:r>
        <w:r w:rsidR="00D4404F" w:rsidRPr="0024327D">
          <w:rPr>
            <w:rStyle w:val="af4"/>
            <w:rFonts w:eastAsiaTheme="majorEastAsia" w:cstheme="majorBidi"/>
            <w:noProof/>
            <w:lang w:val="uk-UA"/>
          </w:rPr>
          <w:t>……………</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_Toc95481027 \h </w:instrText>
        </w:r>
        <w:r w:rsidR="00EB3F08" w:rsidRPr="0024327D">
          <w:rPr>
            <w:noProof/>
            <w:webHidden/>
          </w:rPr>
        </w:r>
        <w:r w:rsidR="00EB3F08" w:rsidRPr="0024327D">
          <w:rPr>
            <w:noProof/>
            <w:webHidden/>
          </w:rPr>
          <w:fldChar w:fldCharType="separate"/>
        </w:r>
        <w:r w:rsidR="005D1CBE" w:rsidRPr="0024327D">
          <w:rPr>
            <w:noProof/>
            <w:webHidden/>
          </w:rPr>
          <w:t>5</w:t>
        </w:r>
        <w:r w:rsidR="0089115A">
          <w:rPr>
            <w:noProof/>
            <w:webHidden/>
            <w:lang w:val="uk-UA"/>
          </w:rPr>
          <w:t>3</w:t>
        </w:r>
        <w:r w:rsidR="00EB3F08" w:rsidRPr="0024327D">
          <w:rPr>
            <w:noProof/>
            <w:webHidden/>
          </w:rPr>
          <w:fldChar w:fldCharType="end"/>
        </w:r>
      </w:hyperlink>
    </w:p>
    <w:p w14:paraId="42A0CD70" w14:textId="0066F1C8" w:rsidR="00EB3F08" w:rsidRPr="0024327D" w:rsidRDefault="00C21269" w:rsidP="002B671F">
      <w:pPr>
        <w:pStyle w:val="31"/>
        <w:rPr>
          <w:noProof/>
          <w:lang w:val="en-US"/>
        </w:rPr>
      </w:pPr>
      <w:hyperlink w:anchor="_Toc95481028" w:history="1">
        <w:r w:rsidR="00EB3F08" w:rsidRPr="0024327D">
          <w:rPr>
            <w:rStyle w:val="af4"/>
            <w:rFonts w:eastAsiaTheme="majorEastAsia" w:cstheme="majorBidi"/>
            <w:noProof/>
            <w:lang w:val="uk-UA"/>
          </w:rPr>
          <w:t>5.1.4</w:t>
        </w:r>
        <w:r w:rsidR="00EB3F08" w:rsidRPr="0024327D">
          <w:rPr>
            <w:noProof/>
            <w:lang w:val="en-US"/>
          </w:rPr>
          <w:tab/>
        </w:r>
        <w:r w:rsidR="00EB3F08" w:rsidRPr="0024327D">
          <w:rPr>
            <w:rStyle w:val="af4"/>
            <w:rFonts w:eastAsiaTheme="majorEastAsia" w:cstheme="majorBidi"/>
            <w:noProof/>
            <w:lang w:val="uk-UA"/>
          </w:rPr>
          <w:t>Останні зміни в нормативно-правових актах ЄС, які слід враховувати</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_Toc95481028 \h </w:instrText>
        </w:r>
        <w:r w:rsidR="00EB3F08" w:rsidRPr="0024327D">
          <w:rPr>
            <w:noProof/>
            <w:webHidden/>
          </w:rPr>
        </w:r>
        <w:r w:rsidR="00EB3F08" w:rsidRPr="0024327D">
          <w:rPr>
            <w:noProof/>
            <w:webHidden/>
          </w:rPr>
          <w:fldChar w:fldCharType="separate"/>
        </w:r>
        <w:r w:rsidR="00794F12" w:rsidRPr="0024327D">
          <w:rPr>
            <w:noProof/>
            <w:webHidden/>
          </w:rPr>
          <w:t>5</w:t>
        </w:r>
        <w:r w:rsidR="0089115A">
          <w:rPr>
            <w:noProof/>
            <w:webHidden/>
            <w:lang w:val="uk-UA"/>
          </w:rPr>
          <w:t>6</w:t>
        </w:r>
        <w:r w:rsidR="00EB3F08" w:rsidRPr="0024327D">
          <w:rPr>
            <w:noProof/>
            <w:webHidden/>
          </w:rPr>
          <w:fldChar w:fldCharType="end"/>
        </w:r>
      </w:hyperlink>
    </w:p>
    <w:p w14:paraId="2DF60E57" w14:textId="08563790" w:rsidR="00EB3F08" w:rsidRPr="0024327D" w:rsidRDefault="00C21269" w:rsidP="002B671F">
      <w:pPr>
        <w:pStyle w:val="31"/>
        <w:rPr>
          <w:noProof/>
          <w:lang w:val="en-US"/>
        </w:rPr>
      </w:pPr>
      <w:hyperlink w:anchor="_Toc95481029" w:history="1">
        <w:r w:rsidR="005312A7" w:rsidRPr="0024327D">
          <w:rPr>
            <w:rStyle w:val="af4"/>
            <w:rFonts w:eastAsiaTheme="majorEastAsia" w:cstheme="majorBidi"/>
            <w:noProof/>
            <w:lang w:val="uk-UA"/>
          </w:rPr>
          <w:t>Висновок</w:t>
        </w:r>
        <w:r w:rsidR="005312A7" w:rsidRPr="0024327D">
          <w:rPr>
            <w:rStyle w:val="af4"/>
            <w:rFonts w:eastAsiaTheme="majorEastAsia" w:cstheme="majorBidi"/>
            <w:noProof/>
            <w:lang w:val="uk-UA"/>
          </w:rPr>
          <w:tab/>
        </w:r>
        <w:r w:rsidR="005312A7" w:rsidRPr="0024327D">
          <w:rPr>
            <w:noProof/>
            <w:webHidden/>
          </w:rPr>
          <w:tab/>
        </w:r>
        <w:r w:rsidR="005312A7" w:rsidRPr="0024327D">
          <w:rPr>
            <w:noProof/>
            <w:webHidden/>
          </w:rPr>
          <w:fldChar w:fldCharType="begin"/>
        </w:r>
        <w:r w:rsidR="005312A7" w:rsidRPr="0024327D">
          <w:rPr>
            <w:noProof/>
            <w:webHidden/>
          </w:rPr>
          <w:instrText xml:space="preserve"> PAGEREF _Toc95481029 \h </w:instrText>
        </w:r>
        <w:r w:rsidR="005312A7" w:rsidRPr="0024327D">
          <w:rPr>
            <w:noProof/>
            <w:webHidden/>
          </w:rPr>
        </w:r>
        <w:r w:rsidR="005312A7" w:rsidRPr="0024327D">
          <w:rPr>
            <w:noProof/>
            <w:webHidden/>
          </w:rPr>
          <w:fldChar w:fldCharType="separate"/>
        </w:r>
        <w:r w:rsidR="005312A7" w:rsidRPr="0024327D">
          <w:rPr>
            <w:noProof/>
            <w:webHidden/>
          </w:rPr>
          <w:t>5</w:t>
        </w:r>
        <w:r w:rsidR="0089115A">
          <w:rPr>
            <w:noProof/>
            <w:webHidden/>
            <w:lang w:val="uk-UA"/>
          </w:rPr>
          <w:t>6</w:t>
        </w:r>
        <w:r w:rsidR="005312A7" w:rsidRPr="0024327D">
          <w:rPr>
            <w:noProof/>
            <w:webHidden/>
          </w:rPr>
          <w:fldChar w:fldCharType="end"/>
        </w:r>
      </w:hyperlink>
    </w:p>
    <w:p w14:paraId="5390F27A" w14:textId="6E9E41BD" w:rsidR="00EB3F08" w:rsidRPr="0024327D" w:rsidRDefault="00C21269" w:rsidP="009015FC">
      <w:pPr>
        <w:pStyle w:val="11"/>
        <w:tabs>
          <w:tab w:val="left" w:pos="567"/>
        </w:tabs>
        <w:ind w:right="708"/>
        <w:rPr>
          <w:noProof/>
          <w:lang w:val="en-US"/>
        </w:rPr>
      </w:pPr>
      <w:hyperlink w:anchor="_Toc95481030" w:history="1">
        <w:r w:rsidR="00EB3F08" w:rsidRPr="0024327D">
          <w:rPr>
            <w:rStyle w:val="af4"/>
            <w:noProof/>
            <w:lang w:val="uk-UA"/>
          </w:rPr>
          <w:t>Додаток 1: Рекомендації Європейської служби банківського нагляду (EBA) щодо найкращих практик у сфері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_Toc95481030 \h </w:instrText>
        </w:r>
        <w:r w:rsidR="00EB3F08" w:rsidRPr="0024327D">
          <w:rPr>
            <w:noProof/>
            <w:webHidden/>
          </w:rPr>
        </w:r>
        <w:r w:rsidR="00EB3F08" w:rsidRPr="0024327D">
          <w:rPr>
            <w:noProof/>
            <w:webHidden/>
          </w:rPr>
          <w:fldChar w:fldCharType="separate"/>
        </w:r>
        <w:r w:rsidR="004B373D" w:rsidRPr="0024327D">
          <w:rPr>
            <w:noProof/>
            <w:webHidden/>
            <w:lang w:val="uk-UA"/>
          </w:rPr>
          <w:t>5</w:t>
        </w:r>
        <w:r w:rsidR="0089115A">
          <w:rPr>
            <w:noProof/>
            <w:webHidden/>
            <w:lang w:val="uk-UA"/>
          </w:rPr>
          <w:t>7</w:t>
        </w:r>
        <w:r w:rsidR="00EB3F08" w:rsidRPr="0024327D">
          <w:rPr>
            <w:noProof/>
            <w:webHidden/>
          </w:rPr>
          <w:fldChar w:fldCharType="end"/>
        </w:r>
      </w:hyperlink>
    </w:p>
    <w:p w14:paraId="7AB3081C" w14:textId="484CE13E" w:rsidR="00EB3F08" w:rsidRPr="0024327D" w:rsidRDefault="00C21269" w:rsidP="009015FC">
      <w:pPr>
        <w:pStyle w:val="11"/>
        <w:tabs>
          <w:tab w:val="left" w:pos="567"/>
        </w:tabs>
        <w:ind w:right="708"/>
        <w:rPr>
          <w:noProof/>
          <w:lang w:val="en-US"/>
        </w:rPr>
      </w:pPr>
      <w:hyperlink w:anchor="_Toc95481031" w:history="1">
        <w:r w:rsidR="00EB3F08" w:rsidRPr="0024327D">
          <w:rPr>
            <w:rStyle w:val="af4"/>
            <w:noProof/>
            <w:lang w:val="uk-UA"/>
          </w:rPr>
          <w:t>Додаток 2: Глосарій термінів</w:t>
        </w:r>
        <w:r w:rsidR="00EB3F08" w:rsidRPr="0024327D">
          <w:rPr>
            <w:noProof/>
            <w:webHidden/>
          </w:rPr>
          <w:tab/>
        </w:r>
        <w:r w:rsidR="0089115A">
          <w:rPr>
            <w:noProof/>
            <w:webHidden/>
            <w:lang w:val="uk-UA"/>
          </w:rPr>
          <w:t>59</w:t>
        </w:r>
      </w:hyperlink>
    </w:p>
    <w:p w14:paraId="414B198D" w14:textId="4869E050" w:rsidR="00EB3F08" w:rsidRPr="0024327D" w:rsidRDefault="00C21269" w:rsidP="009015FC">
      <w:pPr>
        <w:pStyle w:val="11"/>
        <w:tabs>
          <w:tab w:val="left" w:pos="567"/>
        </w:tabs>
        <w:ind w:right="708"/>
        <w:rPr>
          <w:noProof/>
          <w:lang w:val="en-US"/>
        </w:rPr>
      </w:pPr>
      <w:hyperlink w:anchor="_Toc95481032" w:history="1">
        <w:r w:rsidR="00EB3F08" w:rsidRPr="0024327D">
          <w:rPr>
            <w:rStyle w:val="af4"/>
            <w:noProof/>
            <w:lang w:val="uk-UA"/>
          </w:rPr>
          <w:t>Додаток 3: Законодавчий процес у ЄС</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_Toc95481032 \h </w:instrText>
        </w:r>
        <w:r w:rsidR="00EB3F08" w:rsidRPr="0024327D">
          <w:rPr>
            <w:noProof/>
            <w:webHidden/>
          </w:rPr>
        </w:r>
        <w:r w:rsidR="00EB3F08" w:rsidRPr="0024327D">
          <w:rPr>
            <w:noProof/>
            <w:webHidden/>
          </w:rPr>
          <w:fldChar w:fldCharType="separate"/>
        </w:r>
        <w:r w:rsidR="005D1CBE" w:rsidRPr="0024327D">
          <w:rPr>
            <w:noProof/>
            <w:webHidden/>
          </w:rPr>
          <w:t>6</w:t>
        </w:r>
        <w:r w:rsidR="0089115A">
          <w:rPr>
            <w:noProof/>
            <w:webHidden/>
            <w:lang w:val="uk-UA"/>
          </w:rPr>
          <w:t>4</w:t>
        </w:r>
        <w:r w:rsidR="00EB3F08" w:rsidRPr="0024327D">
          <w:rPr>
            <w:noProof/>
            <w:webHidden/>
          </w:rPr>
          <w:fldChar w:fldCharType="end"/>
        </w:r>
      </w:hyperlink>
    </w:p>
    <w:p w14:paraId="792007F7" w14:textId="20CF4045" w:rsidR="00EB3F08" w:rsidRPr="0024327D" w:rsidRDefault="00C21269" w:rsidP="009015FC">
      <w:pPr>
        <w:pStyle w:val="11"/>
        <w:tabs>
          <w:tab w:val="left" w:pos="567"/>
        </w:tabs>
        <w:ind w:right="708"/>
        <w:rPr>
          <w:noProof/>
          <w:lang w:val="en-US"/>
        </w:rPr>
      </w:pPr>
      <w:hyperlink w:anchor="_Toc95481033" w:history="1">
        <w:r w:rsidR="00EB3F08" w:rsidRPr="0024327D">
          <w:rPr>
            <w:rStyle w:val="af4"/>
            <w:rFonts w:eastAsiaTheme="majorEastAsia" w:cstheme="majorBidi"/>
            <w:noProof/>
            <w:lang w:val="uk-UA"/>
          </w:rPr>
          <w:t>Додаток 4: Альтернативні структури облігацій з покриттям</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_Toc95481033 \h </w:instrText>
        </w:r>
        <w:r w:rsidR="00EB3F08" w:rsidRPr="0024327D">
          <w:rPr>
            <w:noProof/>
            <w:webHidden/>
          </w:rPr>
        </w:r>
        <w:r w:rsidR="00EB3F08" w:rsidRPr="0024327D">
          <w:rPr>
            <w:noProof/>
            <w:webHidden/>
          </w:rPr>
          <w:fldChar w:fldCharType="separate"/>
        </w:r>
        <w:r w:rsidR="005D1CBE" w:rsidRPr="0024327D">
          <w:rPr>
            <w:noProof/>
            <w:webHidden/>
          </w:rPr>
          <w:t>6</w:t>
        </w:r>
        <w:r w:rsidR="0089115A">
          <w:rPr>
            <w:noProof/>
            <w:webHidden/>
            <w:lang w:val="uk-UA"/>
          </w:rPr>
          <w:t>6</w:t>
        </w:r>
        <w:r w:rsidR="00EB3F08" w:rsidRPr="0024327D">
          <w:rPr>
            <w:noProof/>
            <w:webHidden/>
          </w:rPr>
          <w:fldChar w:fldCharType="end"/>
        </w:r>
      </w:hyperlink>
    </w:p>
    <w:p w14:paraId="5CDE9573" w14:textId="49E15D6C" w:rsidR="00EB3F08" w:rsidRPr="0024327D" w:rsidRDefault="00C21269" w:rsidP="009015FC">
      <w:pPr>
        <w:pStyle w:val="21"/>
        <w:rPr>
          <w:noProof/>
          <w:lang w:val="en-US"/>
        </w:rPr>
      </w:pPr>
      <w:hyperlink w:anchor="_Toc95481034" w:history="1">
        <w:r w:rsidR="00EB3F08" w:rsidRPr="0024327D">
          <w:rPr>
            <w:rStyle w:val="af4"/>
            <w:rFonts w:eastAsiaTheme="majorEastAsia" w:cstheme="majorBidi"/>
            <w:noProof/>
            <w:lang w:val="uk-UA"/>
          </w:rPr>
          <w:t>Модель активів на балансі</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_Toc95481034 \h </w:instrText>
        </w:r>
        <w:r w:rsidR="00EB3F08" w:rsidRPr="0024327D">
          <w:rPr>
            <w:noProof/>
            <w:webHidden/>
          </w:rPr>
        </w:r>
        <w:r w:rsidR="00EB3F08" w:rsidRPr="0024327D">
          <w:rPr>
            <w:noProof/>
            <w:webHidden/>
          </w:rPr>
          <w:fldChar w:fldCharType="separate"/>
        </w:r>
        <w:r w:rsidR="005D1CBE" w:rsidRPr="0024327D">
          <w:rPr>
            <w:noProof/>
            <w:webHidden/>
          </w:rPr>
          <w:t>6</w:t>
        </w:r>
        <w:r w:rsidR="0089115A">
          <w:rPr>
            <w:noProof/>
            <w:webHidden/>
            <w:lang w:val="uk-UA"/>
          </w:rPr>
          <w:t>6</w:t>
        </w:r>
        <w:r w:rsidR="00EB3F08" w:rsidRPr="0024327D">
          <w:rPr>
            <w:noProof/>
            <w:webHidden/>
          </w:rPr>
          <w:fldChar w:fldCharType="end"/>
        </w:r>
      </w:hyperlink>
    </w:p>
    <w:p w14:paraId="62184D65" w14:textId="65C9E793" w:rsidR="00EB3F08" w:rsidRPr="0024327D" w:rsidRDefault="00C21269" w:rsidP="002B671F">
      <w:pPr>
        <w:pStyle w:val="31"/>
        <w:rPr>
          <w:noProof/>
          <w:lang w:val="en-US"/>
        </w:rPr>
      </w:pPr>
      <w:hyperlink w:anchor="_Toc95481035" w:history="1">
        <w:r w:rsidR="00EB3F08" w:rsidRPr="0024327D">
          <w:rPr>
            <w:rStyle w:val="af4"/>
            <w:rFonts w:eastAsiaTheme="majorEastAsia" w:cstheme="majorBidi"/>
            <w:noProof/>
            <w:lang w:val="uk-UA"/>
          </w:rPr>
          <w:t>Порівняння моделей</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_Toc95481035 \h </w:instrText>
        </w:r>
        <w:r w:rsidR="00EB3F08" w:rsidRPr="0024327D">
          <w:rPr>
            <w:noProof/>
            <w:webHidden/>
          </w:rPr>
        </w:r>
        <w:r w:rsidR="00EB3F08" w:rsidRPr="0024327D">
          <w:rPr>
            <w:noProof/>
            <w:webHidden/>
          </w:rPr>
          <w:fldChar w:fldCharType="separate"/>
        </w:r>
        <w:r w:rsidR="005D1CBE" w:rsidRPr="0024327D">
          <w:rPr>
            <w:noProof/>
            <w:webHidden/>
          </w:rPr>
          <w:t>6</w:t>
        </w:r>
        <w:r w:rsidR="0089115A">
          <w:rPr>
            <w:noProof/>
            <w:webHidden/>
            <w:lang w:val="uk-UA"/>
          </w:rPr>
          <w:t>7</w:t>
        </w:r>
        <w:r w:rsidR="00EB3F08" w:rsidRPr="0024327D">
          <w:rPr>
            <w:noProof/>
            <w:webHidden/>
          </w:rPr>
          <w:fldChar w:fldCharType="end"/>
        </w:r>
      </w:hyperlink>
    </w:p>
    <w:p w14:paraId="595DF5C1" w14:textId="0DC5EF76" w:rsidR="00EB3F08" w:rsidRPr="0024327D" w:rsidRDefault="00C21269" w:rsidP="009015FC">
      <w:pPr>
        <w:pStyle w:val="11"/>
        <w:tabs>
          <w:tab w:val="left" w:pos="567"/>
        </w:tabs>
        <w:ind w:right="708"/>
        <w:rPr>
          <w:noProof/>
          <w:lang w:val="en-US"/>
        </w:rPr>
      </w:pPr>
      <w:hyperlink w:anchor="_Toc95481036" w:history="1">
        <w:r w:rsidR="00EB3F08" w:rsidRPr="0024327D">
          <w:rPr>
            <w:rStyle w:val="af4"/>
            <w:rFonts w:eastAsiaTheme="majorEastAsia" w:cstheme="majorBidi"/>
            <w:noProof/>
            <w:lang w:val="uk-UA"/>
          </w:rPr>
          <w:t>Додаток 5: Законодавство та найкращі практики</w:t>
        </w:r>
        <w:r w:rsidR="00EB3F08" w:rsidRPr="0024327D">
          <w:rPr>
            <w:rStyle w:val="af4"/>
            <w:noProof/>
            <w:lang w:val="uk-UA"/>
          </w:rPr>
          <w:t xml:space="preserve"> </w:t>
        </w:r>
        <w:r w:rsidR="00EB3F08" w:rsidRPr="0024327D">
          <w:rPr>
            <w:rStyle w:val="af4"/>
            <w:rFonts w:eastAsiaTheme="majorEastAsia" w:cstheme="majorBidi"/>
            <w:noProof/>
            <w:lang w:val="uk-UA"/>
          </w:rPr>
          <w:t>ЄС</w:t>
        </w:r>
        <w:r w:rsidR="00EB3F08" w:rsidRPr="0024327D">
          <w:rPr>
            <w:noProof/>
            <w:webHidden/>
          </w:rPr>
          <w:tab/>
        </w:r>
        <w:r w:rsidR="00EB3F08" w:rsidRPr="0024327D">
          <w:rPr>
            <w:noProof/>
            <w:webHidden/>
          </w:rPr>
          <w:fldChar w:fldCharType="begin"/>
        </w:r>
        <w:r w:rsidR="00EB3F08" w:rsidRPr="0024327D">
          <w:rPr>
            <w:noProof/>
            <w:webHidden/>
          </w:rPr>
          <w:instrText xml:space="preserve"> PAGEREF _Toc95481036 \h </w:instrText>
        </w:r>
        <w:r w:rsidR="00EB3F08" w:rsidRPr="0024327D">
          <w:rPr>
            <w:noProof/>
            <w:webHidden/>
          </w:rPr>
        </w:r>
        <w:r w:rsidR="00EB3F08" w:rsidRPr="0024327D">
          <w:rPr>
            <w:noProof/>
            <w:webHidden/>
          </w:rPr>
          <w:fldChar w:fldCharType="separate"/>
        </w:r>
        <w:r w:rsidR="005D1CBE" w:rsidRPr="0024327D">
          <w:rPr>
            <w:noProof/>
            <w:webHidden/>
          </w:rPr>
          <w:t>7</w:t>
        </w:r>
        <w:r w:rsidR="0089115A">
          <w:rPr>
            <w:noProof/>
            <w:webHidden/>
            <w:lang w:val="uk-UA"/>
          </w:rPr>
          <w:t>0</w:t>
        </w:r>
        <w:r w:rsidR="00EB3F08" w:rsidRPr="0024327D">
          <w:rPr>
            <w:noProof/>
            <w:webHidden/>
          </w:rPr>
          <w:fldChar w:fldCharType="end"/>
        </w:r>
      </w:hyperlink>
    </w:p>
    <w:p w14:paraId="229C7EC1" w14:textId="55FA4123" w:rsidR="00E859CC" w:rsidRPr="0024327D" w:rsidRDefault="00943EA1" w:rsidP="009015FC">
      <w:pPr>
        <w:pStyle w:val="1"/>
        <w:tabs>
          <w:tab w:val="left" w:pos="567"/>
        </w:tabs>
        <w:ind w:left="0" w:firstLine="0"/>
        <w:rPr>
          <w:lang w:val="uk-UA"/>
        </w:rPr>
      </w:pPr>
      <w:r w:rsidRPr="0024327D">
        <w:rPr>
          <w:lang w:val="uk-UA"/>
        </w:rPr>
        <w:lastRenderedPageBreak/>
        <w:fldChar w:fldCharType="end"/>
      </w:r>
      <w:bookmarkStart w:id="1" w:name="_Toc95480962"/>
      <w:r w:rsidR="005241D1" w:rsidRPr="0024327D">
        <w:rPr>
          <w:lang w:val="uk-UA"/>
        </w:rPr>
        <w:t>Резюме</w:t>
      </w:r>
      <w:bookmarkEnd w:id="1"/>
    </w:p>
    <w:p w14:paraId="0807AC76" w14:textId="19061C4D" w:rsidR="00D3397B" w:rsidRPr="0024327D" w:rsidRDefault="00F44429" w:rsidP="00501D25">
      <w:pPr>
        <w:rPr>
          <w:lang w:val="uk-UA"/>
        </w:rPr>
      </w:pPr>
      <w:r w:rsidRPr="0024327D">
        <w:rPr>
          <w:lang w:val="uk-UA"/>
        </w:rPr>
        <w:t xml:space="preserve">Метою цієї Концепції є визначення концептуальних питань для подальшої розробки законодавчого регулювання  впровадження </w:t>
      </w:r>
      <w:r w:rsidR="00D3397B" w:rsidRPr="0024327D">
        <w:rPr>
          <w:lang w:val="uk-UA"/>
        </w:rPr>
        <w:t>облігаці</w:t>
      </w:r>
      <w:r w:rsidRPr="0024327D">
        <w:rPr>
          <w:lang w:val="uk-UA"/>
        </w:rPr>
        <w:t>й</w:t>
      </w:r>
      <w:r w:rsidR="00D3397B" w:rsidRPr="0024327D">
        <w:rPr>
          <w:lang w:val="uk-UA"/>
        </w:rPr>
        <w:t xml:space="preserve"> </w:t>
      </w:r>
      <w:r w:rsidR="00B32A12" w:rsidRPr="0024327D">
        <w:rPr>
          <w:lang w:val="uk-UA"/>
        </w:rPr>
        <w:t xml:space="preserve">з покриттям </w:t>
      </w:r>
      <w:r w:rsidR="00D3397B" w:rsidRPr="0024327D">
        <w:rPr>
          <w:lang w:val="uk-UA"/>
        </w:rPr>
        <w:t>та сек'юритизаці</w:t>
      </w:r>
      <w:r w:rsidRPr="0024327D">
        <w:rPr>
          <w:lang w:val="uk-UA"/>
        </w:rPr>
        <w:t>ї</w:t>
      </w:r>
      <w:r w:rsidR="00D3397B" w:rsidRPr="0024327D">
        <w:rPr>
          <w:lang w:val="uk-UA"/>
        </w:rPr>
        <w:t xml:space="preserve"> </w:t>
      </w:r>
      <w:r w:rsidR="00C3203F" w:rsidRPr="0024327D">
        <w:rPr>
          <w:lang w:val="uk-UA"/>
        </w:rPr>
        <w:t xml:space="preserve">в </w:t>
      </w:r>
      <w:r w:rsidR="00D3397B" w:rsidRPr="0024327D">
        <w:rPr>
          <w:lang w:val="uk-UA"/>
        </w:rPr>
        <w:t>Україн</w:t>
      </w:r>
      <w:r w:rsidR="00C3203F" w:rsidRPr="0024327D">
        <w:rPr>
          <w:lang w:val="uk-UA"/>
        </w:rPr>
        <w:t>і</w:t>
      </w:r>
      <w:r w:rsidR="00D3397B" w:rsidRPr="0024327D">
        <w:rPr>
          <w:lang w:val="uk-UA"/>
        </w:rPr>
        <w:t xml:space="preserve">. Ця </w:t>
      </w:r>
      <w:r w:rsidR="000F516A" w:rsidRPr="0024327D">
        <w:rPr>
          <w:lang w:val="uk-UA"/>
        </w:rPr>
        <w:t>К</w:t>
      </w:r>
      <w:r w:rsidR="00D3397B" w:rsidRPr="0024327D">
        <w:rPr>
          <w:lang w:val="uk-UA"/>
        </w:rPr>
        <w:t>онцепція структурована</w:t>
      </w:r>
      <w:r w:rsidR="000D359D" w:rsidRPr="0024327D">
        <w:rPr>
          <w:lang w:val="uk-UA"/>
        </w:rPr>
        <w:t xml:space="preserve"> наступним чином</w:t>
      </w:r>
      <w:r w:rsidR="00D3397B" w:rsidRPr="0024327D">
        <w:rPr>
          <w:lang w:val="uk-UA"/>
        </w:rPr>
        <w:t xml:space="preserve">. Розділ 2 </w:t>
      </w:r>
      <w:r w:rsidR="00A16F44" w:rsidRPr="0024327D">
        <w:rPr>
          <w:lang w:val="uk-UA"/>
        </w:rPr>
        <w:t>“</w:t>
      </w:r>
      <w:r w:rsidR="00D3397B" w:rsidRPr="0024327D">
        <w:rPr>
          <w:lang w:val="uk-UA"/>
        </w:rPr>
        <w:t>Вступ</w:t>
      </w:r>
      <w:r w:rsidR="00A16F44" w:rsidRPr="0024327D">
        <w:rPr>
          <w:lang w:val="uk-UA"/>
        </w:rPr>
        <w:t>”</w:t>
      </w:r>
      <w:r w:rsidR="00D3397B" w:rsidRPr="0024327D">
        <w:rPr>
          <w:lang w:val="uk-UA"/>
        </w:rPr>
        <w:t xml:space="preserve"> описує переваги використання облігацій </w:t>
      </w:r>
      <w:r w:rsidR="00B32A12" w:rsidRPr="0024327D">
        <w:rPr>
          <w:lang w:val="uk-UA"/>
        </w:rPr>
        <w:t xml:space="preserve">з покриттям </w:t>
      </w:r>
      <w:r w:rsidR="00D3397B" w:rsidRPr="0024327D">
        <w:rPr>
          <w:lang w:val="uk-UA"/>
        </w:rPr>
        <w:t>та сек’юритизації для української економіки на основі досвіду інших країн</w:t>
      </w:r>
      <w:r w:rsidR="00B3087C" w:rsidRPr="0024327D">
        <w:rPr>
          <w:lang w:val="uk-UA"/>
        </w:rPr>
        <w:t xml:space="preserve"> з перехідною економікою</w:t>
      </w:r>
      <w:r w:rsidR="00D3397B" w:rsidRPr="0024327D">
        <w:rPr>
          <w:lang w:val="uk-UA"/>
        </w:rPr>
        <w:t xml:space="preserve">, які вже впровадили ці механізми, а саме, що </w:t>
      </w:r>
      <w:r w:rsidR="00E77CA3" w:rsidRPr="0024327D">
        <w:rPr>
          <w:lang w:val="uk-UA"/>
        </w:rPr>
        <w:t xml:space="preserve">і </w:t>
      </w:r>
      <w:r w:rsidR="00C34ED9" w:rsidRPr="0024327D">
        <w:rPr>
          <w:lang w:val="uk-UA"/>
        </w:rPr>
        <w:t>сек’юритизація</w:t>
      </w:r>
      <w:r w:rsidR="00E77CA3" w:rsidRPr="0024327D">
        <w:rPr>
          <w:lang w:val="uk-UA"/>
        </w:rPr>
        <w:t>, і</w:t>
      </w:r>
      <w:r w:rsidR="00D3397B" w:rsidRPr="0024327D">
        <w:rPr>
          <w:lang w:val="uk-UA"/>
        </w:rPr>
        <w:t xml:space="preserve"> облігації </w:t>
      </w:r>
      <w:r w:rsidR="00B32A12" w:rsidRPr="0024327D">
        <w:rPr>
          <w:lang w:val="uk-UA"/>
        </w:rPr>
        <w:t xml:space="preserve">з покриттям </w:t>
      </w:r>
      <w:r w:rsidR="00D3397B" w:rsidRPr="0024327D">
        <w:rPr>
          <w:lang w:val="uk-UA"/>
        </w:rPr>
        <w:t>є способами використання забезпечення, створеного за рахунок активів, для</w:t>
      </w:r>
      <w:r w:rsidR="00E77CA3" w:rsidRPr="0024327D">
        <w:rPr>
          <w:lang w:val="uk-UA"/>
        </w:rPr>
        <w:t xml:space="preserve"> </w:t>
      </w:r>
      <w:r w:rsidR="00D3397B" w:rsidRPr="0024327D">
        <w:rPr>
          <w:lang w:val="uk-UA"/>
        </w:rPr>
        <w:t>з</w:t>
      </w:r>
      <w:r w:rsidR="0044107A" w:rsidRPr="0024327D">
        <w:rPr>
          <w:lang w:val="uk-UA"/>
        </w:rPr>
        <w:t>ниження</w:t>
      </w:r>
      <w:r w:rsidR="00D3397B" w:rsidRPr="0024327D">
        <w:rPr>
          <w:lang w:val="uk-UA"/>
        </w:rPr>
        <w:t xml:space="preserve"> кредитного ризику</w:t>
      </w:r>
      <w:r w:rsidR="00E77CA3" w:rsidRPr="0024327D">
        <w:rPr>
          <w:lang w:val="uk-UA"/>
        </w:rPr>
        <w:t xml:space="preserve">, а відтак і для </w:t>
      </w:r>
      <w:r w:rsidR="00D3397B" w:rsidRPr="0024327D">
        <w:rPr>
          <w:lang w:val="uk-UA"/>
        </w:rPr>
        <w:t>зменшення в</w:t>
      </w:r>
      <w:r w:rsidR="00E77CA3" w:rsidRPr="0024327D">
        <w:rPr>
          <w:lang w:val="uk-UA"/>
        </w:rPr>
        <w:t xml:space="preserve">артості </w:t>
      </w:r>
      <w:r w:rsidR="00D3397B" w:rsidRPr="0024327D">
        <w:rPr>
          <w:lang w:val="uk-UA"/>
        </w:rPr>
        <w:t>фінансування цих активів. Обсяг і мета ц</w:t>
      </w:r>
      <w:r w:rsidR="00E77CA3" w:rsidRPr="0024327D">
        <w:rPr>
          <w:lang w:val="uk-UA"/>
        </w:rPr>
        <w:t xml:space="preserve">ієї </w:t>
      </w:r>
      <w:r w:rsidR="000F516A" w:rsidRPr="0024327D">
        <w:rPr>
          <w:lang w:val="uk-UA"/>
        </w:rPr>
        <w:t>К</w:t>
      </w:r>
      <w:r w:rsidR="00E77CA3" w:rsidRPr="0024327D">
        <w:rPr>
          <w:lang w:val="uk-UA"/>
        </w:rPr>
        <w:t>онцепції</w:t>
      </w:r>
      <w:r w:rsidR="00D3397B" w:rsidRPr="0024327D">
        <w:rPr>
          <w:lang w:val="uk-UA"/>
        </w:rPr>
        <w:t xml:space="preserve">, а також огляд процесу, який </w:t>
      </w:r>
      <w:r w:rsidR="00B86662" w:rsidRPr="0024327D">
        <w:rPr>
          <w:lang w:val="uk-UA"/>
        </w:rPr>
        <w:t xml:space="preserve">необхідно </w:t>
      </w:r>
      <w:r w:rsidR="00D3397B" w:rsidRPr="0024327D">
        <w:rPr>
          <w:lang w:val="uk-UA"/>
        </w:rPr>
        <w:t xml:space="preserve">буде завершити для </w:t>
      </w:r>
      <w:r w:rsidR="00E77CA3" w:rsidRPr="0024327D">
        <w:rPr>
          <w:lang w:val="uk-UA"/>
        </w:rPr>
        <w:t xml:space="preserve">запровадження </w:t>
      </w:r>
      <w:r w:rsidR="00645A85" w:rsidRPr="0024327D">
        <w:rPr>
          <w:lang w:val="uk-UA"/>
        </w:rPr>
        <w:t>облігацій з покриттям</w:t>
      </w:r>
      <w:r w:rsidR="00D3397B" w:rsidRPr="0024327D">
        <w:rPr>
          <w:lang w:val="uk-UA"/>
        </w:rPr>
        <w:t xml:space="preserve"> та сек'юритизації, також </w:t>
      </w:r>
      <w:r w:rsidR="00E77CA3" w:rsidRPr="0024327D">
        <w:rPr>
          <w:lang w:val="uk-UA"/>
        </w:rPr>
        <w:t>стисло ви</w:t>
      </w:r>
      <w:r w:rsidR="00B3087C" w:rsidRPr="0024327D">
        <w:rPr>
          <w:lang w:val="uk-UA"/>
        </w:rPr>
        <w:t xml:space="preserve">кладені </w:t>
      </w:r>
      <w:r w:rsidR="00D3397B" w:rsidRPr="0024327D">
        <w:rPr>
          <w:lang w:val="uk-UA"/>
        </w:rPr>
        <w:t>у Розділі 2.</w:t>
      </w:r>
      <w:r w:rsidR="00125227" w:rsidRPr="0024327D">
        <w:rPr>
          <w:lang w:val="uk-UA"/>
        </w:rPr>
        <w:t xml:space="preserve"> </w:t>
      </w:r>
      <w:r w:rsidR="00F30531" w:rsidRPr="0024327D">
        <w:rPr>
          <w:lang w:val="uk-UA"/>
        </w:rPr>
        <w:t>Р</w:t>
      </w:r>
      <w:r w:rsidR="00125227" w:rsidRPr="0024327D">
        <w:rPr>
          <w:lang w:val="uk-UA"/>
        </w:rPr>
        <w:t>обот</w:t>
      </w:r>
      <w:r w:rsidR="00F30531" w:rsidRPr="0024327D">
        <w:rPr>
          <w:lang w:val="uk-UA"/>
        </w:rPr>
        <w:t>а над цим проєктом розпочалась</w:t>
      </w:r>
      <w:r w:rsidR="00125227" w:rsidRPr="0024327D">
        <w:rPr>
          <w:lang w:val="uk-UA"/>
        </w:rPr>
        <w:t xml:space="preserve"> ще до початку повномасштабної російської агресії проти України в лютому 2022 року, але </w:t>
      </w:r>
      <w:r w:rsidR="00F30531" w:rsidRPr="0024327D">
        <w:rPr>
          <w:lang w:val="uk-UA"/>
        </w:rPr>
        <w:t xml:space="preserve">до Концепції </w:t>
      </w:r>
      <w:r w:rsidR="00125227" w:rsidRPr="0024327D">
        <w:rPr>
          <w:lang w:val="uk-UA"/>
        </w:rPr>
        <w:t xml:space="preserve">також </w:t>
      </w:r>
      <w:r w:rsidR="00F30531" w:rsidRPr="0024327D">
        <w:rPr>
          <w:lang w:val="uk-UA"/>
        </w:rPr>
        <w:t xml:space="preserve">було </w:t>
      </w:r>
      <w:r w:rsidR="00125227" w:rsidRPr="0024327D">
        <w:rPr>
          <w:lang w:val="uk-UA"/>
        </w:rPr>
        <w:t>включ</w:t>
      </w:r>
      <w:r w:rsidR="00F30531" w:rsidRPr="0024327D">
        <w:rPr>
          <w:lang w:val="uk-UA"/>
        </w:rPr>
        <w:t xml:space="preserve">ено </w:t>
      </w:r>
      <w:r w:rsidR="00125227" w:rsidRPr="0024327D">
        <w:rPr>
          <w:lang w:val="uk-UA"/>
        </w:rPr>
        <w:t>коротке висвітлення того, як нові інструменти можуть бути використані для допомоги у відбудові України після війни.</w:t>
      </w:r>
    </w:p>
    <w:p w14:paraId="08CFAF42" w14:textId="7BB6B2E5" w:rsidR="00E77CA3" w:rsidRPr="0024327D" w:rsidRDefault="00E77CA3" w:rsidP="00DB5779">
      <w:pPr>
        <w:rPr>
          <w:lang w:val="uk-UA"/>
        </w:rPr>
      </w:pPr>
      <w:r w:rsidRPr="0024327D">
        <w:rPr>
          <w:lang w:val="uk-UA"/>
        </w:rPr>
        <w:t xml:space="preserve">Розділ 3 </w:t>
      </w:r>
      <w:r w:rsidR="0099734D" w:rsidRPr="0024327D">
        <w:rPr>
          <w:lang w:val="uk-UA"/>
        </w:rPr>
        <w:t>“</w:t>
      </w:r>
      <w:r w:rsidRPr="0024327D">
        <w:rPr>
          <w:lang w:val="uk-UA"/>
        </w:rPr>
        <w:t>Опис</w:t>
      </w:r>
      <w:r w:rsidR="0099734D" w:rsidRPr="0024327D">
        <w:rPr>
          <w:lang w:val="uk-UA"/>
        </w:rPr>
        <w:t>”</w:t>
      </w:r>
      <w:r w:rsidRPr="0024327D">
        <w:rPr>
          <w:lang w:val="uk-UA"/>
        </w:rPr>
        <w:t xml:space="preserve"> </w:t>
      </w:r>
      <w:r w:rsidR="00F44429" w:rsidRPr="0024327D">
        <w:rPr>
          <w:lang w:val="uk-UA"/>
        </w:rPr>
        <w:t xml:space="preserve"> має </w:t>
      </w:r>
      <w:r w:rsidR="00DC6BB2" w:rsidRPr="0024327D">
        <w:rPr>
          <w:lang w:val="uk-UA"/>
        </w:rPr>
        <w:t>інформаційний характер</w:t>
      </w:r>
      <w:r w:rsidR="00BB64FC" w:rsidRPr="0024327D">
        <w:rPr>
          <w:lang w:val="uk-UA"/>
        </w:rPr>
        <w:t>, у ньому наведені</w:t>
      </w:r>
      <w:r w:rsidRPr="0024327D">
        <w:rPr>
          <w:lang w:val="uk-UA"/>
        </w:rPr>
        <w:t xml:space="preserve"> стисл</w:t>
      </w:r>
      <w:r w:rsidR="00BB64FC" w:rsidRPr="0024327D">
        <w:rPr>
          <w:lang w:val="uk-UA"/>
        </w:rPr>
        <w:t>і</w:t>
      </w:r>
      <w:r w:rsidRPr="0024327D">
        <w:rPr>
          <w:lang w:val="uk-UA"/>
        </w:rPr>
        <w:t xml:space="preserve"> </w:t>
      </w:r>
      <w:r w:rsidR="00B3087C" w:rsidRPr="0024327D">
        <w:rPr>
          <w:lang w:val="uk-UA"/>
        </w:rPr>
        <w:t xml:space="preserve">роз’яснення </w:t>
      </w:r>
      <w:r w:rsidRPr="0024327D">
        <w:rPr>
          <w:lang w:val="uk-UA"/>
        </w:rPr>
        <w:t xml:space="preserve">структур, описаних у цьому документі. Пояснюється, що облігації </w:t>
      </w:r>
      <w:r w:rsidR="00DC6BB2" w:rsidRPr="0024327D">
        <w:rPr>
          <w:lang w:val="uk-UA"/>
        </w:rPr>
        <w:t xml:space="preserve">з покриттям </w:t>
      </w:r>
      <w:r w:rsidRPr="0024327D">
        <w:rPr>
          <w:lang w:val="uk-UA"/>
        </w:rPr>
        <w:t>можуть використовуватися для з</w:t>
      </w:r>
      <w:r w:rsidR="0044107A" w:rsidRPr="0024327D">
        <w:rPr>
          <w:lang w:val="uk-UA"/>
        </w:rPr>
        <w:t>ниження</w:t>
      </w:r>
      <w:r w:rsidRPr="0024327D">
        <w:rPr>
          <w:lang w:val="uk-UA"/>
        </w:rPr>
        <w:t xml:space="preserve"> кредитного ризику, а отже для зменшення вартості фінансування </w:t>
      </w:r>
      <w:r w:rsidR="002B5DE3" w:rsidRPr="0024327D">
        <w:rPr>
          <w:lang w:val="uk-UA"/>
        </w:rPr>
        <w:t xml:space="preserve">за рахунок </w:t>
      </w:r>
      <w:r w:rsidR="0037374C" w:rsidRPr="0024327D">
        <w:rPr>
          <w:lang w:val="uk-UA"/>
        </w:rPr>
        <w:t xml:space="preserve">певних </w:t>
      </w:r>
      <w:r w:rsidRPr="0024327D">
        <w:rPr>
          <w:lang w:val="uk-UA"/>
        </w:rPr>
        <w:t>високоякісних класів активів</w:t>
      </w:r>
      <w:r w:rsidR="00163871" w:rsidRPr="0024327D">
        <w:rPr>
          <w:lang w:val="uk-UA"/>
        </w:rPr>
        <w:t>,</w:t>
      </w:r>
      <w:r w:rsidRPr="0024327D">
        <w:rPr>
          <w:lang w:val="uk-UA"/>
        </w:rPr>
        <w:t xml:space="preserve"> із </w:t>
      </w:r>
      <w:r w:rsidR="002B5DE3" w:rsidRPr="0024327D">
        <w:rPr>
          <w:lang w:val="uk-UA"/>
        </w:rPr>
        <w:t xml:space="preserve">повним правом </w:t>
      </w:r>
      <w:r w:rsidR="00163871" w:rsidRPr="0024327D">
        <w:rPr>
          <w:lang w:val="uk-UA"/>
        </w:rPr>
        <w:t xml:space="preserve">вимоги </w:t>
      </w:r>
      <w:r w:rsidR="002B5DE3" w:rsidRPr="0024327D">
        <w:rPr>
          <w:lang w:val="uk-UA"/>
        </w:rPr>
        <w:t>до емітента, який повинен бути банком</w:t>
      </w:r>
      <w:r w:rsidR="009F35D5" w:rsidRPr="0024327D">
        <w:rPr>
          <w:lang w:val="uk-UA"/>
        </w:rPr>
        <w:t xml:space="preserve"> (або іншою </w:t>
      </w:r>
      <w:r w:rsidR="00E205F0" w:rsidRPr="0024327D">
        <w:rPr>
          <w:lang w:val="uk-UA"/>
        </w:rPr>
        <w:t>прийнятною</w:t>
      </w:r>
      <w:r w:rsidR="00CF4452" w:rsidRPr="0024327D">
        <w:rPr>
          <w:lang w:val="uk-UA"/>
        </w:rPr>
        <w:t xml:space="preserve"> </w:t>
      </w:r>
      <w:r w:rsidR="001C0CCF" w:rsidRPr="0024327D">
        <w:rPr>
          <w:lang w:val="uk-UA"/>
        </w:rPr>
        <w:t xml:space="preserve">кредитною </w:t>
      </w:r>
      <w:r w:rsidR="009F35D5" w:rsidRPr="0024327D">
        <w:rPr>
          <w:lang w:val="uk-UA"/>
        </w:rPr>
        <w:t>установ</w:t>
      </w:r>
      <w:r w:rsidR="00CF4452" w:rsidRPr="0024327D">
        <w:rPr>
          <w:lang w:val="uk-UA"/>
        </w:rPr>
        <w:t>ою</w:t>
      </w:r>
      <w:r w:rsidR="009F35D5" w:rsidRPr="0024327D">
        <w:rPr>
          <w:lang w:val="uk-UA"/>
        </w:rPr>
        <w:t>)</w:t>
      </w:r>
      <w:r w:rsidR="002B5DE3" w:rsidRPr="0024327D">
        <w:rPr>
          <w:lang w:val="uk-UA"/>
        </w:rPr>
        <w:t xml:space="preserve">, та при </w:t>
      </w:r>
      <w:r w:rsidR="006A7E4A" w:rsidRPr="0024327D">
        <w:rPr>
          <w:lang w:val="uk-UA"/>
        </w:rPr>
        <w:t>підвищен</w:t>
      </w:r>
      <w:r w:rsidR="005D391F" w:rsidRPr="0024327D">
        <w:rPr>
          <w:lang w:val="uk-UA"/>
        </w:rPr>
        <w:t>их вимогах</w:t>
      </w:r>
      <w:r w:rsidR="006A7E4A" w:rsidRPr="0024327D">
        <w:rPr>
          <w:lang w:val="uk-UA"/>
        </w:rPr>
        <w:t xml:space="preserve"> </w:t>
      </w:r>
      <w:r w:rsidR="002B5DE3" w:rsidRPr="0024327D">
        <w:rPr>
          <w:lang w:val="uk-UA"/>
        </w:rPr>
        <w:t>нагляд</w:t>
      </w:r>
      <w:r w:rsidR="005D391F" w:rsidRPr="0024327D">
        <w:rPr>
          <w:lang w:val="uk-UA"/>
        </w:rPr>
        <w:t>у</w:t>
      </w:r>
      <w:r w:rsidR="002B5DE3" w:rsidRPr="0024327D">
        <w:rPr>
          <w:lang w:val="uk-UA"/>
        </w:rPr>
        <w:t xml:space="preserve"> </w:t>
      </w:r>
      <w:r w:rsidRPr="0024327D">
        <w:rPr>
          <w:lang w:val="uk-UA"/>
        </w:rPr>
        <w:t xml:space="preserve">з боку державного регулятора. </w:t>
      </w:r>
      <w:r w:rsidR="002B5DE3" w:rsidRPr="0024327D">
        <w:rPr>
          <w:lang w:val="uk-UA"/>
        </w:rPr>
        <w:t>При</w:t>
      </w:r>
      <w:r w:rsidRPr="0024327D">
        <w:rPr>
          <w:lang w:val="uk-UA"/>
        </w:rPr>
        <w:t xml:space="preserve"> сек'юритизації </w:t>
      </w:r>
      <w:r w:rsidR="002B5DE3" w:rsidRPr="0024327D">
        <w:rPr>
          <w:lang w:val="uk-UA"/>
        </w:rPr>
        <w:t xml:space="preserve">ж дозволяється використання ширшого </w:t>
      </w:r>
      <w:r w:rsidR="00C624B5" w:rsidRPr="0024327D">
        <w:rPr>
          <w:lang w:val="uk-UA"/>
        </w:rPr>
        <w:t xml:space="preserve">кола класів </w:t>
      </w:r>
      <w:r w:rsidR="002B5DE3" w:rsidRPr="0024327D">
        <w:rPr>
          <w:lang w:val="uk-UA"/>
        </w:rPr>
        <w:t>активів</w:t>
      </w:r>
      <w:r w:rsidR="00F8433C" w:rsidRPr="0024327D">
        <w:rPr>
          <w:lang w:val="uk-UA"/>
        </w:rPr>
        <w:t xml:space="preserve">, які включаються в </w:t>
      </w:r>
      <w:r w:rsidR="0094787B" w:rsidRPr="0024327D">
        <w:rPr>
          <w:lang w:val="uk-UA"/>
        </w:rPr>
        <w:t>пул;</w:t>
      </w:r>
      <w:r w:rsidR="002B5DE3" w:rsidRPr="0024327D">
        <w:rPr>
          <w:lang w:val="uk-UA"/>
        </w:rPr>
        <w:t xml:space="preserve"> </w:t>
      </w:r>
      <w:r w:rsidR="006129ED" w:rsidRPr="0024327D">
        <w:rPr>
          <w:lang w:val="uk-UA"/>
        </w:rPr>
        <w:t xml:space="preserve">оригінаторами, які здійснюють сек’юритизацію, </w:t>
      </w:r>
      <w:r w:rsidR="002B5DE3" w:rsidRPr="0024327D">
        <w:rPr>
          <w:lang w:val="uk-UA"/>
        </w:rPr>
        <w:t>можуть бути</w:t>
      </w:r>
      <w:r w:rsidR="0078386C" w:rsidRPr="0024327D">
        <w:rPr>
          <w:lang w:val="uk-UA"/>
        </w:rPr>
        <w:t xml:space="preserve"> юридичні особи (а не лише банки</w:t>
      </w:r>
      <w:r w:rsidR="005C75EA" w:rsidRPr="0024327D">
        <w:rPr>
          <w:lang w:val="uk-UA"/>
        </w:rPr>
        <w:t xml:space="preserve"> або інші </w:t>
      </w:r>
      <w:r w:rsidR="0076437B" w:rsidRPr="0024327D">
        <w:rPr>
          <w:lang w:val="uk-UA"/>
        </w:rPr>
        <w:t>кредитні</w:t>
      </w:r>
      <w:r w:rsidR="007F67E9" w:rsidRPr="0024327D">
        <w:rPr>
          <w:lang w:val="uk-UA"/>
        </w:rPr>
        <w:t xml:space="preserve"> </w:t>
      </w:r>
      <w:r w:rsidR="00F44429" w:rsidRPr="0024327D">
        <w:rPr>
          <w:lang w:val="uk-UA"/>
        </w:rPr>
        <w:t xml:space="preserve"> </w:t>
      </w:r>
      <w:r w:rsidR="005C75EA" w:rsidRPr="0024327D">
        <w:rPr>
          <w:lang w:val="uk-UA"/>
        </w:rPr>
        <w:t>установи</w:t>
      </w:r>
      <w:r w:rsidR="0078386C" w:rsidRPr="0024327D">
        <w:rPr>
          <w:lang w:val="uk-UA"/>
        </w:rPr>
        <w:t>)</w:t>
      </w:r>
      <w:r w:rsidR="0094787B" w:rsidRPr="0024327D">
        <w:rPr>
          <w:lang w:val="uk-UA"/>
        </w:rPr>
        <w:t>;</w:t>
      </w:r>
      <w:r w:rsidR="00AF130C" w:rsidRPr="0024327D">
        <w:rPr>
          <w:lang w:val="uk-UA"/>
        </w:rPr>
        <w:t xml:space="preserve"> для сек’юритизації не передбачені спеціальні процедури нагляду</w:t>
      </w:r>
      <w:r w:rsidRPr="0024327D">
        <w:rPr>
          <w:lang w:val="uk-UA"/>
        </w:rPr>
        <w:t>.</w:t>
      </w:r>
      <w:r w:rsidR="00034EDA" w:rsidRPr="0024327D">
        <w:rPr>
          <w:lang w:val="uk-UA"/>
        </w:rPr>
        <w:t xml:space="preserve"> Разом з цим певні додаткові особливі правила нагляду можуть застосовуватись, якщо сек’юритизація має статус “простої, прозорої та стандартизованої” сек'юритизації згідно з Регламентом STS.</w:t>
      </w:r>
      <w:r w:rsidRPr="0024327D">
        <w:rPr>
          <w:lang w:val="uk-UA"/>
        </w:rPr>
        <w:t xml:space="preserve"> Крім того, </w:t>
      </w:r>
      <w:r w:rsidR="00ED29B3" w:rsidRPr="0024327D">
        <w:rPr>
          <w:lang w:val="uk-UA"/>
        </w:rPr>
        <w:t xml:space="preserve">у власників облігацій в рамках сек’юритизації </w:t>
      </w:r>
      <w:r w:rsidR="00163871" w:rsidRPr="0024327D">
        <w:rPr>
          <w:lang w:val="uk-UA"/>
        </w:rPr>
        <w:t xml:space="preserve">відсутнє право вимоги до </w:t>
      </w:r>
      <w:r w:rsidR="00805FA6" w:rsidRPr="0024327D">
        <w:rPr>
          <w:lang w:val="uk-UA"/>
        </w:rPr>
        <w:t xml:space="preserve">оригінатора </w:t>
      </w:r>
      <w:r w:rsidR="00163871" w:rsidRPr="0024327D">
        <w:rPr>
          <w:lang w:val="uk-UA"/>
        </w:rPr>
        <w:t xml:space="preserve">у </w:t>
      </w:r>
      <w:r w:rsidR="00EC14AD" w:rsidRPr="0024327D">
        <w:rPr>
          <w:lang w:val="uk-UA"/>
        </w:rPr>
        <w:t>випад</w:t>
      </w:r>
      <w:r w:rsidR="00B16C7C" w:rsidRPr="0024327D">
        <w:rPr>
          <w:lang w:val="uk-UA"/>
        </w:rPr>
        <w:t xml:space="preserve">ку, коли </w:t>
      </w:r>
      <w:r w:rsidR="00330392" w:rsidRPr="0024327D">
        <w:rPr>
          <w:lang w:val="uk-UA"/>
        </w:rPr>
        <w:t xml:space="preserve">активи, включені до </w:t>
      </w:r>
      <w:r w:rsidR="00B16C7C" w:rsidRPr="0024327D">
        <w:rPr>
          <w:lang w:val="uk-UA"/>
        </w:rPr>
        <w:t>пулу сек’юритизації</w:t>
      </w:r>
      <w:r w:rsidR="00330392" w:rsidRPr="0024327D">
        <w:rPr>
          <w:lang w:val="uk-UA"/>
        </w:rPr>
        <w:t>, стають проблемними</w:t>
      </w:r>
      <w:r w:rsidR="00084492" w:rsidRPr="0024327D">
        <w:rPr>
          <w:lang w:val="uk-UA"/>
        </w:rPr>
        <w:t>. З цієї причини</w:t>
      </w:r>
      <w:r w:rsidR="00163871" w:rsidRPr="0024327D">
        <w:rPr>
          <w:lang w:val="uk-UA"/>
        </w:rPr>
        <w:t xml:space="preserve"> </w:t>
      </w:r>
      <w:r w:rsidR="00C578E0" w:rsidRPr="0024327D">
        <w:rPr>
          <w:lang w:val="uk-UA"/>
        </w:rPr>
        <w:t xml:space="preserve">сек'юритизація </w:t>
      </w:r>
      <w:r w:rsidR="00163871" w:rsidRPr="0024327D">
        <w:rPr>
          <w:lang w:val="uk-UA"/>
        </w:rPr>
        <w:t>мож</w:t>
      </w:r>
      <w:r w:rsidR="00C578E0" w:rsidRPr="0024327D">
        <w:rPr>
          <w:lang w:val="uk-UA"/>
        </w:rPr>
        <w:t>е</w:t>
      </w:r>
      <w:r w:rsidR="00163871" w:rsidRPr="0024327D">
        <w:rPr>
          <w:lang w:val="uk-UA"/>
        </w:rPr>
        <w:t xml:space="preserve"> використовуватися для </w:t>
      </w:r>
      <w:r w:rsidRPr="0024327D">
        <w:rPr>
          <w:lang w:val="uk-UA"/>
        </w:rPr>
        <w:t>передачі ризику</w:t>
      </w:r>
      <w:r w:rsidR="00034EDA" w:rsidRPr="0024327D">
        <w:rPr>
          <w:lang w:val="uk-UA"/>
        </w:rPr>
        <w:t xml:space="preserve"> за</w:t>
      </w:r>
      <w:r w:rsidRPr="0024327D">
        <w:rPr>
          <w:lang w:val="uk-UA"/>
        </w:rPr>
        <w:t xml:space="preserve"> </w:t>
      </w:r>
      <w:r w:rsidR="002F18A6" w:rsidRPr="0024327D">
        <w:rPr>
          <w:lang w:val="uk-UA"/>
        </w:rPr>
        <w:t>актив</w:t>
      </w:r>
      <w:r w:rsidR="00034EDA" w:rsidRPr="0024327D">
        <w:rPr>
          <w:lang w:val="uk-UA"/>
        </w:rPr>
        <w:t>ами</w:t>
      </w:r>
      <w:r w:rsidR="002F18A6" w:rsidRPr="0024327D">
        <w:rPr>
          <w:lang w:val="uk-UA"/>
        </w:rPr>
        <w:t xml:space="preserve"> </w:t>
      </w:r>
      <w:r w:rsidRPr="0024327D">
        <w:rPr>
          <w:lang w:val="uk-UA"/>
        </w:rPr>
        <w:t xml:space="preserve">від </w:t>
      </w:r>
      <w:r w:rsidR="001879DE" w:rsidRPr="0024327D">
        <w:rPr>
          <w:lang w:val="uk-UA"/>
        </w:rPr>
        <w:t xml:space="preserve">оригінатора </w:t>
      </w:r>
      <w:r w:rsidR="00BB19D0" w:rsidRPr="0024327D">
        <w:rPr>
          <w:lang w:val="uk-UA"/>
        </w:rPr>
        <w:t>третім особам (власникам облігацій).</w:t>
      </w:r>
      <w:r w:rsidRPr="0024327D">
        <w:rPr>
          <w:lang w:val="uk-UA"/>
        </w:rPr>
        <w:t xml:space="preserve"> </w:t>
      </w:r>
      <w:r w:rsidR="00163871" w:rsidRPr="0024327D">
        <w:rPr>
          <w:lang w:val="uk-UA"/>
        </w:rPr>
        <w:t>Для забезпечення всебічного розуміння питання у документі представлені основ</w:t>
      </w:r>
      <w:r w:rsidR="00954191" w:rsidRPr="0024327D">
        <w:rPr>
          <w:lang w:val="uk-UA"/>
        </w:rPr>
        <w:t>н</w:t>
      </w:r>
      <w:r w:rsidR="00163871" w:rsidRPr="0024327D">
        <w:rPr>
          <w:lang w:val="uk-UA"/>
        </w:rPr>
        <w:t xml:space="preserve">і відмінності між </w:t>
      </w:r>
      <w:r w:rsidRPr="0024327D">
        <w:rPr>
          <w:lang w:val="uk-UA"/>
        </w:rPr>
        <w:t xml:space="preserve">класичною сек'юритизацією та структурами </w:t>
      </w:r>
      <w:r w:rsidR="00163871" w:rsidRPr="0024327D">
        <w:rPr>
          <w:lang w:val="uk-UA"/>
        </w:rPr>
        <w:t xml:space="preserve">з використанням облігацій </w:t>
      </w:r>
      <w:r w:rsidR="00411725" w:rsidRPr="0024327D">
        <w:rPr>
          <w:lang w:val="uk-UA"/>
        </w:rPr>
        <w:t xml:space="preserve">з покриттям </w:t>
      </w:r>
      <w:r w:rsidRPr="0024327D">
        <w:rPr>
          <w:lang w:val="uk-UA"/>
        </w:rPr>
        <w:t xml:space="preserve">з трьох </w:t>
      </w:r>
      <w:r w:rsidR="00163871" w:rsidRPr="0024327D">
        <w:rPr>
          <w:lang w:val="uk-UA"/>
        </w:rPr>
        <w:t xml:space="preserve">різних </w:t>
      </w:r>
      <w:r w:rsidRPr="0024327D">
        <w:rPr>
          <w:lang w:val="uk-UA"/>
        </w:rPr>
        <w:t xml:space="preserve">точок зору </w:t>
      </w:r>
      <w:r w:rsidR="00163871" w:rsidRPr="0024327D">
        <w:rPr>
          <w:lang w:val="uk-UA"/>
        </w:rPr>
        <w:t xml:space="preserve">– </w:t>
      </w:r>
      <w:r w:rsidR="00E16914" w:rsidRPr="0024327D">
        <w:rPr>
          <w:lang w:val="uk-UA"/>
        </w:rPr>
        <w:t>оригінатора</w:t>
      </w:r>
      <w:r w:rsidRPr="0024327D">
        <w:rPr>
          <w:lang w:val="uk-UA"/>
        </w:rPr>
        <w:t xml:space="preserve">, інвестора та </w:t>
      </w:r>
      <w:r w:rsidR="00163871" w:rsidRPr="0024327D">
        <w:rPr>
          <w:lang w:val="uk-UA"/>
        </w:rPr>
        <w:t>клієнта</w:t>
      </w:r>
      <w:r w:rsidR="00BB62B0" w:rsidRPr="0024327D">
        <w:rPr>
          <w:lang w:val="uk-UA"/>
        </w:rPr>
        <w:t xml:space="preserve"> оригінатора (позичальника)</w:t>
      </w:r>
      <w:r w:rsidRPr="0024327D">
        <w:rPr>
          <w:lang w:val="uk-UA"/>
        </w:rPr>
        <w:t>.</w:t>
      </w:r>
    </w:p>
    <w:p w14:paraId="5888AEA3" w14:textId="0CC01BED" w:rsidR="00163871" w:rsidRPr="0024327D" w:rsidRDefault="00163871" w:rsidP="00DB5779">
      <w:pPr>
        <w:rPr>
          <w:lang w:val="uk-UA"/>
        </w:rPr>
      </w:pPr>
      <w:r w:rsidRPr="0024327D">
        <w:rPr>
          <w:lang w:val="uk-UA"/>
        </w:rPr>
        <w:t>У Розділі 3 також опис</w:t>
      </w:r>
      <w:r w:rsidR="00DD1405" w:rsidRPr="0024327D">
        <w:rPr>
          <w:lang w:val="uk-UA"/>
        </w:rPr>
        <w:t>ані</w:t>
      </w:r>
      <w:r w:rsidRPr="0024327D">
        <w:rPr>
          <w:lang w:val="uk-UA"/>
        </w:rPr>
        <w:t xml:space="preserve"> найпоширеніш</w:t>
      </w:r>
      <w:r w:rsidR="00DD1405" w:rsidRPr="0024327D">
        <w:rPr>
          <w:lang w:val="uk-UA"/>
        </w:rPr>
        <w:t>і</w:t>
      </w:r>
      <w:r w:rsidRPr="0024327D">
        <w:rPr>
          <w:lang w:val="uk-UA"/>
        </w:rPr>
        <w:t xml:space="preserve"> альтернативн</w:t>
      </w:r>
      <w:r w:rsidR="00DD1405" w:rsidRPr="0024327D">
        <w:rPr>
          <w:lang w:val="uk-UA"/>
        </w:rPr>
        <w:t>і</w:t>
      </w:r>
      <w:r w:rsidRPr="0024327D">
        <w:rPr>
          <w:lang w:val="uk-UA"/>
        </w:rPr>
        <w:t xml:space="preserve"> форм</w:t>
      </w:r>
      <w:r w:rsidR="00DD1405" w:rsidRPr="0024327D">
        <w:rPr>
          <w:lang w:val="uk-UA"/>
        </w:rPr>
        <w:t>и</w:t>
      </w:r>
      <w:r w:rsidRPr="0024327D">
        <w:rPr>
          <w:lang w:val="uk-UA"/>
        </w:rPr>
        <w:t xml:space="preserve"> сек'юритизації та облігацій</w:t>
      </w:r>
      <w:r w:rsidR="00C47954" w:rsidRPr="0024327D">
        <w:rPr>
          <w:lang w:val="uk-UA"/>
        </w:rPr>
        <w:t xml:space="preserve"> з покриттям</w:t>
      </w:r>
      <w:r w:rsidRPr="0024327D">
        <w:rPr>
          <w:lang w:val="uk-UA"/>
        </w:rPr>
        <w:t>, а саме:</w:t>
      </w:r>
      <w:r w:rsidR="00034EDA" w:rsidRPr="0024327D">
        <w:rPr>
          <w:lang w:val="uk-UA"/>
        </w:rPr>
        <w:t xml:space="preserve"> синтетична сек'юритизація</w:t>
      </w:r>
      <w:r w:rsidRPr="0024327D">
        <w:rPr>
          <w:lang w:val="uk-UA"/>
        </w:rPr>
        <w:t xml:space="preserve"> </w:t>
      </w:r>
      <w:r w:rsidR="00034EDA" w:rsidRPr="0024327D">
        <w:rPr>
          <w:lang w:val="uk-UA"/>
        </w:rPr>
        <w:t>(</w:t>
      </w:r>
      <w:r w:rsidRPr="0024327D">
        <w:rPr>
          <w:lang w:val="uk-UA"/>
        </w:rPr>
        <w:t xml:space="preserve">передача ризику </w:t>
      </w:r>
      <w:r w:rsidR="00A470DB" w:rsidRPr="0024327D">
        <w:rPr>
          <w:lang w:val="uk-UA"/>
        </w:rPr>
        <w:t xml:space="preserve">за активами </w:t>
      </w:r>
      <w:r w:rsidRPr="0024327D">
        <w:rPr>
          <w:lang w:val="uk-UA"/>
        </w:rPr>
        <w:t xml:space="preserve">без залучення </w:t>
      </w:r>
      <w:r w:rsidR="00A470DB" w:rsidRPr="0024327D">
        <w:rPr>
          <w:lang w:val="uk-UA"/>
        </w:rPr>
        <w:t>фінансування</w:t>
      </w:r>
      <w:r w:rsidR="00034EDA" w:rsidRPr="0024327D">
        <w:rPr>
          <w:lang w:val="uk-UA"/>
        </w:rPr>
        <w:t>)</w:t>
      </w:r>
      <w:r w:rsidR="00A470DB" w:rsidRPr="0024327D">
        <w:rPr>
          <w:lang w:val="uk-UA"/>
        </w:rPr>
        <w:t xml:space="preserve"> </w:t>
      </w:r>
      <w:r w:rsidRPr="0024327D">
        <w:rPr>
          <w:lang w:val="uk-UA"/>
        </w:rPr>
        <w:t xml:space="preserve"> та</w:t>
      </w:r>
      <w:r w:rsidR="00034EDA" w:rsidRPr="0024327D">
        <w:rPr>
          <w:lang w:val="uk-UA"/>
        </w:rPr>
        <w:t xml:space="preserve"> сек'юритизація майбутніх надходжень</w:t>
      </w:r>
      <w:r w:rsidRPr="0024327D">
        <w:rPr>
          <w:lang w:val="uk-UA"/>
        </w:rPr>
        <w:t xml:space="preserve"> </w:t>
      </w:r>
      <w:r w:rsidR="00034EDA" w:rsidRPr="0024327D">
        <w:rPr>
          <w:lang w:val="uk-UA"/>
        </w:rPr>
        <w:t>(</w:t>
      </w:r>
      <w:r w:rsidRPr="0024327D">
        <w:rPr>
          <w:lang w:val="uk-UA"/>
        </w:rPr>
        <w:t xml:space="preserve">використання активів, </w:t>
      </w:r>
      <w:r w:rsidR="00B714FF" w:rsidRPr="0024327D">
        <w:rPr>
          <w:lang w:val="uk-UA"/>
        </w:rPr>
        <w:t>права за якими ще не виникли</w:t>
      </w:r>
      <w:r w:rsidR="00034EDA" w:rsidRPr="0024327D">
        <w:rPr>
          <w:lang w:val="uk-UA"/>
        </w:rPr>
        <w:t>)</w:t>
      </w:r>
      <w:r w:rsidR="00C578E0" w:rsidRPr="0024327D">
        <w:rPr>
          <w:lang w:val="uk-UA"/>
        </w:rPr>
        <w:t>.</w:t>
      </w:r>
      <w:r w:rsidRPr="0024327D">
        <w:rPr>
          <w:lang w:val="uk-UA"/>
        </w:rPr>
        <w:t xml:space="preserve"> Для повноти </w:t>
      </w:r>
      <w:r w:rsidR="00F20BE7" w:rsidRPr="0024327D">
        <w:rPr>
          <w:lang w:val="uk-UA"/>
        </w:rPr>
        <w:t>розуміння Р</w:t>
      </w:r>
      <w:r w:rsidRPr="0024327D">
        <w:rPr>
          <w:lang w:val="uk-UA"/>
        </w:rPr>
        <w:t xml:space="preserve">озділ 3 </w:t>
      </w:r>
      <w:r w:rsidR="00DD1405" w:rsidRPr="0024327D">
        <w:rPr>
          <w:lang w:val="uk-UA"/>
        </w:rPr>
        <w:t xml:space="preserve">описує </w:t>
      </w:r>
      <w:r w:rsidRPr="0024327D">
        <w:rPr>
          <w:lang w:val="uk-UA"/>
        </w:rPr>
        <w:t>показник</w:t>
      </w:r>
      <w:r w:rsidR="00DD1405" w:rsidRPr="0024327D">
        <w:rPr>
          <w:lang w:val="uk-UA"/>
        </w:rPr>
        <w:t>и</w:t>
      </w:r>
      <w:r w:rsidRPr="0024327D">
        <w:rPr>
          <w:lang w:val="uk-UA"/>
        </w:rPr>
        <w:t xml:space="preserve"> </w:t>
      </w:r>
      <w:r w:rsidR="003D49B8" w:rsidRPr="0024327D">
        <w:rPr>
          <w:lang w:val="uk-UA"/>
        </w:rPr>
        <w:t xml:space="preserve">облігацій </w:t>
      </w:r>
      <w:r w:rsidR="00273329" w:rsidRPr="0024327D">
        <w:rPr>
          <w:lang w:val="uk-UA"/>
        </w:rPr>
        <w:t xml:space="preserve">з покриттям </w:t>
      </w:r>
      <w:r w:rsidR="003D49B8" w:rsidRPr="0024327D">
        <w:rPr>
          <w:lang w:val="uk-UA"/>
        </w:rPr>
        <w:t>та сек’юритизації</w:t>
      </w:r>
      <w:r w:rsidR="00D30A24" w:rsidRPr="0024327D">
        <w:rPr>
          <w:lang w:val="uk-UA"/>
        </w:rPr>
        <w:t xml:space="preserve"> у минулому</w:t>
      </w:r>
      <w:r w:rsidR="003D49B8" w:rsidRPr="0024327D">
        <w:rPr>
          <w:lang w:val="uk-UA"/>
        </w:rPr>
        <w:t xml:space="preserve"> </w:t>
      </w:r>
      <w:r w:rsidRPr="0024327D">
        <w:rPr>
          <w:lang w:val="uk-UA"/>
        </w:rPr>
        <w:t>та ви</w:t>
      </w:r>
      <w:r w:rsidR="00F20BE7" w:rsidRPr="0024327D">
        <w:rPr>
          <w:lang w:val="uk-UA"/>
        </w:rPr>
        <w:t xml:space="preserve">значає </w:t>
      </w:r>
      <w:r w:rsidRPr="0024327D">
        <w:rPr>
          <w:lang w:val="uk-UA"/>
        </w:rPr>
        <w:t xml:space="preserve">потенційні вигоди </w:t>
      </w:r>
      <w:r w:rsidR="00034EDA" w:rsidRPr="0024327D">
        <w:rPr>
          <w:lang w:val="uk-UA"/>
        </w:rPr>
        <w:t xml:space="preserve">від </w:t>
      </w:r>
      <w:r w:rsidRPr="0024327D">
        <w:rPr>
          <w:lang w:val="uk-UA"/>
        </w:rPr>
        <w:t xml:space="preserve">використання цих </w:t>
      </w:r>
      <w:r w:rsidR="00A15407" w:rsidRPr="0024327D">
        <w:rPr>
          <w:lang w:val="uk-UA"/>
        </w:rPr>
        <w:t xml:space="preserve">комплексних </w:t>
      </w:r>
      <w:r w:rsidRPr="0024327D">
        <w:rPr>
          <w:lang w:val="uk-UA"/>
        </w:rPr>
        <w:t xml:space="preserve">структур, </w:t>
      </w:r>
      <w:r w:rsidR="00F20BE7" w:rsidRPr="0024327D">
        <w:rPr>
          <w:lang w:val="uk-UA"/>
        </w:rPr>
        <w:t xml:space="preserve">наприклад: </w:t>
      </w:r>
      <w:r w:rsidRPr="0024327D">
        <w:rPr>
          <w:lang w:val="uk-UA"/>
        </w:rPr>
        <w:t xml:space="preserve">зменшення </w:t>
      </w:r>
      <w:r w:rsidR="00510E81" w:rsidRPr="0024327D">
        <w:rPr>
          <w:lang w:val="uk-UA"/>
        </w:rPr>
        <w:t>вартості</w:t>
      </w:r>
      <w:r w:rsidRPr="0024327D">
        <w:rPr>
          <w:lang w:val="uk-UA"/>
        </w:rPr>
        <w:t xml:space="preserve">, збільшення надійності та </w:t>
      </w:r>
      <w:r w:rsidR="00F20BE7" w:rsidRPr="0024327D">
        <w:rPr>
          <w:lang w:val="uk-UA"/>
        </w:rPr>
        <w:t>строк</w:t>
      </w:r>
      <w:r w:rsidR="00A70CF6" w:rsidRPr="0024327D">
        <w:rPr>
          <w:lang w:val="uk-UA"/>
        </w:rPr>
        <w:t>ів</w:t>
      </w:r>
      <w:r w:rsidR="00F20BE7" w:rsidRPr="0024327D">
        <w:rPr>
          <w:lang w:val="uk-UA"/>
        </w:rPr>
        <w:t xml:space="preserve"> </w:t>
      </w:r>
      <w:r w:rsidRPr="0024327D">
        <w:rPr>
          <w:lang w:val="uk-UA"/>
        </w:rPr>
        <w:t xml:space="preserve">фінансування для українських </w:t>
      </w:r>
      <w:r w:rsidR="00DA7B05" w:rsidRPr="0024327D">
        <w:rPr>
          <w:lang w:val="uk-UA"/>
        </w:rPr>
        <w:t>оригінаторів</w:t>
      </w:r>
      <w:r w:rsidRPr="0024327D">
        <w:rPr>
          <w:lang w:val="uk-UA"/>
        </w:rPr>
        <w:t>, п</w:t>
      </w:r>
      <w:r w:rsidR="00F20BE7" w:rsidRPr="0024327D">
        <w:rPr>
          <w:lang w:val="uk-UA"/>
        </w:rPr>
        <w:t xml:space="preserve">ідвищення фінансової стабільності </w:t>
      </w:r>
      <w:r w:rsidRPr="0024327D">
        <w:rPr>
          <w:lang w:val="uk-UA"/>
        </w:rPr>
        <w:t xml:space="preserve">та прозорості у фінансовому секторі. </w:t>
      </w:r>
      <w:r w:rsidR="00F20BE7" w:rsidRPr="0024327D">
        <w:rPr>
          <w:lang w:val="uk-UA"/>
        </w:rPr>
        <w:t>Також представлено а</w:t>
      </w:r>
      <w:r w:rsidRPr="0024327D">
        <w:rPr>
          <w:lang w:val="uk-UA"/>
        </w:rPr>
        <w:t>наліз потенційних вигод та ризиків, притаманних як сек'юритизації, так і облігаціям</w:t>
      </w:r>
      <w:r w:rsidR="00957543" w:rsidRPr="0024327D">
        <w:rPr>
          <w:lang w:val="uk-UA"/>
        </w:rPr>
        <w:t xml:space="preserve"> з покриттям</w:t>
      </w:r>
      <w:r w:rsidRPr="0024327D">
        <w:rPr>
          <w:lang w:val="uk-UA"/>
        </w:rPr>
        <w:t xml:space="preserve">, </w:t>
      </w:r>
      <w:r w:rsidR="00C578E0" w:rsidRPr="0024327D">
        <w:rPr>
          <w:lang w:val="uk-UA"/>
        </w:rPr>
        <w:t>і</w:t>
      </w:r>
      <w:r w:rsidRPr="0024327D">
        <w:rPr>
          <w:lang w:val="uk-UA"/>
        </w:rPr>
        <w:t xml:space="preserve"> </w:t>
      </w:r>
      <w:r w:rsidR="007F69E1" w:rsidRPr="0024327D">
        <w:rPr>
          <w:lang w:val="uk-UA"/>
        </w:rPr>
        <w:t>механізмів</w:t>
      </w:r>
      <w:r w:rsidR="00F20BE7" w:rsidRPr="0024327D">
        <w:rPr>
          <w:lang w:val="uk-UA"/>
        </w:rPr>
        <w:t xml:space="preserve"> захисту, необхідних для </w:t>
      </w:r>
      <w:r w:rsidR="00D159C7" w:rsidRPr="0024327D">
        <w:rPr>
          <w:lang w:val="uk-UA"/>
        </w:rPr>
        <w:t xml:space="preserve">недопущення </w:t>
      </w:r>
      <w:r w:rsidR="00F20BE7" w:rsidRPr="0024327D">
        <w:rPr>
          <w:lang w:val="uk-UA"/>
        </w:rPr>
        <w:t xml:space="preserve">надмірної </w:t>
      </w:r>
      <w:r w:rsidR="00D159C7" w:rsidRPr="0024327D">
        <w:rPr>
          <w:lang w:val="uk-UA"/>
        </w:rPr>
        <w:t xml:space="preserve">субординації вимог </w:t>
      </w:r>
      <w:r w:rsidR="00F20BE7" w:rsidRPr="0024327D">
        <w:rPr>
          <w:lang w:val="uk-UA"/>
        </w:rPr>
        <w:t xml:space="preserve">інших кредиторів </w:t>
      </w:r>
      <w:r w:rsidR="0071744C" w:rsidRPr="0024327D">
        <w:rPr>
          <w:lang w:val="uk-UA"/>
        </w:rPr>
        <w:t xml:space="preserve">оригінаторів </w:t>
      </w:r>
      <w:r w:rsidR="00D159C7" w:rsidRPr="0024327D">
        <w:rPr>
          <w:lang w:val="uk-UA"/>
        </w:rPr>
        <w:t>перед вимогами</w:t>
      </w:r>
      <w:r w:rsidR="00F20BE7" w:rsidRPr="0024327D">
        <w:rPr>
          <w:lang w:val="uk-UA"/>
        </w:rPr>
        <w:t xml:space="preserve"> </w:t>
      </w:r>
      <w:r w:rsidRPr="0024327D">
        <w:rPr>
          <w:lang w:val="uk-UA"/>
        </w:rPr>
        <w:t>власник</w:t>
      </w:r>
      <w:r w:rsidR="00D159C7" w:rsidRPr="0024327D">
        <w:rPr>
          <w:lang w:val="uk-UA"/>
        </w:rPr>
        <w:t>ів</w:t>
      </w:r>
      <w:r w:rsidRPr="0024327D">
        <w:rPr>
          <w:lang w:val="uk-UA"/>
        </w:rPr>
        <w:t xml:space="preserve"> облігацій</w:t>
      </w:r>
      <w:r w:rsidR="00E90B21" w:rsidRPr="0024327D">
        <w:rPr>
          <w:lang w:val="uk-UA"/>
        </w:rPr>
        <w:t xml:space="preserve"> </w:t>
      </w:r>
      <w:r w:rsidR="00A25523" w:rsidRPr="0024327D">
        <w:rPr>
          <w:lang w:val="uk-UA"/>
        </w:rPr>
        <w:t xml:space="preserve">з покриттям </w:t>
      </w:r>
      <w:r w:rsidR="00E90B21" w:rsidRPr="0024327D">
        <w:rPr>
          <w:lang w:val="uk-UA"/>
        </w:rPr>
        <w:t>або облігацій випущених в ході сек’юритизації, а також</w:t>
      </w:r>
      <w:r w:rsidRPr="0024327D">
        <w:rPr>
          <w:lang w:val="uk-UA"/>
        </w:rPr>
        <w:t xml:space="preserve"> </w:t>
      </w:r>
      <w:r w:rsidR="00DD1405" w:rsidRPr="0024327D">
        <w:rPr>
          <w:lang w:val="uk-UA"/>
        </w:rPr>
        <w:t xml:space="preserve">для унеможливлення </w:t>
      </w:r>
      <w:r w:rsidRPr="0024327D">
        <w:rPr>
          <w:lang w:val="uk-UA"/>
        </w:rPr>
        <w:t>негативних наслідків тран</w:t>
      </w:r>
      <w:r w:rsidR="00FD0F67" w:rsidRPr="0024327D">
        <w:rPr>
          <w:lang w:val="uk-UA"/>
        </w:rPr>
        <w:t>с</w:t>
      </w:r>
      <w:r w:rsidRPr="0024327D">
        <w:rPr>
          <w:lang w:val="uk-UA"/>
        </w:rPr>
        <w:t xml:space="preserve">акцій для </w:t>
      </w:r>
      <w:r w:rsidR="00DD1405" w:rsidRPr="0024327D">
        <w:rPr>
          <w:lang w:val="uk-UA"/>
        </w:rPr>
        <w:t>клієнтів</w:t>
      </w:r>
      <w:r w:rsidRPr="0024327D">
        <w:rPr>
          <w:lang w:val="uk-UA"/>
        </w:rPr>
        <w:t>.</w:t>
      </w:r>
    </w:p>
    <w:p w14:paraId="42034195" w14:textId="4F653478" w:rsidR="00DD1405" w:rsidRPr="0024327D" w:rsidRDefault="00DD1405" w:rsidP="00CB322B">
      <w:pPr>
        <w:tabs>
          <w:tab w:val="left" w:pos="4050"/>
        </w:tabs>
        <w:rPr>
          <w:lang w:val="uk-UA"/>
        </w:rPr>
      </w:pPr>
      <w:r w:rsidRPr="0024327D">
        <w:rPr>
          <w:lang w:val="uk-UA"/>
        </w:rPr>
        <w:t xml:space="preserve">Детальна інформація про те, як слід структурувати облігації </w:t>
      </w:r>
      <w:r w:rsidR="00334350" w:rsidRPr="0024327D">
        <w:rPr>
          <w:lang w:val="uk-UA"/>
        </w:rPr>
        <w:t xml:space="preserve">з покриттям </w:t>
      </w:r>
      <w:r w:rsidRPr="0024327D">
        <w:rPr>
          <w:lang w:val="uk-UA"/>
        </w:rPr>
        <w:t xml:space="preserve">та сек'юритизацію, викладена </w:t>
      </w:r>
      <w:r w:rsidR="007F69E1" w:rsidRPr="0024327D">
        <w:rPr>
          <w:lang w:val="uk-UA"/>
        </w:rPr>
        <w:t>у</w:t>
      </w:r>
      <w:r w:rsidRPr="0024327D">
        <w:rPr>
          <w:lang w:val="uk-UA"/>
        </w:rPr>
        <w:t xml:space="preserve"> Розділі 4 </w:t>
      </w:r>
      <w:r w:rsidR="00A16F44" w:rsidRPr="0024327D">
        <w:rPr>
          <w:lang w:val="uk-UA"/>
        </w:rPr>
        <w:t>“</w:t>
      </w:r>
      <w:r w:rsidRPr="0024327D">
        <w:rPr>
          <w:lang w:val="uk-UA"/>
        </w:rPr>
        <w:t xml:space="preserve">Структурні </w:t>
      </w:r>
      <w:r w:rsidR="00B829E1" w:rsidRPr="0024327D">
        <w:rPr>
          <w:lang w:val="uk-UA"/>
        </w:rPr>
        <w:t>складові</w:t>
      </w:r>
      <w:r w:rsidR="00A16F44" w:rsidRPr="0024327D">
        <w:rPr>
          <w:lang w:val="uk-UA"/>
        </w:rPr>
        <w:t>”</w:t>
      </w:r>
      <w:r w:rsidRPr="0024327D">
        <w:rPr>
          <w:lang w:val="uk-UA"/>
        </w:rPr>
        <w:t xml:space="preserve">. </w:t>
      </w:r>
      <w:r w:rsidR="00B829E1" w:rsidRPr="0024327D">
        <w:rPr>
          <w:lang w:val="uk-UA"/>
        </w:rPr>
        <w:t xml:space="preserve">У </w:t>
      </w:r>
      <w:r w:rsidRPr="0024327D">
        <w:rPr>
          <w:lang w:val="uk-UA"/>
        </w:rPr>
        <w:t>Розділ</w:t>
      </w:r>
      <w:r w:rsidR="00B829E1" w:rsidRPr="0024327D">
        <w:rPr>
          <w:lang w:val="uk-UA"/>
        </w:rPr>
        <w:t>і</w:t>
      </w:r>
      <w:r w:rsidRPr="0024327D">
        <w:rPr>
          <w:lang w:val="uk-UA"/>
        </w:rPr>
        <w:t xml:space="preserve"> 4.1 </w:t>
      </w:r>
      <w:r w:rsidR="00B829E1" w:rsidRPr="0024327D">
        <w:rPr>
          <w:lang w:val="uk-UA"/>
        </w:rPr>
        <w:t xml:space="preserve">роз’яснюються </w:t>
      </w:r>
      <w:r w:rsidRPr="0024327D">
        <w:rPr>
          <w:lang w:val="uk-UA"/>
        </w:rPr>
        <w:t xml:space="preserve">основні структурні елементи, </w:t>
      </w:r>
      <w:r w:rsidR="00B829E1" w:rsidRPr="0024327D">
        <w:rPr>
          <w:lang w:val="uk-UA"/>
        </w:rPr>
        <w:t xml:space="preserve">задіяні </w:t>
      </w:r>
      <w:r w:rsidRPr="0024327D">
        <w:rPr>
          <w:lang w:val="uk-UA"/>
        </w:rPr>
        <w:t>у сек'юритизації активів, а саме</w:t>
      </w:r>
      <w:r w:rsidR="007F69E1" w:rsidRPr="0024327D">
        <w:rPr>
          <w:lang w:val="uk-UA"/>
        </w:rPr>
        <w:t>:</w:t>
      </w:r>
      <w:r w:rsidRPr="0024327D">
        <w:rPr>
          <w:lang w:val="uk-UA"/>
        </w:rPr>
        <w:t xml:space="preserve"> створення нової компанії </w:t>
      </w:r>
      <w:r w:rsidR="00B829E1" w:rsidRPr="0024327D">
        <w:rPr>
          <w:lang w:val="uk-UA"/>
        </w:rPr>
        <w:t>під конкретну тран</w:t>
      </w:r>
      <w:r w:rsidR="00FD0F67" w:rsidRPr="0024327D">
        <w:rPr>
          <w:lang w:val="uk-UA"/>
        </w:rPr>
        <w:t>с</w:t>
      </w:r>
      <w:r w:rsidR="00B829E1" w:rsidRPr="0024327D">
        <w:rPr>
          <w:lang w:val="uk-UA"/>
        </w:rPr>
        <w:t xml:space="preserve">акцію </w:t>
      </w:r>
      <w:r w:rsidRPr="0024327D">
        <w:rPr>
          <w:lang w:val="uk-UA"/>
        </w:rPr>
        <w:t>(</w:t>
      </w:r>
      <w:r w:rsidR="00B829E1" w:rsidRPr="0024327D">
        <w:rPr>
          <w:lang w:val="uk-UA"/>
        </w:rPr>
        <w:t>компанії спеціального призначення</w:t>
      </w:r>
      <w:r w:rsidR="005A3F26" w:rsidRPr="0024327D">
        <w:rPr>
          <w:lang w:val="uk-UA"/>
        </w:rPr>
        <w:t>, SPV</w:t>
      </w:r>
      <w:r w:rsidRPr="0024327D">
        <w:rPr>
          <w:lang w:val="uk-UA"/>
        </w:rPr>
        <w:t>), передач</w:t>
      </w:r>
      <w:r w:rsidR="00B829E1" w:rsidRPr="0024327D">
        <w:rPr>
          <w:lang w:val="uk-UA"/>
        </w:rPr>
        <w:t>а</w:t>
      </w:r>
      <w:r w:rsidRPr="0024327D">
        <w:rPr>
          <w:lang w:val="uk-UA"/>
        </w:rPr>
        <w:t xml:space="preserve"> пулу активів цій компанії та фінансування </w:t>
      </w:r>
      <w:r w:rsidR="00B829E1" w:rsidRPr="0024327D">
        <w:rPr>
          <w:lang w:val="uk-UA"/>
        </w:rPr>
        <w:t>придбання</w:t>
      </w:r>
      <w:r w:rsidR="000834B1" w:rsidRPr="0024327D">
        <w:rPr>
          <w:lang w:val="uk-UA"/>
        </w:rPr>
        <w:t xml:space="preserve"> активів</w:t>
      </w:r>
      <w:r w:rsidR="00B829E1" w:rsidRPr="0024327D">
        <w:rPr>
          <w:lang w:val="uk-UA"/>
        </w:rPr>
        <w:t xml:space="preserve"> за рахунок </w:t>
      </w:r>
      <w:r w:rsidRPr="0024327D">
        <w:rPr>
          <w:lang w:val="uk-UA"/>
        </w:rPr>
        <w:t>випуску облігацій.</w:t>
      </w:r>
      <w:r w:rsidR="00B829E1" w:rsidRPr="0024327D">
        <w:rPr>
          <w:lang w:val="uk-UA"/>
        </w:rPr>
        <w:t xml:space="preserve"> </w:t>
      </w:r>
      <w:r w:rsidR="0010630B" w:rsidRPr="0024327D">
        <w:rPr>
          <w:lang w:val="uk-UA"/>
        </w:rPr>
        <w:t>У</w:t>
      </w:r>
      <w:r w:rsidR="007E1721" w:rsidRPr="0024327D">
        <w:rPr>
          <w:lang w:val="uk-UA"/>
        </w:rPr>
        <w:t xml:space="preserve"> Розділі </w:t>
      </w:r>
      <w:r w:rsidR="00B829E1" w:rsidRPr="0024327D">
        <w:rPr>
          <w:lang w:val="uk-UA"/>
        </w:rPr>
        <w:t>4.2 пояснюється, як</w:t>
      </w:r>
      <w:r w:rsidR="007E1721" w:rsidRPr="0024327D">
        <w:rPr>
          <w:lang w:val="uk-UA"/>
        </w:rPr>
        <w:t xml:space="preserve">і зміни </w:t>
      </w:r>
      <w:r w:rsidR="007E1721" w:rsidRPr="0024327D">
        <w:rPr>
          <w:lang w:val="uk-UA"/>
        </w:rPr>
        <w:lastRenderedPageBreak/>
        <w:t xml:space="preserve">слід внести в </w:t>
      </w:r>
      <w:r w:rsidR="00B829E1" w:rsidRPr="0024327D">
        <w:rPr>
          <w:lang w:val="uk-UA"/>
        </w:rPr>
        <w:t>українськ</w:t>
      </w:r>
      <w:r w:rsidR="007E1721" w:rsidRPr="0024327D">
        <w:rPr>
          <w:lang w:val="uk-UA"/>
        </w:rPr>
        <w:t>е</w:t>
      </w:r>
      <w:r w:rsidR="00B829E1" w:rsidRPr="0024327D">
        <w:rPr>
          <w:lang w:val="uk-UA"/>
        </w:rPr>
        <w:t xml:space="preserve"> законодавств</w:t>
      </w:r>
      <w:r w:rsidR="007E1721" w:rsidRPr="0024327D">
        <w:rPr>
          <w:lang w:val="uk-UA"/>
        </w:rPr>
        <w:t>о</w:t>
      </w:r>
      <w:r w:rsidR="00AA06C7" w:rsidRPr="0024327D">
        <w:rPr>
          <w:lang w:val="uk-UA"/>
        </w:rPr>
        <w:t xml:space="preserve"> для </w:t>
      </w:r>
      <w:r w:rsidR="00090A8A" w:rsidRPr="0024327D">
        <w:rPr>
          <w:lang w:val="uk-UA"/>
        </w:rPr>
        <w:t xml:space="preserve">впровадження </w:t>
      </w:r>
      <w:r w:rsidR="00B829E1" w:rsidRPr="0024327D">
        <w:rPr>
          <w:lang w:val="uk-UA"/>
        </w:rPr>
        <w:t>основн</w:t>
      </w:r>
      <w:r w:rsidR="00090A8A" w:rsidRPr="0024327D">
        <w:rPr>
          <w:lang w:val="uk-UA"/>
        </w:rPr>
        <w:t>их</w:t>
      </w:r>
      <w:r w:rsidR="00B829E1" w:rsidRPr="0024327D">
        <w:rPr>
          <w:lang w:val="uk-UA"/>
        </w:rPr>
        <w:t xml:space="preserve"> </w:t>
      </w:r>
      <w:r w:rsidR="009765AD" w:rsidRPr="0024327D">
        <w:rPr>
          <w:lang w:val="uk-UA"/>
        </w:rPr>
        <w:t>елементів</w:t>
      </w:r>
      <w:r w:rsidR="007E1721" w:rsidRPr="0024327D">
        <w:rPr>
          <w:lang w:val="uk-UA"/>
        </w:rPr>
        <w:t xml:space="preserve"> </w:t>
      </w:r>
      <w:r w:rsidR="00B829E1" w:rsidRPr="0024327D">
        <w:rPr>
          <w:lang w:val="uk-UA"/>
        </w:rPr>
        <w:t>сек'юритизації. Зокрема, зазначається, що в Україні н</w:t>
      </w:r>
      <w:r w:rsidR="007E1721" w:rsidRPr="0024327D">
        <w:rPr>
          <w:lang w:val="uk-UA"/>
        </w:rPr>
        <w:t>аразі н</w:t>
      </w:r>
      <w:r w:rsidR="00B829E1" w:rsidRPr="0024327D">
        <w:rPr>
          <w:lang w:val="uk-UA"/>
        </w:rPr>
        <w:t xml:space="preserve">е існує </w:t>
      </w:r>
      <w:r w:rsidR="007E1721" w:rsidRPr="0024327D">
        <w:rPr>
          <w:lang w:val="uk-UA"/>
        </w:rPr>
        <w:t>організаційно-правової</w:t>
      </w:r>
      <w:r w:rsidR="009A4C71" w:rsidRPr="0024327D">
        <w:rPr>
          <w:lang w:val="uk-UA"/>
        </w:rPr>
        <w:t xml:space="preserve"> форми </w:t>
      </w:r>
      <w:r w:rsidR="00592A67" w:rsidRPr="0024327D">
        <w:rPr>
          <w:lang w:val="uk-UA"/>
        </w:rPr>
        <w:t xml:space="preserve">та режиму діяльності </w:t>
      </w:r>
      <w:r w:rsidR="009A4C71" w:rsidRPr="0024327D">
        <w:rPr>
          <w:lang w:val="uk-UA"/>
        </w:rPr>
        <w:t>юридичної особи</w:t>
      </w:r>
      <w:r w:rsidR="008C5173" w:rsidRPr="0024327D">
        <w:rPr>
          <w:lang w:val="uk-UA"/>
        </w:rPr>
        <w:t>, яка б повною мірою відповідала функціоналу</w:t>
      </w:r>
      <w:r w:rsidR="009A25A4" w:rsidRPr="0024327D">
        <w:rPr>
          <w:lang w:val="uk-UA"/>
        </w:rPr>
        <w:t xml:space="preserve"> </w:t>
      </w:r>
      <w:r w:rsidR="007E1721" w:rsidRPr="0024327D">
        <w:rPr>
          <w:lang w:val="uk-UA"/>
        </w:rPr>
        <w:t>компанії спеціального призначення</w:t>
      </w:r>
      <w:r w:rsidR="00B829E1" w:rsidRPr="0024327D">
        <w:rPr>
          <w:lang w:val="uk-UA"/>
        </w:rPr>
        <w:t>. У зв’язку з цим</w:t>
      </w:r>
      <w:r w:rsidR="007E1721" w:rsidRPr="0024327D">
        <w:rPr>
          <w:lang w:val="uk-UA"/>
        </w:rPr>
        <w:t xml:space="preserve"> </w:t>
      </w:r>
      <w:r w:rsidR="00080C34" w:rsidRPr="0024327D">
        <w:rPr>
          <w:lang w:val="uk-UA"/>
        </w:rPr>
        <w:t>було</w:t>
      </w:r>
      <w:r w:rsidR="00B829E1" w:rsidRPr="0024327D">
        <w:rPr>
          <w:lang w:val="uk-UA"/>
        </w:rPr>
        <w:t xml:space="preserve"> розгляну</w:t>
      </w:r>
      <w:r w:rsidR="00A94CAF" w:rsidRPr="0024327D">
        <w:rPr>
          <w:lang w:val="uk-UA"/>
        </w:rPr>
        <w:t>то</w:t>
      </w:r>
      <w:r w:rsidR="00B829E1" w:rsidRPr="0024327D">
        <w:rPr>
          <w:lang w:val="uk-UA"/>
        </w:rPr>
        <w:t xml:space="preserve">, серед іншого, такі </w:t>
      </w:r>
      <w:r w:rsidR="007E1721" w:rsidRPr="0024327D">
        <w:rPr>
          <w:lang w:val="uk-UA"/>
        </w:rPr>
        <w:t xml:space="preserve">організаційно-правові </w:t>
      </w:r>
      <w:r w:rsidR="00B829E1" w:rsidRPr="0024327D">
        <w:rPr>
          <w:lang w:val="uk-UA"/>
        </w:rPr>
        <w:t>форми</w:t>
      </w:r>
      <w:r w:rsidR="007E1721" w:rsidRPr="0024327D">
        <w:rPr>
          <w:lang w:val="uk-UA"/>
        </w:rPr>
        <w:t xml:space="preserve">, </w:t>
      </w:r>
      <w:r w:rsidR="00A47E4C" w:rsidRPr="0024327D">
        <w:rPr>
          <w:lang w:val="uk-UA"/>
        </w:rPr>
        <w:t xml:space="preserve">у яких може бути створена </w:t>
      </w:r>
      <w:r w:rsidR="007E1721" w:rsidRPr="0024327D">
        <w:rPr>
          <w:lang w:val="uk-UA"/>
        </w:rPr>
        <w:t>компані</w:t>
      </w:r>
      <w:r w:rsidR="00A47E4C" w:rsidRPr="0024327D">
        <w:rPr>
          <w:lang w:val="uk-UA"/>
        </w:rPr>
        <w:t>я</w:t>
      </w:r>
      <w:r w:rsidR="007E1721" w:rsidRPr="0024327D">
        <w:rPr>
          <w:lang w:val="uk-UA"/>
        </w:rPr>
        <w:t xml:space="preserve"> спеціального призначення</w:t>
      </w:r>
      <w:r w:rsidR="00B829E1" w:rsidRPr="0024327D">
        <w:rPr>
          <w:lang w:val="uk-UA"/>
        </w:rPr>
        <w:t xml:space="preserve">: інвестиційний фонд, установа та непідприємницьке товариство. </w:t>
      </w:r>
      <w:r w:rsidR="00D01AC7" w:rsidRPr="0024327D">
        <w:rPr>
          <w:lang w:val="uk-UA"/>
        </w:rPr>
        <w:t xml:space="preserve">З </w:t>
      </w:r>
      <w:r w:rsidR="0060302C" w:rsidRPr="0024327D">
        <w:rPr>
          <w:lang w:val="uk-UA"/>
        </w:rPr>
        <w:t xml:space="preserve">проведеного аналізу видається, що найбільш оптимальним варіантом було б створення компанії спеціального призначення </w:t>
      </w:r>
      <w:r w:rsidR="001377AC" w:rsidRPr="0024327D">
        <w:rPr>
          <w:lang w:val="uk-UA"/>
        </w:rPr>
        <w:t>як о</w:t>
      </w:r>
      <w:r w:rsidR="00206097" w:rsidRPr="0024327D">
        <w:rPr>
          <w:lang w:val="uk-UA"/>
        </w:rPr>
        <w:t>собливого</w:t>
      </w:r>
      <w:r w:rsidR="001377AC" w:rsidRPr="0024327D">
        <w:rPr>
          <w:lang w:val="uk-UA"/>
        </w:rPr>
        <w:t xml:space="preserve"> виду непідприємницького товариства. </w:t>
      </w:r>
      <w:r w:rsidR="00B829E1" w:rsidRPr="0024327D">
        <w:rPr>
          <w:lang w:val="uk-UA"/>
        </w:rPr>
        <w:t xml:space="preserve">Крім того, передача пулу активів </w:t>
      </w:r>
      <w:r w:rsidR="004F7E2E" w:rsidRPr="0024327D">
        <w:rPr>
          <w:lang w:val="uk-UA"/>
        </w:rPr>
        <w:t>повинна бути</w:t>
      </w:r>
      <w:r w:rsidR="00A9491D" w:rsidRPr="0024327D">
        <w:rPr>
          <w:lang w:val="uk-UA"/>
        </w:rPr>
        <w:t xml:space="preserve"> структур</w:t>
      </w:r>
      <w:r w:rsidR="004F7E2E" w:rsidRPr="0024327D">
        <w:rPr>
          <w:lang w:val="uk-UA"/>
        </w:rPr>
        <w:t>о</w:t>
      </w:r>
      <w:r w:rsidR="00A9491D" w:rsidRPr="0024327D">
        <w:rPr>
          <w:lang w:val="uk-UA"/>
        </w:rPr>
        <w:t>ва</w:t>
      </w:r>
      <w:r w:rsidR="004F7E2E" w:rsidRPr="0024327D">
        <w:rPr>
          <w:lang w:val="uk-UA"/>
        </w:rPr>
        <w:t>на</w:t>
      </w:r>
      <w:r w:rsidR="00A9491D" w:rsidRPr="0024327D">
        <w:rPr>
          <w:lang w:val="uk-UA"/>
        </w:rPr>
        <w:t xml:space="preserve"> </w:t>
      </w:r>
      <w:r w:rsidR="00594341" w:rsidRPr="0024327D">
        <w:rPr>
          <w:lang w:val="uk-UA"/>
        </w:rPr>
        <w:t xml:space="preserve">як </w:t>
      </w:r>
      <w:r w:rsidR="004F7E2E" w:rsidRPr="0024327D">
        <w:rPr>
          <w:lang w:val="uk-UA"/>
        </w:rPr>
        <w:t>відступлення</w:t>
      </w:r>
      <w:r w:rsidR="00594341" w:rsidRPr="0024327D">
        <w:rPr>
          <w:lang w:val="uk-UA"/>
        </w:rPr>
        <w:t xml:space="preserve"> прав вимоги</w:t>
      </w:r>
      <w:r w:rsidR="00B829E1" w:rsidRPr="0024327D">
        <w:rPr>
          <w:lang w:val="uk-UA"/>
        </w:rPr>
        <w:t>.</w:t>
      </w:r>
      <w:r w:rsidR="007E1721" w:rsidRPr="0024327D">
        <w:rPr>
          <w:lang w:val="uk-UA"/>
        </w:rPr>
        <w:t xml:space="preserve"> </w:t>
      </w:r>
      <w:r w:rsidR="00A9491D" w:rsidRPr="0024327D">
        <w:rPr>
          <w:lang w:val="uk-UA"/>
        </w:rPr>
        <w:t xml:space="preserve">У зв’язку із цим </w:t>
      </w:r>
      <w:r w:rsidR="0068426B" w:rsidRPr="0024327D">
        <w:rPr>
          <w:lang w:val="uk-UA"/>
        </w:rPr>
        <w:t xml:space="preserve">необхідно </w:t>
      </w:r>
      <w:r w:rsidR="007E1721" w:rsidRPr="0024327D">
        <w:rPr>
          <w:lang w:val="uk-UA"/>
        </w:rPr>
        <w:t xml:space="preserve">внести зміни до </w:t>
      </w:r>
      <w:r w:rsidR="00594341" w:rsidRPr="0024327D">
        <w:rPr>
          <w:lang w:val="uk-UA"/>
        </w:rPr>
        <w:t xml:space="preserve">норм про </w:t>
      </w:r>
      <w:r w:rsidR="00C26AE1" w:rsidRPr="0024327D">
        <w:rPr>
          <w:lang w:val="uk-UA"/>
        </w:rPr>
        <w:t>надання фінансових послуг</w:t>
      </w:r>
      <w:r w:rsidR="007E1721" w:rsidRPr="0024327D">
        <w:rPr>
          <w:lang w:val="uk-UA"/>
        </w:rPr>
        <w:t xml:space="preserve">, </w:t>
      </w:r>
      <w:r w:rsidR="007F69E1" w:rsidRPr="0024327D">
        <w:rPr>
          <w:lang w:val="uk-UA"/>
        </w:rPr>
        <w:t xml:space="preserve">які </w:t>
      </w:r>
      <w:r w:rsidR="007E1721" w:rsidRPr="0024327D">
        <w:rPr>
          <w:lang w:val="uk-UA"/>
        </w:rPr>
        <w:t>забезпеч</w:t>
      </w:r>
      <w:r w:rsidR="007F69E1" w:rsidRPr="0024327D">
        <w:rPr>
          <w:lang w:val="uk-UA"/>
        </w:rPr>
        <w:t>уватимуть</w:t>
      </w:r>
      <w:r w:rsidR="007E1721" w:rsidRPr="0024327D">
        <w:rPr>
          <w:lang w:val="uk-UA"/>
        </w:rPr>
        <w:t>, щоб так</w:t>
      </w:r>
      <w:r w:rsidR="00C26AE1" w:rsidRPr="0024327D">
        <w:rPr>
          <w:lang w:val="uk-UA"/>
        </w:rPr>
        <w:t xml:space="preserve">а передача не ставала об’єктом </w:t>
      </w:r>
      <w:r w:rsidR="007E1721" w:rsidRPr="0024327D">
        <w:rPr>
          <w:lang w:val="uk-UA"/>
        </w:rPr>
        <w:t>регулювання</w:t>
      </w:r>
      <w:r w:rsidR="00594341" w:rsidRPr="0024327D">
        <w:rPr>
          <w:lang w:val="uk-UA"/>
        </w:rPr>
        <w:t xml:space="preserve"> законодавства</w:t>
      </w:r>
      <w:r w:rsidR="00373F95" w:rsidRPr="0024327D">
        <w:rPr>
          <w:lang w:val="uk-UA"/>
        </w:rPr>
        <w:t xml:space="preserve"> </w:t>
      </w:r>
      <w:r w:rsidR="00594341" w:rsidRPr="0024327D">
        <w:rPr>
          <w:lang w:val="uk-UA"/>
        </w:rPr>
        <w:t xml:space="preserve">про </w:t>
      </w:r>
      <w:r w:rsidR="007E1721" w:rsidRPr="0024327D">
        <w:rPr>
          <w:lang w:val="uk-UA"/>
        </w:rPr>
        <w:t>фінансов</w:t>
      </w:r>
      <w:r w:rsidR="00594341" w:rsidRPr="0024327D">
        <w:rPr>
          <w:lang w:val="uk-UA"/>
        </w:rPr>
        <w:t>і</w:t>
      </w:r>
      <w:r w:rsidR="007E1721" w:rsidRPr="0024327D">
        <w:rPr>
          <w:lang w:val="uk-UA"/>
        </w:rPr>
        <w:t xml:space="preserve"> послуг</w:t>
      </w:r>
      <w:r w:rsidR="00594341" w:rsidRPr="0024327D">
        <w:rPr>
          <w:lang w:val="uk-UA"/>
        </w:rPr>
        <w:t>и</w:t>
      </w:r>
      <w:r w:rsidR="007E1721" w:rsidRPr="0024327D">
        <w:rPr>
          <w:lang w:val="uk-UA"/>
        </w:rPr>
        <w:t xml:space="preserve">, </w:t>
      </w:r>
      <w:r w:rsidR="00C26AE1" w:rsidRPr="0024327D">
        <w:rPr>
          <w:lang w:val="uk-UA"/>
        </w:rPr>
        <w:t>з-поміж іншого</w:t>
      </w:r>
      <w:r w:rsidR="007E1721" w:rsidRPr="0024327D">
        <w:rPr>
          <w:lang w:val="uk-UA"/>
        </w:rPr>
        <w:t xml:space="preserve">, </w:t>
      </w:r>
      <w:r w:rsidR="00594341" w:rsidRPr="0024327D">
        <w:rPr>
          <w:lang w:val="uk-UA"/>
        </w:rPr>
        <w:t xml:space="preserve">норм про </w:t>
      </w:r>
      <w:r w:rsidR="007E1721" w:rsidRPr="0024327D">
        <w:rPr>
          <w:lang w:val="uk-UA"/>
        </w:rPr>
        <w:t xml:space="preserve">факторинг, а </w:t>
      </w:r>
      <w:r w:rsidR="00C26AE1" w:rsidRPr="0024327D">
        <w:rPr>
          <w:lang w:val="uk-UA"/>
        </w:rPr>
        <w:t xml:space="preserve">компанія спеціального призначення не </w:t>
      </w:r>
      <w:r w:rsidR="00D16E9A" w:rsidRPr="0024327D">
        <w:rPr>
          <w:lang w:val="uk-UA"/>
        </w:rPr>
        <w:t xml:space="preserve">повинна була отримувати статус </w:t>
      </w:r>
      <w:r w:rsidR="007E1721" w:rsidRPr="0024327D">
        <w:rPr>
          <w:lang w:val="uk-UA"/>
        </w:rPr>
        <w:t>фінансово</w:t>
      </w:r>
      <w:r w:rsidR="00D16E9A" w:rsidRPr="0024327D">
        <w:rPr>
          <w:lang w:val="uk-UA"/>
        </w:rPr>
        <w:t>ї</w:t>
      </w:r>
      <w:r w:rsidR="007E1721" w:rsidRPr="0024327D">
        <w:rPr>
          <w:lang w:val="uk-UA"/>
        </w:rPr>
        <w:t xml:space="preserve"> установ</w:t>
      </w:r>
      <w:r w:rsidR="00D16E9A" w:rsidRPr="0024327D">
        <w:rPr>
          <w:lang w:val="uk-UA"/>
        </w:rPr>
        <w:t>и</w:t>
      </w:r>
      <w:r w:rsidR="007E1721" w:rsidRPr="0024327D">
        <w:rPr>
          <w:lang w:val="uk-UA"/>
        </w:rPr>
        <w:t xml:space="preserve"> для придбання пулу активів або отримання виплат відсотків </w:t>
      </w:r>
      <w:r w:rsidR="00C26AE1" w:rsidRPr="0024327D">
        <w:rPr>
          <w:lang w:val="uk-UA"/>
        </w:rPr>
        <w:t>за ними</w:t>
      </w:r>
      <w:r w:rsidR="007E1721" w:rsidRPr="0024327D">
        <w:rPr>
          <w:lang w:val="uk-UA"/>
        </w:rPr>
        <w:t xml:space="preserve"> тощо. </w:t>
      </w:r>
      <w:r w:rsidR="00C26AE1" w:rsidRPr="0024327D">
        <w:rPr>
          <w:lang w:val="uk-UA"/>
        </w:rPr>
        <w:t xml:space="preserve">Також </w:t>
      </w:r>
      <w:r w:rsidR="00847AAC" w:rsidRPr="0024327D">
        <w:rPr>
          <w:lang w:val="uk-UA"/>
        </w:rPr>
        <w:t xml:space="preserve">потрібно буде </w:t>
      </w:r>
      <w:r w:rsidR="00ED1623" w:rsidRPr="0024327D">
        <w:rPr>
          <w:lang w:val="uk-UA"/>
        </w:rPr>
        <w:t xml:space="preserve">внести </w:t>
      </w:r>
      <w:r w:rsidR="00943FC8" w:rsidRPr="0024327D">
        <w:rPr>
          <w:lang w:val="uk-UA"/>
        </w:rPr>
        <w:t>певні зміни до норм</w:t>
      </w:r>
      <w:r w:rsidR="00461425" w:rsidRPr="0024327D">
        <w:rPr>
          <w:lang w:val="uk-UA"/>
        </w:rPr>
        <w:t xml:space="preserve"> щодо</w:t>
      </w:r>
      <w:r w:rsidR="00C34C14" w:rsidRPr="0024327D">
        <w:rPr>
          <w:lang w:val="uk-UA"/>
        </w:rPr>
        <w:t xml:space="preserve"> емісії </w:t>
      </w:r>
      <w:r w:rsidR="007E1721" w:rsidRPr="0024327D">
        <w:rPr>
          <w:lang w:val="uk-UA"/>
        </w:rPr>
        <w:t>цінних паперів</w:t>
      </w:r>
      <w:r w:rsidR="003804A0" w:rsidRPr="0024327D">
        <w:rPr>
          <w:lang w:val="uk-UA"/>
        </w:rPr>
        <w:t xml:space="preserve"> </w:t>
      </w:r>
      <w:r w:rsidR="00461425" w:rsidRPr="0024327D">
        <w:rPr>
          <w:lang w:val="uk-UA"/>
        </w:rPr>
        <w:t xml:space="preserve">з метою врахування </w:t>
      </w:r>
      <w:r w:rsidR="00F6441B" w:rsidRPr="0024327D">
        <w:rPr>
          <w:lang w:val="uk-UA"/>
        </w:rPr>
        <w:t xml:space="preserve">особливостей </w:t>
      </w:r>
      <w:r w:rsidR="000955B8" w:rsidRPr="0024327D">
        <w:rPr>
          <w:lang w:val="uk-UA"/>
        </w:rPr>
        <w:t>облігацій з покриттям та сек’юритизації</w:t>
      </w:r>
      <w:r w:rsidR="007E1721" w:rsidRPr="0024327D">
        <w:rPr>
          <w:lang w:val="uk-UA"/>
        </w:rPr>
        <w:t xml:space="preserve">. </w:t>
      </w:r>
      <w:r w:rsidR="00C26AE1" w:rsidRPr="0024327D">
        <w:rPr>
          <w:lang w:val="uk-UA"/>
        </w:rPr>
        <w:t xml:space="preserve">І, нарешті, необхідно </w:t>
      </w:r>
      <w:r w:rsidR="000955B8" w:rsidRPr="0024327D">
        <w:rPr>
          <w:lang w:val="uk-UA"/>
        </w:rPr>
        <w:t>буде забезпечити, що</w:t>
      </w:r>
      <w:r w:rsidR="00F44429" w:rsidRPr="0024327D">
        <w:rPr>
          <w:lang w:val="uk-UA"/>
        </w:rPr>
        <w:t>б</w:t>
      </w:r>
      <w:r w:rsidR="000955B8" w:rsidRPr="0024327D">
        <w:rPr>
          <w:lang w:val="uk-UA"/>
        </w:rPr>
        <w:t xml:space="preserve"> положення Закону про ринки капітал</w:t>
      </w:r>
      <w:r w:rsidR="00F44429" w:rsidRPr="0024327D">
        <w:rPr>
          <w:lang w:val="uk-UA"/>
        </w:rPr>
        <w:t>у</w:t>
      </w:r>
      <w:r w:rsidR="007E1721" w:rsidRPr="0024327D">
        <w:rPr>
          <w:lang w:val="uk-UA"/>
        </w:rPr>
        <w:t>, як</w:t>
      </w:r>
      <w:r w:rsidR="000955B8" w:rsidRPr="0024327D">
        <w:rPr>
          <w:lang w:val="uk-UA"/>
        </w:rPr>
        <w:t>е</w:t>
      </w:r>
      <w:r w:rsidR="007E1721" w:rsidRPr="0024327D">
        <w:rPr>
          <w:lang w:val="uk-UA"/>
        </w:rPr>
        <w:t xml:space="preserve"> обмежує основну суму корпоративних облігацій,</w:t>
      </w:r>
      <w:r w:rsidR="00C34C14" w:rsidRPr="0024327D">
        <w:rPr>
          <w:lang w:val="uk-UA"/>
        </w:rPr>
        <w:t xml:space="preserve"> емісію</w:t>
      </w:r>
      <w:r w:rsidR="007E1721" w:rsidRPr="0024327D">
        <w:rPr>
          <w:lang w:val="uk-UA"/>
        </w:rPr>
        <w:t xml:space="preserve"> як</w:t>
      </w:r>
      <w:r w:rsidR="00C34C14" w:rsidRPr="0024327D">
        <w:rPr>
          <w:lang w:val="uk-UA"/>
        </w:rPr>
        <w:t>их</w:t>
      </w:r>
      <w:r w:rsidR="007E1721" w:rsidRPr="0024327D">
        <w:rPr>
          <w:lang w:val="uk-UA"/>
        </w:rPr>
        <w:t xml:space="preserve"> може </w:t>
      </w:r>
      <w:r w:rsidR="00C34C14" w:rsidRPr="0024327D">
        <w:rPr>
          <w:lang w:val="uk-UA"/>
        </w:rPr>
        <w:t xml:space="preserve">здійснювати </w:t>
      </w:r>
      <w:r w:rsidR="007E1721" w:rsidRPr="0024327D">
        <w:rPr>
          <w:lang w:val="uk-UA"/>
        </w:rPr>
        <w:t xml:space="preserve">компанія, </w:t>
      </w:r>
      <w:r w:rsidR="006D7663" w:rsidRPr="0024327D">
        <w:rPr>
          <w:lang w:val="uk-UA"/>
        </w:rPr>
        <w:t xml:space="preserve">не застосовується до облігацій з покриттям та облігацій, </w:t>
      </w:r>
      <w:r w:rsidR="00C34C14" w:rsidRPr="0024327D">
        <w:rPr>
          <w:lang w:val="uk-UA"/>
        </w:rPr>
        <w:t xml:space="preserve"> емісія яких  здійснюється </w:t>
      </w:r>
      <w:r w:rsidR="006D7663" w:rsidRPr="0024327D">
        <w:rPr>
          <w:lang w:val="uk-UA"/>
        </w:rPr>
        <w:t>в рамках сек’юритизації.</w:t>
      </w:r>
    </w:p>
    <w:p w14:paraId="415BA0E7" w14:textId="0160FA48" w:rsidR="00A73A16" w:rsidRPr="0024327D" w:rsidRDefault="009440B6" w:rsidP="00A73A16">
      <w:pPr>
        <w:rPr>
          <w:lang w:val="uk-UA"/>
        </w:rPr>
      </w:pPr>
      <w:r w:rsidRPr="0024327D">
        <w:rPr>
          <w:lang w:val="uk-UA"/>
        </w:rPr>
        <w:t xml:space="preserve">У </w:t>
      </w:r>
      <w:r w:rsidR="0068426B" w:rsidRPr="0024327D">
        <w:rPr>
          <w:lang w:val="uk-UA"/>
        </w:rPr>
        <w:t>Р</w:t>
      </w:r>
      <w:r w:rsidRPr="0024327D">
        <w:rPr>
          <w:lang w:val="uk-UA"/>
        </w:rPr>
        <w:t xml:space="preserve">озділі 4.3 обговорюються основні </w:t>
      </w:r>
      <w:r w:rsidR="005A45E7" w:rsidRPr="0024327D">
        <w:rPr>
          <w:lang w:val="uk-UA"/>
        </w:rPr>
        <w:t xml:space="preserve">структурні елементи, які необхідні для </w:t>
      </w:r>
      <w:r w:rsidR="00C34C14" w:rsidRPr="0024327D">
        <w:rPr>
          <w:lang w:val="uk-UA"/>
        </w:rPr>
        <w:t xml:space="preserve">емісії </w:t>
      </w:r>
      <w:r w:rsidRPr="0024327D">
        <w:rPr>
          <w:lang w:val="uk-UA"/>
        </w:rPr>
        <w:t>облігаці</w:t>
      </w:r>
      <w:r w:rsidR="005A45E7" w:rsidRPr="0024327D">
        <w:rPr>
          <w:lang w:val="uk-UA"/>
        </w:rPr>
        <w:t>й</w:t>
      </w:r>
      <w:r w:rsidR="006D7663" w:rsidRPr="0024327D">
        <w:rPr>
          <w:lang w:val="uk-UA"/>
        </w:rPr>
        <w:t xml:space="preserve"> з покриттям</w:t>
      </w:r>
      <w:r w:rsidRPr="0024327D">
        <w:rPr>
          <w:lang w:val="uk-UA"/>
        </w:rPr>
        <w:t xml:space="preserve">. Зокрема, </w:t>
      </w:r>
      <w:r w:rsidR="00A4546B" w:rsidRPr="0024327D">
        <w:rPr>
          <w:lang w:val="uk-UA"/>
        </w:rPr>
        <w:t>зазначається</w:t>
      </w:r>
      <w:r w:rsidR="005A45E7" w:rsidRPr="0024327D">
        <w:rPr>
          <w:lang w:val="uk-UA"/>
        </w:rPr>
        <w:t xml:space="preserve"> про</w:t>
      </w:r>
      <w:r w:rsidR="00A4546B" w:rsidRPr="0024327D">
        <w:rPr>
          <w:lang w:val="uk-UA"/>
        </w:rPr>
        <w:t xml:space="preserve"> можливість різного структурування облігацій</w:t>
      </w:r>
      <w:r w:rsidR="00D40C67" w:rsidRPr="0024327D">
        <w:rPr>
          <w:lang w:val="uk-UA"/>
        </w:rPr>
        <w:t xml:space="preserve"> з покриттям</w:t>
      </w:r>
      <w:r w:rsidRPr="0024327D">
        <w:rPr>
          <w:lang w:val="uk-UA"/>
        </w:rPr>
        <w:t xml:space="preserve">. </w:t>
      </w:r>
      <w:r w:rsidR="00F44429" w:rsidRPr="0024327D">
        <w:rPr>
          <w:lang w:val="uk-UA"/>
        </w:rPr>
        <w:t>П</w:t>
      </w:r>
      <w:r w:rsidRPr="0024327D">
        <w:rPr>
          <w:lang w:val="uk-UA"/>
        </w:rPr>
        <w:t>ропонує</w:t>
      </w:r>
      <w:r w:rsidR="00F44429" w:rsidRPr="0024327D">
        <w:rPr>
          <w:lang w:val="uk-UA"/>
        </w:rPr>
        <w:t>ться</w:t>
      </w:r>
      <w:r w:rsidRPr="0024327D">
        <w:rPr>
          <w:lang w:val="uk-UA"/>
        </w:rPr>
        <w:t xml:space="preserve"> </w:t>
      </w:r>
      <w:r w:rsidR="00A4546B" w:rsidRPr="0024327D">
        <w:rPr>
          <w:lang w:val="uk-UA"/>
        </w:rPr>
        <w:t xml:space="preserve">запровадити </w:t>
      </w:r>
      <w:r w:rsidRPr="0024327D">
        <w:rPr>
          <w:lang w:val="uk-UA"/>
        </w:rPr>
        <w:t xml:space="preserve">в Україні структуру, </w:t>
      </w:r>
      <w:r w:rsidR="00A4546B" w:rsidRPr="0024327D">
        <w:rPr>
          <w:lang w:val="uk-UA"/>
        </w:rPr>
        <w:t xml:space="preserve">при якій </w:t>
      </w:r>
      <w:r w:rsidRPr="0024327D">
        <w:rPr>
          <w:lang w:val="uk-UA"/>
        </w:rPr>
        <w:t>активи пере</w:t>
      </w:r>
      <w:r w:rsidR="00A4546B" w:rsidRPr="0024327D">
        <w:rPr>
          <w:lang w:val="uk-UA"/>
        </w:rPr>
        <w:t xml:space="preserve">ходять до компанії спеціального призначення </w:t>
      </w:r>
      <w:r w:rsidRPr="0024327D">
        <w:rPr>
          <w:lang w:val="uk-UA"/>
        </w:rPr>
        <w:t xml:space="preserve">(як при сек'юритизації), а </w:t>
      </w:r>
      <w:r w:rsidR="00A4546B" w:rsidRPr="0024327D">
        <w:rPr>
          <w:lang w:val="uk-UA"/>
        </w:rPr>
        <w:t xml:space="preserve">компанія спеціального призначення </w:t>
      </w:r>
      <w:r w:rsidR="00EF1811" w:rsidRPr="0024327D">
        <w:rPr>
          <w:lang w:val="uk-UA"/>
        </w:rPr>
        <w:t>гарантує</w:t>
      </w:r>
      <w:r w:rsidR="00EF1811" w:rsidRPr="0024327D">
        <w:rPr>
          <w:rStyle w:val="af2"/>
          <w:lang w:val="uk-UA"/>
        </w:rPr>
        <w:footnoteReference w:id="2"/>
      </w:r>
      <w:r w:rsidR="00EF1811" w:rsidRPr="0024327D">
        <w:rPr>
          <w:lang w:val="uk-UA"/>
        </w:rPr>
        <w:t xml:space="preserve"> виконання зобов’язань</w:t>
      </w:r>
      <w:r w:rsidR="00202E8E" w:rsidRPr="0024327D">
        <w:rPr>
          <w:lang w:val="uk-UA"/>
        </w:rPr>
        <w:t xml:space="preserve"> </w:t>
      </w:r>
      <w:r w:rsidR="00CD7A0D" w:rsidRPr="0024327D">
        <w:rPr>
          <w:lang w:val="uk-UA"/>
        </w:rPr>
        <w:t xml:space="preserve">за </w:t>
      </w:r>
      <w:r w:rsidRPr="0024327D">
        <w:rPr>
          <w:lang w:val="uk-UA"/>
        </w:rPr>
        <w:t>облігаці</w:t>
      </w:r>
      <w:r w:rsidR="00CD7A0D" w:rsidRPr="0024327D">
        <w:rPr>
          <w:lang w:val="uk-UA"/>
        </w:rPr>
        <w:t>ями</w:t>
      </w:r>
      <w:r w:rsidRPr="0024327D">
        <w:rPr>
          <w:lang w:val="uk-UA"/>
        </w:rPr>
        <w:t>, випущен</w:t>
      </w:r>
      <w:r w:rsidR="00CD7A0D" w:rsidRPr="0024327D">
        <w:rPr>
          <w:lang w:val="uk-UA"/>
        </w:rPr>
        <w:t>ими</w:t>
      </w:r>
      <w:r w:rsidRPr="0024327D">
        <w:rPr>
          <w:lang w:val="uk-UA"/>
        </w:rPr>
        <w:t xml:space="preserve"> банком</w:t>
      </w:r>
      <w:r w:rsidR="00330A7F" w:rsidRPr="0024327D">
        <w:rPr>
          <w:lang w:val="uk-UA"/>
        </w:rPr>
        <w:t xml:space="preserve"> (або іншою прийнятною </w:t>
      </w:r>
      <w:r w:rsidR="00934CBA" w:rsidRPr="0024327D">
        <w:rPr>
          <w:lang w:val="uk-UA"/>
        </w:rPr>
        <w:t xml:space="preserve">кредитною </w:t>
      </w:r>
      <w:r w:rsidR="00330A7F" w:rsidRPr="0024327D">
        <w:rPr>
          <w:lang w:val="uk-UA"/>
        </w:rPr>
        <w:t>установою)</w:t>
      </w:r>
      <w:r w:rsidRPr="0024327D">
        <w:rPr>
          <w:lang w:val="uk-UA"/>
        </w:rPr>
        <w:t xml:space="preserve">. </w:t>
      </w:r>
      <w:r w:rsidR="00E42717" w:rsidRPr="0024327D">
        <w:rPr>
          <w:lang w:val="uk-UA"/>
        </w:rPr>
        <w:t>Обрання такої структури продиктовано тим</w:t>
      </w:r>
      <w:r w:rsidR="00A4546B" w:rsidRPr="0024327D">
        <w:rPr>
          <w:lang w:val="uk-UA"/>
        </w:rPr>
        <w:t>, що</w:t>
      </w:r>
      <w:r w:rsidRPr="0024327D">
        <w:rPr>
          <w:lang w:val="uk-UA"/>
        </w:rPr>
        <w:t xml:space="preserve"> вона </w:t>
      </w:r>
      <w:r w:rsidR="00A4546B" w:rsidRPr="0024327D">
        <w:rPr>
          <w:lang w:val="uk-UA"/>
        </w:rPr>
        <w:t xml:space="preserve">мінімізує </w:t>
      </w:r>
      <w:r w:rsidR="00F345F7" w:rsidRPr="0024327D">
        <w:rPr>
          <w:lang w:val="uk-UA"/>
        </w:rPr>
        <w:t xml:space="preserve">необхідність розробляти </w:t>
      </w:r>
      <w:r w:rsidR="007D3CDD" w:rsidRPr="0024327D">
        <w:rPr>
          <w:lang w:val="uk-UA"/>
        </w:rPr>
        <w:t>окре</w:t>
      </w:r>
      <w:r w:rsidR="00F03062" w:rsidRPr="0024327D">
        <w:rPr>
          <w:lang w:val="uk-UA"/>
        </w:rPr>
        <w:t>м</w:t>
      </w:r>
      <w:r w:rsidR="003F712A" w:rsidRPr="0024327D">
        <w:rPr>
          <w:lang w:val="uk-UA"/>
        </w:rPr>
        <w:t>і</w:t>
      </w:r>
      <w:r w:rsidR="007D3CDD" w:rsidRPr="0024327D">
        <w:rPr>
          <w:lang w:val="uk-UA"/>
        </w:rPr>
        <w:t xml:space="preserve"> </w:t>
      </w:r>
      <w:r w:rsidRPr="0024327D">
        <w:rPr>
          <w:lang w:val="uk-UA"/>
        </w:rPr>
        <w:t>правов</w:t>
      </w:r>
      <w:r w:rsidR="003F712A" w:rsidRPr="0024327D">
        <w:rPr>
          <w:lang w:val="uk-UA"/>
        </w:rPr>
        <w:t>і</w:t>
      </w:r>
      <w:r w:rsidRPr="0024327D">
        <w:rPr>
          <w:lang w:val="uk-UA"/>
        </w:rPr>
        <w:t xml:space="preserve"> </w:t>
      </w:r>
      <w:r w:rsidR="003F712A" w:rsidRPr="0024327D">
        <w:rPr>
          <w:lang w:val="uk-UA"/>
        </w:rPr>
        <w:t xml:space="preserve">концепції </w:t>
      </w:r>
      <w:r w:rsidRPr="0024327D">
        <w:rPr>
          <w:lang w:val="uk-UA"/>
        </w:rPr>
        <w:t xml:space="preserve">в Україні та </w:t>
      </w:r>
      <w:r w:rsidR="00191C41" w:rsidRPr="0024327D">
        <w:rPr>
          <w:lang w:val="uk-UA"/>
        </w:rPr>
        <w:t xml:space="preserve">забезпечує </w:t>
      </w:r>
      <w:r w:rsidR="00F345F7" w:rsidRPr="0024327D">
        <w:rPr>
          <w:lang w:val="uk-UA"/>
        </w:rPr>
        <w:t xml:space="preserve">інвесторам </w:t>
      </w:r>
      <w:r w:rsidR="00A4546B" w:rsidRPr="0024327D">
        <w:rPr>
          <w:lang w:val="uk-UA"/>
        </w:rPr>
        <w:t>максимальну</w:t>
      </w:r>
      <w:r w:rsidR="003D7277" w:rsidRPr="0024327D">
        <w:rPr>
          <w:lang w:val="uk-UA"/>
        </w:rPr>
        <w:t xml:space="preserve"> визначеність</w:t>
      </w:r>
      <w:r w:rsidR="00B406CE" w:rsidRPr="0024327D">
        <w:rPr>
          <w:lang w:val="uk-UA"/>
        </w:rPr>
        <w:t xml:space="preserve">, яка </w:t>
      </w:r>
      <w:r w:rsidR="00A4546B" w:rsidRPr="0024327D">
        <w:rPr>
          <w:lang w:val="uk-UA"/>
        </w:rPr>
        <w:t xml:space="preserve">має істотне значення </w:t>
      </w:r>
      <w:r w:rsidRPr="0024327D">
        <w:rPr>
          <w:lang w:val="uk-UA"/>
        </w:rPr>
        <w:t xml:space="preserve">для </w:t>
      </w:r>
      <w:r w:rsidR="00FD3DA7" w:rsidRPr="0024327D">
        <w:rPr>
          <w:lang w:val="uk-UA"/>
        </w:rPr>
        <w:t xml:space="preserve">привабливості </w:t>
      </w:r>
      <w:r w:rsidRPr="0024327D">
        <w:rPr>
          <w:lang w:val="uk-UA"/>
        </w:rPr>
        <w:t xml:space="preserve">облігацій </w:t>
      </w:r>
      <w:r w:rsidR="00FD3DA7" w:rsidRPr="0024327D">
        <w:rPr>
          <w:lang w:val="uk-UA"/>
        </w:rPr>
        <w:t xml:space="preserve">для </w:t>
      </w:r>
      <w:r w:rsidRPr="0024327D">
        <w:rPr>
          <w:lang w:val="uk-UA"/>
        </w:rPr>
        <w:t>інвестор</w:t>
      </w:r>
      <w:r w:rsidR="00FD3DA7" w:rsidRPr="0024327D">
        <w:rPr>
          <w:lang w:val="uk-UA"/>
        </w:rPr>
        <w:t>ів</w:t>
      </w:r>
      <w:r w:rsidRPr="0024327D">
        <w:rPr>
          <w:lang w:val="uk-UA"/>
        </w:rPr>
        <w:t xml:space="preserve">. На практиці </w:t>
      </w:r>
      <w:r w:rsidR="00E42717" w:rsidRPr="0024327D">
        <w:rPr>
          <w:lang w:val="uk-UA"/>
        </w:rPr>
        <w:t xml:space="preserve">при </w:t>
      </w:r>
      <w:r w:rsidRPr="0024327D">
        <w:rPr>
          <w:lang w:val="uk-UA"/>
        </w:rPr>
        <w:t>інш</w:t>
      </w:r>
      <w:r w:rsidR="00E42717" w:rsidRPr="0024327D">
        <w:rPr>
          <w:lang w:val="uk-UA"/>
        </w:rPr>
        <w:t xml:space="preserve">их структурах </w:t>
      </w:r>
      <w:r w:rsidRPr="0024327D">
        <w:rPr>
          <w:lang w:val="uk-UA"/>
        </w:rPr>
        <w:t xml:space="preserve">облігацій </w:t>
      </w:r>
      <w:r w:rsidR="00F156DE" w:rsidRPr="0024327D">
        <w:rPr>
          <w:lang w:val="uk-UA"/>
        </w:rPr>
        <w:t xml:space="preserve">з покриттям </w:t>
      </w:r>
      <w:r w:rsidRPr="0024327D">
        <w:rPr>
          <w:lang w:val="uk-UA"/>
        </w:rPr>
        <w:t xml:space="preserve">часто </w:t>
      </w:r>
      <w:r w:rsidR="00E42717" w:rsidRPr="0024327D">
        <w:rPr>
          <w:lang w:val="uk-UA"/>
        </w:rPr>
        <w:t>в</w:t>
      </w:r>
      <w:r w:rsidR="007F69E1" w:rsidRPr="0024327D">
        <w:rPr>
          <w:lang w:val="uk-UA"/>
        </w:rPr>
        <w:t xml:space="preserve">иникають </w:t>
      </w:r>
      <w:r w:rsidRPr="0024327D">
        <w:rPr>
          <w:lang w:val="uk-UA"/>
        </w:rPr>
        <w:t xml:space="preserve">проблеми </w:t>
      </w:r>
      <w:r w:rsidR="00E42717" w:rsidRPr="0024327D">
        <w:rPr>
          <w:lang w:val="uk-UA"/>
        </w:rPr>
        <w:t xml:space="preserve">достатнього </w:t>
      </w:r>
      <w:r w:rsidR="002630F2" w:rsidRPr="0024327D">
        <w:rPr>
          <w:lang w:val="uk-UA"/>
        </w:rPr>
        <w:t xml:space="preserve">відокремлення </w:t>
      </w:r>
      <w:r w:rsidRPr="0024327D">
        <w:rPr>
          <w:lang w:val="uk-UA"/>
        </w:rPr>
        <w:t xml:space="preserve">активів. Як правило, це не є </w:t>
      </w:r>
      <w:r w:rsidR="00AB0F45" w:rsidRPr="0024327D">
        <w:rPr>
          <w:lang w:val="uk-UA"/>
        </w:rPr>
        <w:t xml:space="preserve">великою проблемою </w:t>
      </w:r>
      <w:r w:rsidRPr="0024327D">
        <w:rPr>
          <w:lang w:val="uk-UA"/>
        </w:rPr>
        <w:t xml:space="preserve">для країн з усталеними правовими традиціями </w:t>
      </w:r>
      <w:r w:rsidR="00AB0F45" w:rsidRPr="0024327D">
        <w:rPr>
          <w:lang w:val="uk-UA"/>
        </w:rPr>
        <w:t>щодо відокремлення активів</w:t>
      </w:r>
      <w:r w:rsidR="00370140" w:rsidRPr="0024327D">
        <w:rPr>
          <w:lang w:val="uk-UA"/>
        </w:rPr>
        <w:t xml:space="preserve"> в межах</w:t>
      </w:r>
      <w:r w:rsidR="00BF53F1" w:rsidRPr="0024327D">
        <w:rPr>
          <w:lang w:val="uk-UA"/>
        </w:rPr>
        <w:t xml:space="preserve"> єдиного балансу</w:t>
      </w:r>
      <w:r w:rsidR="00373F95" w:rsidRPr="0024327D">
        <w:rPr>
          <w:lang w:val="uk-UA"/>
        </w:rPr>
        <w:t>,</w:t>
      </w:r>
      <w:r w:rsidRPr="0024327D">
        <w:rPr>
          <w:lang w:val="uk-UA"/>
        </w:rPr>
        <w:t xml:space="preserve"> де всі </w:t>
      </w:r>
      <w:r w:rsidR="00D97048" w:rsidRPr="0024327D">
        <w:rPr>
          <w:lang w:val="uk-UA"/>
        </w:rPr>
        <w:t>учасники ринку</w:t>
      </w:r>
      <w:r w:rsidRPr="0024327D">
        <w:rPr>
          <w:lang w:val="uk-UA"/>
        </w:rPr>
        <w:t xml:space="preserve"> розуміють цю модель. Однак для країн, </w:t>
      </w:r>
      <w:r w:rsidR="00E42717" w:rsidRPr="0024327D">
        <w:rPr>
          <w:lang w:val="uk-UA"/>
        </w:rPr>
        <w:t xml:space="preserve">у яких традиції облігацій </w:t>
      </w:r>
      <w:r w:rsidR="00D97048" w:rsidRPr="0024327D">
        <w:rPr>
          <w:lang w:val="uk-UA"/>
        </w:rPr>
        <w:t xml:space="preserve">з покриттям </w:t>
      </w:r>
      <w:r w:rsidRPr="0024327D">
        <w:rPr>
          <w:lang w:val="uk-UA"/>
        </w:rPr>
        <w:t xml:space="preserve">лише </w:t>
      </w:r>
      <w:r w:rsidR="00E42717" w:rsidRPr="0024327D">
        <w:rPr>
          <w:lang w:val="uk-UA"/>
        </w:rPr>
        <w:t xml:space="preserve">формуються, компанія спеціального призначення </w:t>
      </w:r>
      <w:r w:rsidRPr="0024327D">
        <w:rPr>
          <w:lang w:val="uk-UA"/>
        </w:rPr>
        <w:t xml:space="preserve">є більш безпечним варіантом. Це також простіший варіант, оскільки </w:t>
      </w:r>
      <w:r w:rsidR="00E42717" w:rsidRPr="0024327D">
        <w:rPr>
          <w:lang w:val="uk-UA"/>
        </w:rPr>
        <w:t xml:space="preserve">для інших структур облігацій </w:t>
      </w:r>
      <w:r w:rsidR="00965A43" w:rsidRPr="0024327D">
        <w:rPr>
          <w:lang w:val="uk-UA"/>
        </w:rPr>
        <w:t xml:space="preserve">з покриттям </w:t>
      </w:r>
      <w:r w:rsidR="00E42717" w:rsidRPr="0024327D">
        <w:rPr>
          <w:lang w:val="uk-UA"/>
        </w:rPr>
        <w:t xml:space="preserve">зазвичай необхідні істотні та </w:t>
      </w:r>
      <w:r w:rsidR="003E4EA5" w:rsidRPr="0024327D">
        <w:rPr>
          <w:lang w:val="uk-UA"/>
        </w:rPr>
        <w:t xml:space="preserve">комплексні </w:t>
      </w:r>
      <w:r w:rsidR="00E42717" w:rsidRPr="0024327D">
        <w:rPr>
          <w:lang w:val="uk-UA"/>
        </w:rPr>
        <w:t>зміни</w:t>
      </w:r>
      <w:r w:rsidRPr="0024327D">
        <w:rPr>
          <w:lang w:val="uk-UA"/>
        </w:rPr>
        <w:t xml:space="preserve"> до режиму неплатоспроможності, які можуть </w:t>
      </w:r>
      <w:r w:rsidR="00E42717" w:rsidRPr="0024327D">
        <w:rPr>
          <w:lang w:val="uk-UA"/>
        </w:rPr>
        <w:t>виявитися складними для розуміння</w:t>
      </w:r>
      <w:r w:rsidR="0090786A" w:rsidRPr="0024327D">
        <w:rPr>
          <w:lang w:val="uk-UA"/>
        </w:rPr>
        <w:t xml:space="preserve"> для тих</w:t>
      </w:r>
      <w:r w:rsidR="00E42717" w:rsidRPr="0024327D">
        <w:rPr>
          <w:lang w:val="uk-UA"/>
        </w:rPr>
        <w:t xml:space="preserve">, </w:t>
      </w:r>
      <w:r w:rsidR="0090786A" w:rsidRPr="0024327D">
        <w:rPr>
          <w:lang w:val="uk-UA"/>
        </w:rPr>
        <w:t>хто</w:t>
      </w:r>
      <w:r w:rsidR="00E42717" w:rsidRPr="0024327D">
        <w:rPr>
          <w:lang w:val="uk-UA"/>
        </w:rPr>
        <w:t xml:space="preserve"> </w:t>
      </w:r>
      <w:r w:rsidR="002C14EB" w:rsidRPr="0024327D">
        <w:rPr>
          <w:lang w:val="uk-UA"/>
        </w:rPr>
        <w:t xml:space="preserve">не </w:t>
      </w:r>
      <w:r w:rsidR="00E42717" w:rsidRPr="0024327D">
        <w:rPr>
          <w:lang w:val="uk-UA"/>
        </w:rPr>
        <w:t>займа</w:t>
      </w:r>
      <w:r w:rsidR="0090786A" w:rsidRPr="0024327D">
        <w:rPr>
          <w:lang w:val="uk-UA"/>
        </w:rPr>
        <w:t>є</w:t>
      </w:r>
      <w:r w:rsidR="00E42717" w:rsidRPr="0024327D">
        <w:rPr>
          <w:lang w:val="uk-UA"/>
        </w:rPr>
        <w:t>ться питаннями ринків капіталу</w:t>
      </w:r>
      <w:r w:rsidR="002C14EB" w:rsidRPr="0024327D">
        <w:rPr>
          <w:lang w:val="uk-UA"/>
        </w:rPr>
        <w:t xml:space="preserve"> на постійній основі</w:t>
      </w:r>
      <w:r w:rsidR="00E6535F" w:rsidRPr="0024327D">
        <w:rPr>
          <w:lang w:val="uk-UA"/>
        </w:rPr>
        <w:t>.</w:t>
      </w:r>
    </w:p>
    <w:p w14:paraId="08C5FD08" w14:textId="7FC9B25B" w:rsidR="00E42717" w:rsidRPr="0024327D" w:rsidRDefault="00E42717" w:rsidP="00A73A16">
      <w:pPr>
        <w:rPr>
          <w:lang w:val="uk-UA"/>
        </w:rPr>
      </w:pPr>
      <w:r w:rsidRPr="0024327D">
        <w:rPr>
          <w:lang w:val="uk-UA"/>
        </w:rPr>
        <w:t xml:space="preserve">Оцінка того, чи можуть та як саме можуть </w:t>
      </w:r>
      <w:r w:rsidR="002C14EB" w:rsidRPr="0024327D">
        <w:rPr>
          <w:lang w:val="uk-UA"/>
        </w:rPr>
        <w:t xml:space="preserve">працювати </w:t>
      </w:r>
      <w:r w:rsidRPr="0024327D">
        <w:rPr>
          <w:lang w:val="uk-UA"/>
        </w:rPr>
        <w:t xml:space="preserve">в Україні основні </w:t>
      </w:r>
      <w:r w:rsidR="00952BA7" w:rsidRPr="0024327D">
        <w:rPr>
          <w:lang w:val="uk-UA"/>
        </w:rPr>
        <w:t>структурні елементи, які необхідні для випуску</w:t>
      </w:r>
      <w:r w:rsidR="00952BA7" w:rsidRPr="0024327D" w:rsidDel="00952BA7">
        <w:rPr>
          <w:lang w:val="uk-UA"/>
        </w:rPr>
        <w:t xml:space="preserve"> </w:t>
      </w:r>
      <w:r w:rsidRPr="0024327D">
        <w:rPr>
          <w:lang w:val="uk-UA"/>
        </w:rPr>
        <w:t>облігаці</w:t>
      </w:r>
      <w:r w:rsidR="00952BA7" w:rsidRPr="0024327D">
        <w:rPr>
          <w:lang w:val="uk-UA"/>
        </w:rPr>
        <w:t>й</w:t>
      </w:r>
      <w:r w:rsidR="000D39A4" w:rsidRPr="0024327D">
        <w:rPr>
          <w:lang w:val="uk-UA"/>
        </w:rPr>
        <w:t xml:space="preserve"> з покриттям</w:t>
      </w:r>
      <w:r w:rsidRPr="0024327D">
        <w:rPr>
          <w:lang w:val="uk-UA"/>
        </w:rPr>
        <w:t xml:space="preserve">, представлена у Розділі 4.4. Деякі обговорювані проблеми є </w:t>
      </w:r>
      <w:r w:rsidR="00B55B5B" w:rsidRPr="0024327D">
        <w:rPr>
          <w:lang w:val="uk-UA"/>
        </w:rPr>
        <w:t xml:space="preserve">спільними </w:t>
      </w:r>
      <w:r w:rsidRPr="0024327D">
        <w:rPr>
          <w:lang w:val="uk-UA"/>
        </w:rPr>
        <w:t xml:space="preserve">для облігацій </w:t>
      </w:r>
      <w:r w:rsidR="00193844" w:rsidRPr="0024327D">
        <w:rPr>
          <w:lang w:val="uk-UA"/>
        </w:rPr>
        <w:t xml:space="preserve">з покриттям </w:t>
      </w:r>
      <w:r w:rsidRPr="0024327D">
        <w:rPr>
          <w:lang w:val="uk-UA"/>
        </w:rPr>
        <w:t>та сек</w:t>
      </w:r>
      <w:r w:rsidR="00AE1C52" w:rsidRPr="0024327D">
        <w:rPr>
          <w:lang w:val="uk-UA"/>
        </w:rPr>
        <w:t>’</w:t>
      </w:r>
      <w:r w:rsidRPr="0024327D">
        <w:rPr>
          <w:lang w:val="uk-UA"/>
        </w:rPr>
        <w:t xml:space="preserve">юритизації (наприклад, відсутність відповідної організаційно-правової форми для компанії спеціального призначення), а </w:t>
      </w:r>
      <w:r w:rsidR="00E512B6" w:rsidRPr="0024327D">
        <w:rPr>
          <w:lang w:val="uk-UA"/>
        </w:rPr>
        <w:t xml:space="preserve">інші стосуються конкретно </w:t>
      </w:r>
      <w:r w:rsidRPr="0024327D">
        <w:rPr>
          <w:lang w:val="uk-UA"/>
        </w:rPr>
        <w:t xml:space="preserve">облігацій </w:t>
      </w:r>
      <w:r w:rsidR="00193844" w:rsidRPr="0024327D">
        <w:rPr>
          <w:lang w:val="uk-UA"/>
        </w:rPr>
        <w:t xml:space="preserve">з покриттям </w:t>
      </w:r>
      <w:r w:rsidRPr="0024327D">
        <w:rPr>
          <w:lang w:val="uk-UA"/>
        </w:rPr>
        <w:t>(наприклад, режим нагляду).</w:t>
      </w:r>
    </w:p>
    <w:p w14:paraId="228F0BD0" w14:textId="19E25CD5" w:rsidR="00E512B6" w:rsidRPr="0024327D" w:rsidRDefault="00E512B6" w:rsidP="00E512B6">
      <w:pPr>
        <w:rPr>
          <w:lang w:val="uk-UA"/>
        </w:rPr>
      </w:pPr>
      <w:r w:rsidRPr="0024327D">
        <w:rPr>
          <w:lang w:val="uk-UA"/>
        </w:rPr>
        <w:t xml:space="preserve">Питання захисту інвесторів та внесення змін до законів про неплатоспроможність також обговорюються у </w:t>
      </w:r>
      <w:r w:rsidR="001730B4" w:rsidRPr="0024327D">
        <w:rPr>
          <w:lang w:val="uk-UA"/>
        </w:rPr>
        <w:t>Р</w:t>
      </w:r>
      <w:r w:rsidRPr="0024327D">
        <w:rPr>
          <w:lang w:val="uk-UA"/>
        </w:rPr>
        <w:t xml:space="preserve">озділі 4.4. А саме, обґрунтовується необхідність запровадження </w:t>
      </w:r>
      <w:r w:rsidR="001C27E9" w:rsidRPr="0024327D">
        <w:rPr>
          <w:lang w:val="uk-UA"/>
        </w:rPr>
        <w:t xml:space="preserve">спеціальних норм до законодавства про </w:t>
      </w:r>
      <w:r w:rsidRPr="0024327D">
        <w:rPr>
          <w:lang w:val="uk-UA"/>
        </w:rPr>
        <w:t>банкрутств</w:t>
      </w:r>
      <w:r w:rsidR="001C27E9" w:rsidRPr="0024327D">
        <w:rPr>
          <w:lang w:val="uk-UA"/>
        </w:rPr>
        <w:t>о</w:t>
      </w:r>
      <w:r w:rsidRPr="0024327D">
        <w:rPr>
          <w:lang w:val="uk-UA"/>
        </w:rPr>
        <w:t>, що стосуються сек</w:t>
      </w:r>
      <w:r w:rsidR="00AE1C52" w:rsidRPr="0024327D">
        <w:rPr>
          <w:lang w:val="uk-UA"/>
        </w:rPr>
        <w:t>’</w:t>
      </w:r>
      <w:r w:rsidRPr="0024327D">
        <w:rPr>
          <w:lang w:val="uk-UA"/>
        </w:rPr>
        <w:t>юритизації та облігацій</w:t>
      </w:r>
      <w:r w:rsidR="00193844" w:rsidRPr="0024327D">
        <w:rPr>
          <w:lang w:val="uk-UA"/>
        </w:rPr>
        <w:t xml:space="preserve"> з покриттям</w:t>
      </w:r>
      <w:r w:rsidRPr="0024327D">
        <w:rPr>
          <w:lang w:val="uk-UA"/>
        </w:rPr>
        <w:t xml:space="preserve">. Такі </w:t>
      </w:r>
      <w:r w:rsidR="001C27E9" w:rsidRPr="0024327D">
        <w:rPr>
          <w:lang w:val="uk-UA"/>
        </w:rPr>
        <w:t xml:space="preserve">норми </w:t>
      </w:r>
      <w:r w:rsidRPr="0024327D">
        <w:rPr>
          <w:lang w:val="uk-UA"/>
        </w:rPr>
        <w:t xml:space="preserve">повинні включати, серед іншого, запровадження </w:t>
      </w:r>
      <w:r w:rsidR="00193844" w:rsidRPr="0024327D">
        <w:rPr>
          <w:lang w:val="uk-UA"/>
        </w:rPr>
        <w:t xml:space="preserve">можливості </w:t>
      </w:r>
      <w:r w:rsidRPr="0024327D">
        <w:rPr>
          <w:lang w:val="uk-UA"/>
        </w:rPr>
        <w:t xml:space="preserve">поділу </w:t>
      </w:r>
      <w:r w:rsidR="00193844" w:rsidRPr="0024327D">
        <w:rPr>
          <w:lang w:val="uk-UA"/>
        </w:rPr>
        <w:t xml:space="preserve">облігацій </w:t>
      </w:r>
      <w:r w:rsidRPr="0024327D">
        <w:rPr>
          <w:lang w:val="uk-UA"/>
        </w:rPr>
        <w:t>на транші (розподіл облігацій на кілька траншів з різним пріоритетом виплат), договор</w:t>
      </w:r>
      <w:r w:rsidR="008850C4" w:rsidRPr="0024327D">
        <w:rPr>
          <w:lang w:val="uk-UA"/>
        </w:rPr>
        <w:t>и</w:t>
      </w:r>
      <w:r w:rsidRPr="0024327D">
        <w:rPr>
          <w:lang w:val="uk-UA"/>
        </w:rPr>
        <w:t xml:space="preserve"> між кредиторами (контракт</w:t>
      </w:r>
      <w:r w:rsidR="008850C4" w:rsidRPr="0024327D">
        <w:rPr>
          <w:lang w:val="uk-UA"/>
        </w:rPr>
        <w:t>и</w:t>
      </w:r>
      <w:r w:rsidRPr="0024327D">
        <w:rPr>
          <w:lang w:val="uk-UA"/>
        </w:rPr>
        <w:t xml:space="preserve"> між двома або більше кредиторами, що регулюють, відповідно, їх</w:t>
      </w:r>
      <w:r w:rsidR="004D00F5" w:rsidRPr="0024327D">
        <w:rPr>
          <w:lang w:val="uk-UA"/>
        </w:rPr>
        <w:t>ні</w:t>
      </w:r>
      <w:r w:rsidRPr="0024327D">
        <w:rPr>
          <w:lang w:val="uk-UA"/>
        </w:rPr>
        <w:t xml:space="preserve"> права та</w:t>
      </w:r>
      <w:r w:rsidR="004D00F5" w:rsidRPr="0024327D">
        <w:rPr>
          <w:lang w:val="uk-UA"/>
        </w:rPr>
        <w:t xml:space="preserve"> черговість задоволення їхніх вимог</w:t>
      </w:r>
      <w:r w:rsidRPr="0024327D">
        <w:rPr>
          <w:lang w:val="uk-UA"/>
        </w:rPr>
        <w:t xml:space="preserve">), </w:t>
      </w:r>
      <w:r w:rsidR="008850C4" w:rsidRPr="0024327D">
        <w:rPr>
          <w:lang w:val="uk-UA"/>
        </w:rPr>
        <w:t>захист компанії спеціального призначення від банкрутства</w:t>
      </w:r>
      <w:r w:rsidRPr="0024327D">
        <w:rPr>
          <w:lang w:val="uk-UA"/>
        </w:rPr>
        <w:t>, сегрегаці</w:t>
      </w:r>
      <w:r w:rsidR="008850C4" w:rsidRPr="0024327D">
        <w:rPr>
          <w:lang w:val="uk-UA"/>
        </w:rPr>
        <w:t>ю</w:t>
      </w:r>
      <w:r w:rsidRPr="0024327D">
        <w:rPr>
          <w:lang w:val="uk-UA"/>
        </w:rPr>
        <w:t xml:space="preserve"> </w:t>
      </w:r>
      <w:r w:rsidRPr="0024327D">
        <w:rPr>
          <w:lang w:val="uk-UA"/>
        </w:rPr>
        <w:lastRenderedPageBreak/>
        <w:t>активів (</w:t>
      </w:r>
      <w:r w:rsidR="00B55B5B" w:rsidRPr="0024327D">
        <w:rPr>
          <w:lang w:val="uk-UA"/>
        </w:rPr>
        <w:t>захист</w:t>
      </w:r>
      <w:r w:rsidRPr="0024327D">
        <w:rPr>
          <w:lang w:val="uk-UA"/>
        </w:rPr>
        <w:t xml:space="preserve"> та </w:t>
      </w:r>
      <w:r w:rsidR="008850C4" w:rsidRPr="0024327D">
        <w:rPr>
          <w:lang w:val="uk-UA"/>
        </w:rPr>
        <w:t xml:space="preserve">відокремлення </w:t>
      </w:r>
      <w:r w:rsidRPr="0024327D">
        <w:rPr>
          <w:lang w:val="uk-UA"/>
        </w:rPr>
        <w:t>різних пулів активів</w:t>
      </w:r>
      <w:r w:rsidR="008850C4" w:rsidRPr="0024327D">
        <w:rPr>
          <w:lang w:val="uk-UA"/>
        </w:rPr>
        <w:t xml:space="preserve"> для недопущення впливу дефолту за облігаціями, гарантованими одним пулом, на інший пул</w:t>
      </w:r>
      <w:r w:rsidRPr="0024327D">
        <w:rPr>
          <w:lang w:val="uk-UA"/>
        </w:rPr>
        <w:t xml:space="preserve">), обмеження </w:t>
      </w:r>
      <w:r w:rsidR="006514D6" w:rsidRPr="0024327D">
        <w:rPr>
          <w:lang w:val="uk-UA"/>
        </w:rPr>
        <w:t xml:space="preserve">застосування норм про </w:t>
      </w:r>
      <w:r w:rsidR="006A23DD" w:rsidRPr="0024327D">
        <w:rPr>
          <w:lang w:val="uk-UA"/>
        </w:rPr>
        <w:t xml:space="preserve">примусову конвертацію </w:t>
      </w:r>
      <w:r w:rsidR="00DB24C1" w:rsidRPr="0024327D">
        <w:rPr>
          <w:lang w:val="uk-UA"/>
        </w:rPr>
        <w:t xml:space="preserve">прав вимоги у капітал </w:t>
      </w:r>
      <w:r w:rsidR="006A23DD" w:rsidRPr="0024327D">
        <w:rPr>
          <w:lang w:val="uk-UA"/>
        </w:rPr>
        <w:t xml:space="preserve">у випадку </w:t>
      </w:r>
      <w:r w:rsidR="00DB24C1" w:rsidRPr="0024327D">
        <w:rPr>
          <w:lang w:val="uk-UA"/>
        </w:rPr>
        <w:t xml:space="preserve">неплатоспроможності </w:t>
      </w:r>
      <w:r w:rsidR="006A23DD" w:rsidRPr="0024327D">
        <w:rPr>
          <w:lang w:val="uk-UA"/>
        </w:rPr>
        <w:t>(bail-in)</w:t>
      </w:r>
      <w:r w:rsidR="006514D6" w:rsidRPr="0024327D">
        <w:rPr>
          <w:lang w:val="uk-UA"/>
        </w:rPr>
        <w:t>, а так</w:t>
      </w:r>
      <w:r w:rsidR="009D4448" w:rsidRPr="0024327D">
        <w:rPr>
          <w:lang w:val="uk-UA"/>
        </w:rPr>
        <w:t>о</w:t>
      </w:r>
      <w:r w:rsidR="006514D6" w:rsidRPr="0024327D">
        <w:rPr>
          <w:lang w:val="uk-UA"/>
        </w:rPr>
        <w:t xml:space="preserve">ж про визнання недійсними правочинів, що передували банкрутству </w:t>
      </w:r>
      <w:r w:rsidRPr="0024327D">
        <w:rPr>
          <w:lang w:val="uk-UA"/>
        </w:rPr>
        <w:t>тощо.</w:t>
      </w:r>
    </w:p>
    <w:p w14:paraId="1AAF674B" w14:textId="4929D435" w:rsidR="00C221BF" w:rsidRPr="0024327D" w:rsidRDefault="008850C4" w:rsidP="00C221BF">
      <w:pPr>
        <w:rPr>
          <w:lang w:val="uk-UA"/>
        </w:rPr>
      </w:pPr>
      <w:r w:rsidRPr="0024327D">
        <w:rPr>
          <w:lang w:val="uk-UA"/>
        </w:rPr>
        <w:t xml:space="preserve">Окрім елементів, </w:t>
      </w:r>
      <w:r w:rsidR="00FD0F67" w:rsidRPr="0024327D">
        <w:rPr>
          <w:lang w:val="uk-UA"/>
        </w:rPr>
        <w:t xml:space="preserve">притаманних </w:t>
      </w:r>
      <w:r w:rsidRPr="0024327D">
        <w:rPr>
          <w:lang w:val="uk-UA"/>
        </w:rPr>
        <w:t>сек</w:t>
      </w:r>
      <w:r w:rsidR="00AE1C52" w:rsidRPr="0024327D">
        <w:rPr>
          <w:lang w:val="uk-UA"/>
        </w:rPr>
        <w:t>’</w:t>
      </w:r>
      <w:r w:rsidRPr="0024327D">
        <w:rPr>
          <w:lang w:val="uk-UA"/>
        </w:rPr>
        <w:t xml:space="preserve">юритизації та </w:t>
      </w:r>
      <w:r w:rsidR="00FD0F67" w:rsidRPr="0024327D">
        <w:rPr>
          <w:lang w:val="uk-UA"/>
        </w:rPr>
        <w:t xml:space="preserve">трансакціям з </w:t>
      </w:r>
      <w:r w:rsidRPr="0024327D">
        <w:rPr>
          <w:lang w:val="uk-UA"/>
        </w:rPr>
        <w:t>облігаціями</w:t>
      </w:r>
      <w:r w:rsidR="00862AE7" w:rsidRPr="0024327D">
        <w:rPr>
          <w:lang w:val="uk-UA"/>
        </w:rPr>
        <w:t xml:space="preserve"> з покриттям</w:t>
      </w:r>
      <w:r w:rsidRPr="0024327D">
        <w:rPr>
          <w:lang w:val="uk-UA"/>
        </w:rPr>
        <w:t xml:space="preserve">, для успішного впровадження обох </w:t>
      </w:r>
      <w:r w:rsidR="00FD0F67" w:rsidRPr="0024327D">
        <w:rPr>
          <w:lang w:val="uk-UA"/>
        </w:rPr>
        <w:t xml:space="preserve">цих </w:t>
      </w:r>
      <w:r w:rsidRPr="0024327D">
        <w:rPr>
          <w:lang w:val="uk-UA"/>
        </w:rPr>
        <w:t xml:space="preserve">інструментів </w:t>
      </w:r>
      <w:r w:rsidR="001E7D9E" w:rsidRPr="0024327D">
        <w:rPr>
          <w:lang w:val="uk-UA"/>
        </w:rPr>
        <w:t xml:space="preserve">необхідно </w:t>
      </w:r>
      <w:r w:rsidR="00027FC7" w:rsidRPr="0024327D">
        <w:rPr>
          <w:lang w:val="uk-UA"/>
        </w:rPr>
        <w:t xml:space="preserve">запровадити </w:t>
      </w:r>
      <w:r w:rsidRPr="0024327D">
        <w:rPr>
          <w:lang w:val="uk-UA"/>
        </w:rPr>
        <w:t xml:space="preserve">спеціальну інфраструктуру та режим нагляду. Вони детально обговорюються </w:t>
      </w:r>
      <w:r w:rsidR="00FD0F67" w:rsidRPr="0024327D">
        <w:rPr>
          <w:lang w:val="uk-UA"/>
        </w:rPr>
        <w:t>у Розділі</w:t>
      </w:r>
      <w:r w:rsidRPr="0024327D">
        <w:rPr>
          <w:lang w:val="uk-UA"/>
        </w:rPr>
        <w:t xml:space="preserve"> 4.5. </w:t>
      </w:r>
      <w:r w:rsidR="00694948" w:rsidRPr="0024327D">
        <w:rPr>
          <w:lang w:val="uk-UA"/>
        </w:rPr>
        <w:t>У</w:t>
      </w:r>
      <w:r w:rsidR="00FD0F67" w:rsidRPr="0024327D">
        <w:rPr>
          <w:lang w:val="uk-UA"/>
        </w:rPr>
        <w:t xml:space="preserve"> Р</w:t>
      </w:r>
      <w:r w:rsidRPr="0024327D">
        <w:rPr>
          <w:lang w:val="uk-UA"/>
        </w:rPr>
        <w:t>озділ</w:t>
      </w:r>
      <w:r w:rsidR="00FD0F67" w:rsidRPr="0024327D">
        <w:rPr>
          <w:lang w:val="uk-UA"/>
        </w:rPr>
        <w:t>і</w:t>
      </w:r>
      <w:r w:rsidRPr="0024327D">
        <w:rPr>
          <w:lang w:val="uk-UA"/>
        </w:rPr>
        <w:t xml:space="preserve"> 4.6 </w:t>
      </w:r>
      <w:r w:rsidR="00FD0F67" w:rsidRPr="0024327D">
        <w:rPr>
          <w:lang w:val="uk-UA"/>
        </w:rPr>
        <w:t xml:space="preserve">представлені деякі </w:t>
      </w:r>
      <w:r w:rsidR="00F44429" w:rsidRPr="0024327D">
        <w:rPr>
          <w:lang w:val="uk-UA"/>
        </w:rPr>
        <w:t xml:space="preserve"> вимоги</w:t>
      </w:r>
      <w:r w:rsidR="00FD0F67" w:rsidRPr="0024327D">
        <w:rPr>
          <w:lang w:val="uk-UA"/>
        </w:rPr>
        <w:t xml:space="preserve"> </w:t>
      </w:r>
      <w:r w:rsidRPr="0024327D">
        <w:rPr>
          <w:lang w:val="uk-UA"/>
        </w:rPr>
        <w:t xml:space="preserve">щодо типів активів, </w:t>
      </w:r>
      <w:r w:rsidR="00FD0F67" w:rsidRPr="0024327D">
        <w:rPr>
          <w:lang w:val="uk-UA"/>
        </w:rPr>
        <w:t xml:space="preserve">які </w:t>
      </w:r>
      <w:r w:rsidR="00715E18" w:rsidRPr="0024327D">
        <w:rPr>
          <w:lang w:val="uk-UA"/>
        </w:rPr>
        <w:t xml:space="preserve">можуть використовуватись </w:t>
      </w:r>
      <w:r w:rsidR="00BA5FD8" w:rsidRPr="0024327D">
        <w:rPr>
          <w:lang w:val="uk-UA"/>
        </w:rPr>
        <w:t xml:space="preserve">в пулах </w:t>
      </w:r>
      <w:r w:rsidR="00FD0F67" w:rsidRPr="0024327D">
        <w:rPr>
          <w:lang w:val="uk-UA"/>
        </w:rPr>
        <w:t>облігаці</w:t>
      </w:r>
      <w:r w:rsidR="00F44429" w:rsidRPr="0024327D">
        <w:rPr>
          <w:lang w:val="uk-UA"/>
        </w:rPr>
        <w:t>й</w:t>
      </w:r>
      <w:r w:rsidR="00FD0F67" w:rsidRPr="0024327D">
        <w:rPr>
          <w:lang w:val="uk-UA"/>
        </w:rPr>
        <w:t xml:space="preserve"> </w:t>
      </w:r>
      <w:r w:rsidR="00BA5FD8" w:rsidRPr="0024327D">
        <w:rPr>
          <w:lang w:val="uk-UA"/>
        </w:rPr>
        <w:t xml:space="preserve">з покриттям </w:t>
      </w:r>
      <w:r w:rsidR="00FD0F67" w:rsidRPr="0024327D">
        <w:rPr>
          <w:lang w:val="uk-UA"/>
        </w:rPr>
        <w:t xml:space="preserve">та сек’юритизації в Україні, та </w:t>
      </w:r>
      <w:r w:rsidR="007D518B" w:rsidRPr="0024327D">
        <w:rPr>
          <w:lang w:val="uk-UA"/>
        </w:rPr>
        <w:t>оригін</w:t>
      </w:r>
      <w:r w:rsidR="00F25CD9" w:rsidRPr="0024327D">
        <w:rPr>
          <w:lang w:val="uk-UA"/>
        </w:rPr>
        <w:t>аторів</w:t>
      </w:r>
      <w:r w:rsidR="00FD0F67" w:rsidRPr="0024327D">
        <w:rPr>
          <w:lang w:val="uk-UA"/>
        </w:rPr>
        <w:t xml:space="preserve">, які, як очікується, братимуть участь у таких </w:t>
      </w:r>
      <w:r w:rsidR="00B55B5B" w:rsidRPr="0024327D">
        <w:rPr>
          <w:lang w:val="uk-UA"/>
        </w:rPr>
        <w:t>трансакціях в Україні.</w:t>
      </w:r>
    </w:p>
    <w:p w14:paraId="692722A9" w14:textId="020C402B" w:rsidR="00FD0F67" w:rsidRPr="0024327D" w:rsidRDefault="00D24276" w:rsidP="002918A1">
      <w:pPr>
        <w:rPr>
          <w:lang w:val="uk-UA"/>
        </w:rPr>
      </w:pPr>
      <w:r w:rsidRPr="0024327D">
        <w:rPr>
          <w:lang w:val="uk-UA"/>
        </w:rPr>
        <w:t>У</w:t>
      </w:r>
      <w:r w:rsidR="00FD0F67" w:rsidRPr="0024327D">
        <w:rPr>
          <w:lang w:val="uk-UA"/>
        </w:rPr>
        <w:t xml:space="preserve"> Розділі 5 стисло окреслені подальші кроки, необхідні для успішного впровадження облігацій </w:t>
      </w:r>
      <w:r w:rsidR="004E2F81" w:rsidRPr="0024327D">
        <w:rPr>
          <w:lang w:val="uk-UA"/>
        </w:rPr>
        <w:t xml:space="preserve">з покриттям </w:t>
      </w:r>
      <w:r w:rsidR="00FD0F67" w:rsidRPr="0024327D">
        <w:rPr>
          <w:lang w:val="uk-UA"/>
        </w:rPr>
        <w:t>та сек</w:t>
      </w:r>
      <w:r w:rsidR="00AE1C52" w:rsidRPr="0024327D">
        <w:rPr>
          <w:lang w:val="uk-UA"/>
        </w:rPr>
        <w:t>’</w:t>
      </w:r>
      <w:r w:rsidR="00FD0F67" w:rsidRPr="0024327D">
        <w:rPr>
          <w:lang w:val="uk-UA"/>
        </w:rPr>
        <w:t xml:space="preserve">юритизації в Україні. Розглянуті кроки включають підвищення поінформованості </w:t>
      </w:r>
      <w:r w:rsidR="008B3403" w:rsidRPr="0024327D">
        <w:rPr>
          <w:lang w:val="uk-UA"/>
        </w:rPr>
        <w:t>представників державних органів</w:t>
      </w:r>
      <w:r w:rsidR="00A55AD0" w:rsidRPr="0024327D">
        <w:rPr>
          <w:lang w:val="uk-UA"/>
        </w:rPr>
        <w:t xml:space="preserve"> та інших зацікавлених сторін</w:t>
      </w:r>
      <w:r w:rsidR="008B3403" w:rsidRPr="0024327D">
        <w:rPr>
          <w:lang w:val="uk-UA"/>
        </w:rPr>
        <w:t xml:space="preserve"> </w:t>
      </w:r>
      <w:r w:rsidR="00FD0F67" w:rsidRPr="0024327D">
        <w:rPr>
          <w:lang w:val="uk-UA"/>
        </w:rPr>
        <w:t>щодо змісту та переваг сек</w:t>
      </w:r>
      <w:r w:rsidR="00AE1C52" w:rsidRPr="0024327D">
        <w:rPr>
          <w:lang w:val="uk-UA"/>
        </w:rPr>
        <w:t>’</w:t>
      </w:r>
      <w:r w:rsidR="00FD0F67" w:rsidRPr="0024327D">
        <w:rPr>
          <w:lang w:val="uk-UA"/>
        </w:rPr>
        <w:t xml:space="preserve">юритизації та облігацій </w:t>
      </w:r>
      <w:r w:rsidR="008B3403" w:rsidRPr="0024327D">
        <w:rPr>
          <w:lang w:val="uk-UA"/>
        </w:rPr>
        <w:t xml:space="preserve">з покриттям </w:t>
      </w:r>
      <w:r w:rsidR="00C221BF" w:rsidRPr="0024327D">
        <w:rPr>
          <w:lang w:val="uk-UA"/>
        </w:rPr>
        <w:t xml:space="preserve">з метою </w:t>
      </w:r>
      <w:r w:rsidR="002A5295" w:rsidRPr="0024327D">
        <w:rPr>
          <w:lang w:val="uk-UA"/>
        </w:rPr>
        <w:t>запобігання</w:t>
      </w:r>
      <w:r w:rsidR="00EE7112" w:rsidRPr="0024327D">
        <w:rPr>
          <w:lang w:val="uk-UA"/>
        </w:rPr>
        <w:t xml:space="preserve"> </w:t>
      </w:r>
      <w:r w:rsidR="00F50C83" w:rsidRPr="0024327D">
        <w:rPr>
          <w:lang w:val="uk-UA"/>
        </w:rPr>
        <w:t xml:space="preserve">упередженого </w:t>
      </w:r>
      <w:r w:rsidR="007323AE" w:rsidRPr="0024327D">
        <w:rPr>
          <w:lang w:val="uk-UA"/>
        </w:rPr>
        <w:t>сприйняття</w:t>
      </w:r>
      <w:r w:rsidR="00225A6C" w:rsidRPr="0024327D">
        <w:rPr>
          <w:lang w:val="uk-UA"/>
        </w:rPr>
        <w:t>;</w:t>
      </w:r>
      <w:r w:rsidR="00FD0F67" w:rsidRPr="0024327D">
        <w:rPr>
          <w:lang w:val="uk-UA"/>
        </w:rPr>
        <w:t xml:space="preserve"> впровадження певних </w:t>
      </w:r>
      <w:r w:rsidR="00E254EF" w:rsidRPr="0024327D">
        <w:rPr>
          <w:lang w:val="uk-UA"/>
        </w:rPr>
        <w:t xml:space="preserve">додаткових </w:t>
      </w:r>
      <w:r w:rsidR="00FD0F67" w:rsidRPr="0024327D">
        <w:rPr>
          <w:lang w:val="uk-UA"/>
        </w:rPr>
        <w:t xml:space="preserve">правил, які повинні залишатися гнучкими, </w:t>
      </w:r>
      <w:r w:rsidR="00C221BF" w:rsidRPr="0024327D">
        <w:rPr>
          <w:lang w:val="uk-UA"/>
        </w:rPr>
        <w:t>у формі підзаконних актів</w:t>
      </w:r>
      <w:r w:rsidR="00E254EF" w:rsidRPr="0024327D">
        <w:rPr>
          <w:lang w:val="uk-UA"/>
        </w:rPr>
        <w:t>;</w:t>
      </w:r>
      <w:r w:rsidR="00FD0F67" w:rsidRPr="0024327D">
        <w:rPr>
          <w:lang w:val="uk-UA"/>
        </w:rPr>
        <w:t xml:space="preserve"> </w:t>
      </w:r>
      <w:r w:rsidR="00C221BF" w:rsidRPr="0024327D">
        <w:rPr>
          <w:lang w:val="uk-UA"/>
        </w:rPr>
        <w:t xml:space="preserve">визначення </w:t>
      </w:r>
      <w:r w:rsidR="00FD0F67" w:rsidRPr="0024327D">
        <w:rPr>
          <w:lang w:val="uk-UA"/>
        </w:rPr>
        <w:t xml:space="preserve">та </w:t>
      </w:r>
      <w:r w:rsidR="00C221BF" w:rsidRPr="0024327D">
        <w:rPr>
          <w:lang w:val="uk-UA"/>
        </w:rPr>
        <w:t xml:space="preserve">врахування </w:t>
      </w:r>
      <w:r w:rsidR="000C0161" w:rsidRPr="0024327D">
        <w:rPr>
          <w:lang w:val="uk-UA"/>
        </w:rPr>
        <w:t xml:space="preserve">зауважень </w:t>
      </w:r>
      <w:r w:rsidR="00FD0F67" w:rsidRPr="0024327D">
        <w:rPr>
          <w:lang w:val="uk-UA"/>
        </w:rPr>
        <w:t>іноземних інвесторів. Ці кроки ґрунтуються на досвіді деяких інших юрисдикцій, в яких не</w:t>
      </w:r>
      <w:r w:rsidR="00C221BF" w:rsidRPr="0024327D">
        <w:rPr>
          <w:lang w:val="uk-UA"/>
        </w:rPr>
        <w:t xml:space="preserve"> так давно </w:t>
      </w:r>
      <w:r w:rsidR="00FD0F67" w:rsidRPr="0024327D">
        <w:rPr>
          <w:lang w:val="uk-UA"/>
        </w:rPr>
        <w:t>відбулися подібні реформи.</w:t>
      </w:r>
      <w:r w:rsidR="007C57AC" w:rsidRPr="0024327D">
        <w:rPr>
          <w:lang w:val="uk-UA"/>
        </w:rPr>
        <w:t xml:space="preserve"> </w:t>
      </w:r>
      <w:r w:rsidR="002918A1" w:rsidRPr="0024327D">
        <w:rPr>
          <w:lang w:val="uk-UA"/>
        </w:rPr>
        <w:t>В Україні також необхідно буде враховувати пріоритети п</w:t>
      </w:r>
      <w:r w:rsidR="00CF2F67" w:rsidRPr="0024327D">
        <w:rPr>
          <w:lang w:val="uk-UA"/>
        </w:rPr>
        <w:t>ісляво</w:t>
      </w:r>
      <w:r w:rsidR="002918A1" w:rsidRPr="0024327D">
        <w:rPr>
          <w:lang w:val="uk-UA"/>
        </w:rPr>
        <w:t>єнного періоду.</w:t>
      </w:r>
    </w:p>
    <w:p w14:paraId="3A0AD7CC" w14:textId="2667AC96" w:rsidR="00C221BF" w:rsidRPr="0024327D" w:rsidRDefault="00C221BF" w:rsidP="00785ED0">
      <w:pPr>
        <w:rPr>
          <w:lang w:val="uk-UA"/>
        </w:rPr>
      </w:pPr>
      <w:r w:rsidRPr="0024327D">
        <w:rPr>
          <w:lang w:val="uk-UA"/>
        </w:rPr>
        <w:t xml:space="preserve">Для одержання більш детальної інформації з питань, </w:t>
      </w:r>
      <w:r w:rsidR="00BB4AE1" w:rsidRPr="0024327D">
        <w:rPr>
          <w:lang w:val="uk-UA"/>
        </w:rPr>
        <w:t xml:space="preserve">викладених </w:t>
      </w:r>
      <w:r w:rsidRPr="0024327D">
        <w:rPr>
          <w:lang w:val="uk-UA"/>
        </w:rPr>
        <w:t xml:space="preserve">у цьому документі, у тому числі переліку </w:t>
      </w:r>
      <w:r w:rsidR="00486118" w:rsidRPr="0024327D">
        <w:rPr>
          <w:lang w:val="uk-UA"/>
        </w:rPr>
        <w:t xml:space="preserve">актів </w:t>
      </w:r>
      <w:r w:rsidRPr="0024327D">
        <w:rPr>
          <w:lang w:val="uk-UA"/>
        </w:rPr>
        <w:t>закон</w:t>
      </w:r>
      <w:r w:rsidR="00486118" w:rsidRPr="0024327D">
        <w:rPr>
          <w:lang w:val="uk-UA"/>
        </w:rPr>
        <w:t>одавства</w:t>
      </w:r>
      <w:r w:rsidRPr="0024327D">
        <w:rPr>
          <w:lang w:val="uk-UA"/>
        </w:rPr>
        <w:t xml:space="preserve"> ЄС та </w:t>
      </w:r>
      <w:r w:rsidR="00C5347F" w:rsidRPr="0024327D">
        <w:rPr>
          <w:lang w:val="uk-UA"/>
        </w:rPr>
        <w:t>кращого досвіду держав</w:t>
      </w:r>
      <w:r w:rsidR="00373F95" w:rsidRPr="0024327D">
        <w:rPr>
          <w:lang w:val="uk-UA"/>
        </w:rPr>
        <w:t xml:space="preserve"> </w:t>
      </w:r>
      <w:r w:rsidRPr="0024327D">
        <w:rPr>
          <w:lang w:val="uk-UA"/>
        </w:rPr>
        <w:t xml:space="preserve">ЄС, стислого опису процесу законотворчості у ЄС, огляду рекомендацій </w:t>
      </w:r>
      <w:r w:rsidR="00EE4778" w:rsidRPr="0024327D">
        <w:rPr>
          <w:lang w:val="uk-UA"/>
        </w:rPr>
        <w:t>Європейської служби банківського нагляду</w:t>
      </w:r>
      <w:r w:rsidR="00461983" w:rsidRPr="0024327D">
        <w:rPr>
          <w:lang w:val="uk-UA"/>
        </w:rPr>
        <w:t xml:space="preserve"> (EBA) </w:t>
      </w:r>
      <w:r w:rsidRPr="0024327D">
        <w:rPr>
          <w:lang w:val="uk-UA"/>
        </w:rPr>
        <w:t xml:space="preserve">та альтернативних моделей трансакцій з </w:t>
      </w:r>
      <w:r w:rsidR="00645A85" w:rsidRPr="0024327D">
        <w:rPr>
          <w:lang w:val="uk-UA"/>
        </w:rPr>
        <w:t>облігаціями з покриттям</w:t>
      </w:r>
      <w:r w:rsidRPr="0024327D">
        <w:rPr>
          <w:lang w:val="uk-UA"/>
        </w:rPr>
        <w:t xml:space="preserve"> див. </w:t>
      </w:r>
      <w:r w:rsidR="00F7714B" w:rsidRPr="0024327D">
        <w:rPr>
          <w:lang w:val="uk-UA"/>
        </w:rPr>
        <w:t>д</w:t>
      </w:r>
      <w:r w:rsidRPr="0024327D">
        <w:rPr>
          <w:lang w:val="uk-UA"/>
        </w:rPr>
        <w:t>одатки до цього документа.</w:t>
      </w:r>
    </w:p>
    <w:p w14:paraId="3D25C089" w14:textId="2B6F9C04" w:rsidR="00C26436" w:rsidRPr="0024327D" w:rsidRDefault="00C221BF" w:rsidP="0066169C">
      <w:pPr>
        <w:pStyle w:val="1"/>
        <w:rPr>
          <w:lang w:val="uk-UA"/>
        </w:rPr>
      </w:pPr>
      <w:bookmarkStart w:id="2" w:name="_Toc95480963"/>
      <w:r w:rsidRPr="0024327D">
        <w:rPr>
          <w:lang w:val="uk-UA"/>
        </w:rPr>
        <w:lastRenderedPageBreak/>
        <w:t>Вступ</w:t>
      </w:r>
      <w:bookmarkEnd w:id="2"/>
    </w:p>
    <w:p w14:paraId="23D4DEA1" w14:textId="7254AFA9" w:rsidR="002D2167" w:rsidRPr="0024327D" w:rsidRDefault="00C221BF" w:rsidP="000E107C">
      <w:pPr>
        <w:pStyle w:val="2"/>
        <w:rPr>
          <w:lang w:val="uk-UA"/>
        </w:rPr>
      </w:pPr>
      <w:bookmarkStart w:id="3" w:name="_Toc95480964"/>
      <w:bookmarkStart w:id="4" w:name="_Toc6942229"/>
      <w:bookmarkStart w:id="5" w:name="_Toc5081017"/>
      <w:r w:rsidRPr="0024327D">
        <w:rPr>
          <w:lang w:val="uk-UA"/>
        </w:rPr>
        <w:t xml:space="preserve">Потенційні вигоди від запровадження сек’юритизації та облігацій </w:t>
      </w:r>
      <w:r w:rsidR="00F7714B" w:rsidRPr="0024327D">
        <w:rPr>
          <w:lang w:val="uk-UA"/>
        </w:rPr>
        <w:t xml:space="preserve">з покриттям </w:t>
      </w:r>
      <w:r w:rsidRPr="0024327D">
        <w:rPr>
          <w:lang w:val="uk-UA"/>
        </w:rPr>
        <w:t>в Україні</w:t>
      </w:r>
      <w:bookmarkEnd w:id="3"/>
    </w:p>
    <w:p w14:paraId="03EDE73B" w14:textId="13CD34F7" w:rsidR="00FD4FD5" w:rsidRPr="0024327D" w:rsidRDefault="00F7627A" w:rsidP="007935A5">
      <w:pPr>
        <w:rPr>
          <w:lang w:val="uk-UA"/>
        </w:rPr>
      </w:pPr>
      <w:r w:rsidRPr="0024327D">
        <w:rPr>
          <w:lang w:val="uk-UA"/>
        </w:rPr>
        <w:t>Як свідчить досвід країн, що розвиваються, запровадження сек</w:t>
      </w:r>
      <w:r w:rsidR="00AE1C52" w:rsidRPr="0024327D">
        <w:rPr>
          <w:lang w:val="uk-UA"/>
        </w:rPr>
        <w:t>’</w:t>
      </w:r>
      <w:r w:rsidRPr="0024327D">
        <w:rPr>
          <w:lang w:val="uk-UA"/>
        </w:rPr>
        <w:t xml:space="preserve">юритизації та облігацій </w:t>
      </w:r>
      <w:r w:rsidR="009F3BF3" w:rsidRPr="0024327D">
        <w:rPr>
          <w:lang w:val="uk-UA"/>
        </w:rPr>
        <w:t xml:space="preserve">з покриттям </w:t>
      </w:r>
      <w:r w:rsidRPr="0024327D">
        <w:rPr>
          <w:lang w:val="uk-UA"/>
        </w:rPr>
        <w:t xml:space="preserve">може бути корисним для вирішення низки питань, з якими, як правило, стикаються </w:t>
      </w:r>
      <w:r w:rsidR="004D2A27" w:rsidRPr="0024327D">
        <w:rPr>
          <w:lang w:val="uk-UA"/>
        </w:rPr>
        <w:t xml:space="preserve">такі </w:t>
      </w:r>
      <w:r w:rsidR="00B55B5B" w:rsidRPr="0024327D">
        <w:rPr>
          <w:lang w:val="uk-UA"/>
        </w:rPr>
        <w:t>країни</w:t>
      </w:r>
      <w:r w:rsidR="004D2A27" w:rsidRPr="0024327D">
        <w:rPr>
          <w:lang w:val="uk-UA"/>
        </w:rPr>
        <w:t>.</w:t>
      </w:r>
      <w:r w:rsidR="007935A5" w:rsidRPr="0024327D">
        <w:rPr>
          <w:lang w:val="uk-UA"/>
        </w:rPr>
        <w:t xml:space="preserve"> </w:t>
      </w:r>
    </w:p>
    <w:p w14:paraId="05C81846" w14:textId="39DACA97" w:rsidR="00F7627A" w:rsidRPr="0024327D" w:rsidRDefault="005146D2" w:rsidP="007935A5">
      <w:pPr>
        <w:rPr>
          <w:lang w:val="uk-UA"/>
        </w:rPr>
      </w:pPr>
      <w:r w:rsidRPr="0024327D">
        <w:rPr>
          <w:lang w:val="uk-UA"/>
        </w:rPr>
        <w:t xml:space="preserve">Наприклад, </w:t>
      </w:r>
      <w:r w:rsidR="00F7627A" w:rsidRPr="0024327D">
        <w:rPr>
          <w:lang w:val="uk-UA"/>
        </w:rPr>
        <w:t xml:space="preserve">вартість капіталу в Україні, як і в інших країнах, що розвиваються, </w:t>
      </w:r>
      <w:r w:rsidR="00F039EA" w:rsidRPr="0024327D">
        <w:rPr>
          <w:lang w:val="uk-UA"/>
        </w:rPr>
        <w:t xml:space="preserve">була </w:t>
      </w:r>
      <w:r w:rsidR="00F7627A" w:rsidRPr="0024327D">
        <w:rPr>
          <w:lang w:val="uk-UA"/>
        </w:rPr>
        <w:t>досить</w:t>
      </w:r>
      <w:r w:rsidR="004A17FA" w:rsidRPr="0024327D">
        <w:rPr>
          <w:lang w:val="uk-UA"/>
        </w:rPr>
        <w:t xml:space="preserve"> високою</w:t>
      </w:r>
      <w:r w:rsidR="00F7627A" w:rsidRPr="0024327D">
        <w:rPr>
          <w:lang w:val="uk-UA"/>
        </w:rPr>
        <w:t xml:space="preserve">, а доступність фінансування </w:t>
      </w:r>
      <w:r w:rsidR="00F039EA" w:rsidRPr="0024327D">
        <w:rPr>
          <w:lang w:val="uk-UA"/>
        </w:rPr>
        <w:t xml:space="preserve">– </w:t>
      </w:r>
      <w:r w:rsidR="00F7627A" w:rsidRPr="0024327D">
        <w:rPr>
          <w:lang w:val="uk-UA"/>
        </w:rPr>
        <w:t xml:space="preserve">досить </w:t>
      </w:r>
      <w:r w:rsidR="004A17FA" w:rsidRPr="0024327D">
        <w:rPr>
          <w:lang w:val="uk-UA"/>
        </w:rPr>
        <w:t>низькою</w:t>
      </w:r>
      <w:r w:rsidR="00F7627A" w:rsidRPr="0024327D">
        <w:rPr>
          <w:lang w:val="uk-UA"/>
        </w:rPr>
        <w:t xml:space="preserve">, зокрема, через </w:t>
      </w:r>
      <w:r w:rsidR="000A5074" w:rsidRPr="0024327D">
        <w:rPr>
          <w:lang w:val="uk-UA"/>
        </w:rPr>
        <w:t xml:space="preserve">негативний </w:t>
      </w:r>
      <w:r w:rsidR="00F7627A" w:rsidRPr="0024327D">
        <w:rPr>
          <w:lang w:val="uk-UA"/>
        </w:rPr>
        <w:t>історичний досвід, що стосується судової системи та правосуддя, інфляці</w:t>
      </w:r>
      <w:r w:rsidR="00756F78" w:rsidRPr="0024327D">
        <w:rPr>
          <w:lang w:val="uk-UA"/>
        </w:rPr>
        <w:t>ї</w:t>
      </w:r>
      <w:r w:rsidR="00F7627A" w:rsidRPr="0024327D">
        <w:rPr>
          <w:lang w:val="uk-UA"/>
        </w:rPr>
        <w:t>, політичн</w:t>
      </w:r>
      <w:r w:rsidR="00756F78" w:rsidRPr="0024327D">
        <w:rPr>
          <w:lang w:val="uk-UA"/>
        </w:rPr>
        <w:t>ої</w:t>
      </w:r>
      <w:r w:rsidR="00F7627A" w:rsidRPr="0024327D">
        <w:rPr>
          <w:lang w:val="uk-UA"/>
        </w:rPr>
        <w:t xml:space="preserve"> нестабільн</w:t>
      </w:r>
      <w:r w:rsidR="00756F78" w:rsidRPr="0024327D">
        <w:rPr>
          <w:lang w:val="uk-UA"/>
        </w:rPr>
        <w:t>о</w:t>
      </w:r>
      <w:r w:rsidR="00F7627A" w:rsidRPr="0024327D">
        <w:rPr>
          <w:lang w:val="uk-UA"/>
        </w:rPr>
        <w:t>ст</w:t>
      </w:r>
      <w:r w:rsidR="00756F78" w:rsidRPr="0024327D">
        <w:rPr>
          <w:lang w:val="uk-UA"/>
        </w:rPr>
        <w:t>і</w:t>
      </w:r>
      <w:r w:rsidR="00F7627A" w:rsidRPr="0024327D">
        <w:rPr>
          <w:lang w:val="uk-UA"/>
        </w:rPr>
        <w:t xml:space="preserve"> та різк</w:t>
      </w:r>
      <w:r w:rsidR="00756F78" w:rsidRPr="0024327D">
        <w:rPr>
          <w:lang w:val="uk-UA"/>
        </w:rPr>
        <w:t>их</w:t>
      </w:r>
      <w:r w:rsidR="00F7627A" w:rsidRPr="0024327D">
        <w:rPr>
          <w:lang w:val="uk-UA"/>
        </w:rPr>
        <w:t xml:space="preserve"> коливан</w:t>
      </w:r>
      <w:r w:rsidR="00756F78" w:rsidRPr="0024327D">
        <w:rPr>
          <w:lang w:val="uk-UA"/>
        </w:rPr>
        <w:t>ь</w:t>
      </w:r>
      <w:r w:rsidR="00F7627A" w:rsidRPr="0024327D">
        <w:rPr>
          <w:lang w:val="uk-UA"/>
        </w:rPr>
        <w:t xml:space="preserve"> курсу національної валют</w:t>
      </w:r>
      <w:r w:rsidR="00B55B5B" w:rsidRPr="0024327D">
        <w:rPr>
          <w:lang w:val="uk-UA"/>
        </w:rPr>
        <w:t>и</w:t>
      </w:r>
      <w:r w:rsidR="00F7627A" w:rsidRPr="0024327D">
        <w:rPr>
          <w:lang w:val="uk-UA"/>
        </w:rPr>
        <w:t xml:space="preserve">. Крім того, </w:t>
      </w:r>
      <w:r w:rsidR="005871D9" w:rsidRPr="0024327D">
        <w:rPr>
          <w:lang w:val="uk-UA"/>
        </w:rPr>
        <w:t xml:space="preserve">оскільки до </w:t>
      </w:r>
      <w:r w:rsidR="002943FD" w:rsidRPr="0024327D">
        <w:rPr>
          <w:lang w:val="uk-UA"/>
        </w:rPr>
        <w:t xml:space="preserve">початку повномасштабного російського вторгнення </w:t>
      </w:r>
      <w:r w:rsidR="00F7627A" w:rsidRPr="0024327D">
        <w:rPr>
          <w:lang w:val="uk-UA"/>
        </w:rPr>
        <w:t xml:space="preserve">суверенний кредитний рейтинг України </w:t>
      </w:r>
      <w:r w:rsidR="002943FD" w:rsidRPr="0024327D">
        <w:rPr>
          <w:lang w:val="uk-UA"/>
        </w:rPr>
        <w:t xml:space="preserve">був спекулятивним, </w:t>
      </w:r>
      <w:r w:rsidR="00F7627A" w:rsidRPr="0024327D">
        <w:rPr>
          <w:lang w:val="uk-UA"/>
        </w:rPr>
        <w:t xml:space="preserve">кількість потенційних інвесторів в українську економіку </w:t>
      </w:r>
      <w:r w:rsidR="007964D9" w:rsidRPr="0024327D">
        <w:rPr>
          <w:lang w:val="uk-UA"/>
        </w:rPr>
        <w:t>залишалася</w:t>
      </w:r>
      <w:r w:rsidR="002943FD" w:rsidRPr="0024327D">
        <w:rPr>
          <w:lang w:val="uk-UA"/>
        </w:rPr>
        <w:t xml:space="preserve"> </w:t>
      </w:r>
      <w:r w:rsidR="00F7627A" w:rsidRPr="0024327D">
        <w:rPr>
          <w:lang w:val="uk-UA"/>
        </w:rPr>
        <w:t>обмежен</w:t>
      </w:r>
      <w:r w:rsidR="002943FD" w:rsidRPr="0024327D">
        <w:rPr>
          <w:lang w:val="uk-UA"/>
        </w:rPr>
        <w:t>ою</w:t>
      </w:r>
      <w:r w:rsidR="00F7627A" w:rsidRPr="0024327D">
        <w:rPr>
          <w:lang w:val="uk-UA"/>
        </w:rPr>
        <w:t>.</w:t>
      </w:r>
      <w:r w:rsidR="00BC1889" w:rsidRPr="0024327D">
        <w:rPr>
          <w:rStyle w:val="af2"/>
          <w:lang w:val="uk-UA"/>
        </w:rPr>
        <w:footnoteReference w:id="3"/>
      </w:r>
      <w:r w:rsidR="00F7627A" w:rsidRPr="0024327D">
        <w:rPr>
          <w:lang w:val="uk-UA"/>
        </w:rPr>
        <w:t xml:space="preserve"> На цьому тлі сек</w:t>
      </w:r>
      <w:r w:rsidR="00AE1C52" w:rsidRPr="0024327D">
        <w:rPr>
          <w:lang w:val="uk-UA"/>
        </w:rPr>
        <w:t>’</w:t>
      </w:r>
      <w:r w:rsidR="00F7627A" w:rsidRPr="0024327D">
        <w:rPr>
          <w:lang w:val="uk-UA"/>
        </w:rPr>
        <w:t xml:space="preserve">юритизація </w:t>
      </w:r>
      <w:r w:rsidR="00AE1C52" w:rsidRPr="0024327D">
        <w:rPr>
          <w:lang w:val="uk-UA"/>
        </w:rPr>
        <w:t xml:space="preserve">та випуск облігацій з покриттям </w:t>
      </w:r>
      <w:r w:rsidR="00F7627A" w:rsidRPr="0024327D">
        <w:rPr>
          <w:lang w:val="uk-UA"/>
        </w:rPr>
        <w:t>мож</w:t>
      </w:r>
      <w:r w:rsidR="00AE1C52" w:rsidRPr="0024327D">
        <w:rPr>
          <w:lang w:val="uk-UA"/>
        </w:rPr>
        <w:t>уть</w:t>
      </w:r>
      <w:r w:rsidR="00F7627A" w:rsidRPr="0024327D">
        <w:rPr>
          <w:lang w:val="uk-UA"/>
        </w:rPr>
        <w:t xml:space="preserve"> с</w:t>
      </w:r>
      <w:r w:rsidR="000452A0" w:rsidRPr="0024327D">
        <w:rPr>
          <w:lang w:val="uk-UA"/>
        </w:rPr>
        <w:t xml:space="preserve">тати </w:t>
      </w:r>
      <w:r w:rsidR="00F7627A" w:rsidRPr="0024327D">
        <w:rPr>
          <w:lang w:val="uk-UA"/>
        </w:rPr>
        <w:t xml:space="preserve">альтернативним способом залучення фінансування. Завдяки </w:t>
      </w:r>
      <w:r w:rsidR="000763B3" w:rsidRPr="0024327D">
        <w:rPr>
          <w:lang w:val="uk-UA"/>
        </w:rPr>
        <w:t xml:space="preserve">їхній </w:t>
      </w:r>
      <w:r w:rsidR="00F7627A" w:rsidRPr="0024327D">
        <w:rPr>
          <w:lang w:val="uk-UA"/>
        </w:rPr>
        <w:t xml:space="preserve">структурі, </w:t>
      </w:r>
      <w:r w:rsidR="000452A0" w:rsidRPr="0024327D">
        <w:rPr>
          <w:lang w:val="uk-UA"/>
        </w:rPr>
        <w:t xml:space="preserve">що </w:t>
      </w:r>
      <w:r w:rsidR="00F7627A" w:rsidRPr="0024327D">
        <w:rPr>
          <w:lang w:val="uk-UA"/>
        </w:rPr>
        <w:t xml:space="preserve">включає </w:t>
      </w:r>
      <w:r w:rsidR="000452A0" w:rsidRPr="0024327D">
        <w:rPr>
          <w:lang w:val="uk-UA"/>
        </w:rPr>
        <w:t xml:space="preserve">компанію спеціального призначення, </w:t>
      </w:r>
      <w:r w:rsidR="00373C35" w:rsidRPr="0024327D">
        <w:rPr>
          <w:lang w:val="uk-UA"/>
        </w:rPr>
        <w:t xml:space="preserve">режим функціонування якої передбачає </w:t>
      </w:r>
      <w:r w:rsidR="00A4246F" w:rsidRPr="0024327D">
        <w:rPr>
          <w:lang w:val="uk-UA"/>
        </w:rPr>
        <w:t>мін</w:t>
      </w:r>
      <w:r w:rsidR="00756F78" w:rsidRPr="0024327D">
        <w:rPr>
          <w:lang w:val="uk-UA"/>
        </w:rPr>
        <w:t>і</w:t>
      </w:r>
      <w:r w:rsidR="00A4246F" w:rsidRPr="0024327D">
        <w:rPr>
          <w:lang w:val="uk-UA"/>
        </w:rPr>
        <w:t>мізацію ризику банкру</w:t>
      </w:r>
      <w:r w:rsidR="00756F78" w:rsidRPr="0024327D">
        <w:rPr>
          <w:lang w:val="uk-UA"/>
        </w:rPr>
        <w:t>т</w:t>
      </w:r>
      <w:r w:rsidR="00A4246F" w:rsidRPr="0024327D">
        <w:rPr>
          <w:lang w:val="uk-UA"/>
        </w:rPr>
        <w:t>ства</w:t>
      </w:r>
      <w:r w:rsidR="00F7627A" w:rsidRPr="0024327D">
        <w:rPr>
          <w:lang w:val="uk-UA"/>
        </w:rPr>
        <w:t xml:space="preserve">, та </w:t>
      </w:r>
      <w:r w:rsidR="007F4361" w:rsidRPr="0024327D">
        <w:rPr>
          <w:lang w:val="uk-UA"/>
        </w:rPr>
        <w:t xml:space="preserve">відокремлений </w:t>
      </w:r>
      <w:r w:rsidR="000452A0" w:rsidRPr="0024327D">
        <w:rPr>
          <w:lang w:val="uk-UA"/>
        </w:rPr>
        <w:t xml:space="preserve">пул </w:t>
      </w:r>
      <w:r w:rsidR="00F7627A" w:rsidRPr="0024327D">
        <w:rPr>
          <w:lang w:val="uk-UA"/>
        </w:rPr>
        <w:t xml:space="preserve">активів, </w:t>
      </w:r>
      <w:r w:rsidR="000763B3" w:rsidRPr="0024327D">
        <w:rPr>
          <w:lang w:val="uk-UA"/>
        </w:rPr>
        <w:t xml:space="preserve">обидва інструменти </w:t>
      </w:r>
      <w:r w:rsidR="00F7627A" w:rsidRPr="0024327D">
        <w:rPr>
          <w:lang w:val="uk-UA"/>
        </w:rPr>
        <w:t>потенційно мож</w:t>
      </w:r>
      <w:r w:rsidR="000763B3" w:rsidRPr="0024327D">
        <w:rPr>
          <w:lang w:val="uk-UA"/>
        </w:rPr>
        <w:t>уть</w:t>
      </w:r>
      <w:r w:rsidR="00F7627A" w:rsidRPr="0024327D">
        <w:rPr>
          <w:lang w:val="uk-UA"/>
        </w:rPr>
        <w:t xml:space="preserve"> допомогти </w:t>
      </w:r>
      <w:r w:rsidR="00A20526" w:rsidRPr="0024327D">
        <w:rPr>
          <w:lang w:val="uk-UA"/>
        </w:rPr>
        <w:t>оригінаторам</w:t>
      </w:r>
      <w:r w:rsidR="000452A0" w:rsidRPr="0024327D">
        <w:rPr>
          <w:lang w:val="uk-UA"/>
        </w:rPr>
        <w:t xml:space="preserve"> </w:t>
      </w:r>
      <w:r w:rsidR="00F7627A" w:rsidRPr="0024327D">
        <w:rPr>
          <w:lang w:val="uk-UA"/>
        </w:rPr>
        <w:t>підвищити кредитний рейтинг</w:t>
      </w:r>
      <w:r w:rsidR="000933DB" w:rsidRPr="0024327D">
        <w:rPr>
          <w:lang w:val="uk-UA"/>
        </w:rPr>
        <w:t>, що призначається відповідному інструменту</w:t>
      </w:r>
      <w:r w:rsidR="00F7627A" w:rsidRPr="0024327D">
        <w:rPr>
          <w:lang w:val="uk-UA"/>
        </w:rPr>
        <w:t xml:space="preserve"> (особливо</w:t>
      </w:r>
      <w:r w:rsidR="000452A0" w:rsidRPr="0024327D">
        <w:rPr>
          <w:lang w:val="uk-UA"/>
        </w:rPr>
        <w:t>, якщо</w:t>
      </w:r>
      <w:r w:rsidR="00F7627A" w:rsidRPr="0024327D">
        <w:rPr>
          <w:lang w:val="uk-UA"/>
        </w:rPr>
        <w:t xml:space="preserve"> </w:t>
      </w:r>
      <w:r w:rsidR="00570DEC" w:rsidRPr="0024327D">
        <w:rPr>
          <w:lang w:val="uk-UA"/>
        </w:rPr>
        <w:t xml:space="preserve">в структурі використовуються </w:t>
      </w:r>
      <w:r w:rsidR="00F70EF1" w:rsidRPr="0024327D">
        <w:rPr>
          <w:lang w:val="uk-UA"/>
        </w:rPr>
        <w:t>додаткові</w:t>
      </w:r>
      <w:r w:rsidR="00F7627A" w:rsidRPr="0024327D">
        <w:rPr>
          <w:lang w:val="uk-UA"/>
        </w:rPr>
        <w:t xml:space="preserve"> </w:t>
      </w:r>
      <w:r w:rsidR="000452A0" w:rsidRPr="0024327D">
        <w:rPr>
          <w:lang w:val="uk-UA"/>
        </w:rPr>
        <w:t>механізми</w:t>
      </w:r>
      <w:r w:rsidR="00F70EF1" w:rsidRPr="0024327D">
        <w:rPr>
          <w:lang w:val="uk-UA"/>
        </w:rPr>
        <w:t xml:space="preserve"> зниження кредитного ризику</w:t>
      </w:r>
      <w:r w:rsidR="00F7627A" w:rsidRPr="0024327D">
        <w:rPr>
          <w:lang w:val="uk-UA"/>
        </w:rPr>
        <w:t>), що, в свою чергу, може знизити в</w:t>
      </w:r>
      <w:r w:rsidR="000452A0" w:rsidRPr="0024327D">
        <w:rPr>
          <w:lang w:val="uk-UA"/>
        </w:rPr>
        <w:t>артість запозичень</w:t>
      </w:r>
      <w:r w:rsidR="00F7627A" w:rsidRPr="0024327D">
        <w:rPr>
          <w:lang w:val="uk-UA"/>
        </w:rPr>
        <w:t>.</w:t>
      </w:r>
    </w:p>
    <w:p w14:paraId="25C2F3A9" w14:textId="1C41FC5D" w:rsidR="000452A0" w:rsidRPr="0024327D" w:rsidRDefault="000452A0" w:rsidP="007935A5">
      <w:pPr>
        <w:rPr>
          <w:lang w:val="uk-UA"/>
        </w:rPr>
      </w:pPr>
      <w:r w:rsidRPr="0024327D">
        <w:rPr>
          <w:lang w:val="uk-UA"/>
        </w:rPr>
        <w:t xml:space="preserve">Крім того, структуроване фінансування може допомогти залучити </w:t>
      </w:r>
      <w:r w:rsidR="004C7E03" w:rsidRPr="0024327D">
        <w:rPr>
          <w:lang w:val="uk-UA"/>
        </w:rPr>
        <w:t xml:space="preserve">більшу кількість </w:t>
      </w:r>
      <w:r w:rsidRPr="0024327D">
        <w:rPr>
          <w:lang w:val="uk-UA"/>
        </w:rPr>
        <w:t xml:space="preserve">зовнішніх інвесторів, у тому числі потенційно тих, які зазвичай не інвестують  в економіку країн, що розвиваються. Наразі </w:t>
      </w:r>
      <w:r w:rsidR="00927BDD" w:rsidRPr="0024327D">
        <w:rPr>
          <w:lang w:val="uk-UA"/>
        </w:rPr>
        <w:t>обмежена кількість українсь</w:t>
      </w:r>
      <w:r w:rsidR="00B172B2" w:rsidRPr="0024327D">
        <w:rPr>
          <w:lang w:val="uk-UA"/>
        </w:rPr>
        <w:t xml:space="preserve">ких </w:t>
      </w:r>
      <w:r w:rsidR="00FA7004" w:rsidRPr="0024327D">
        <w:rPr>
          <w:lang w:val="uk-UA"/>
        </w:rPr>
        <w:t xml:space="preserve">приватних </w:t>
      </w:r>
      <w:r w:rsidR="000428A2" w:rsidRPr="0024327D">
        <w:rPr>
          <w:lang w:val="uk-UA"/>
        </w:rPr>
        <w:t xml:space="preserve">компаній  </w:t>
      </w:r>
      <w:r w:rsidR="00FA7004" w:rsidRPr="0024327D">
        <w:rPr>
          <w:lang w:val="uk-UA"/>
        </w:rPr>
        <w:t xml:space="preserve">мають </w:t>
      </w:r>
      <w:r w:rsidRPr="0024327D">
        <w:rPr>
          <w:lang w:val="uk-UA"/>
        </w:rPr>
        <w:t xml:space="preserve">доступ до </w:t>
      </w:r>
      <w:r w:rsidR="00A47552" w:rsidRPr="0024327D">
        <w:rPr>
          <w:lang w:val="uk-UA"/>
        </w:rPr>
        <w:t>іноземних</w:t>
      </w:r>
      <w:r w:rsidRPr="0024327D">
        <w:rPr>
          <w:lang w:val="uk-UA"/>
        </w:rPr>
        <w:t xml:space="preserve"> ринків капіталу, і навіть у цих випадках </w:t>
      </w:r>
      <w:r w:rsidR="0099657D" w:rsidRPr="0024327D">
        <w:rPr>
          <w:lang w:val="uk-UA"/>
        </w:rPr>
        <w:t xml:space="preserve">іноземні інвестори здебільшого представлені спеціалізованими фондами, що інвестують у країни, </w:t>
      </w:r>
      <w:r w:rsidRPr="0024327D">
        <w:rPr>
          <w:lang w:val="uk-UA"/>
        </w:rPr>
        <w:t xml:space="preserve">що розвиваються. </w:t>
      </w:r>
      <w:r w:rsidR="0099657D" w:rsidRPr="0024327D">
        <w:rPr>
          <w:lang w:val="uk-UA"/>
        </w:rPr>
        <w:t>І</w:t>
      </w:r>
      <w:r w:rsidRPr="0024327D">
        <w:rPr>
          <w:lang w:val="uk-UA"/>
        </w:rPr>
        <w:t xml:space="preserve"> сек'юритизація, </w:t>
      </w:r>
      <w:r w:rsidR="0099657D" w:rsidRPr="0024327D">
        <w:rPr>
          <w:lang w:val="uk-UA"/>
        </w:rPr>
        <w:t xml:space="preserve">і </w:t>
      </w:r>
      <w:r w:rsidRPr="0024327D">
        <w:rPr>
          <w:lang w:val="uk-UA"/>
        </w:rPr>
        <w:t xml:space="preserve">облігації </w:t>
      </w:r>
      <w:r w:rsidR="00FA7004" w:rsidRPr="0024327D">
        <w:rPr>
          <w:lang w:val="uk-UA"/>
        </w:rPr>
        <w:t xml:space="preserve">з покриттям </w:t>
      </w:r>
      <w:r w:rsidRPr="0024327D">
        <w:rPr>
          <w:lang w:val="uk-UA"/>
        </w:rPr>
        <w:t xml:space="preserve">можуть сприяти диверсифікації </w:t>
      </w:r>
      <w:r w:rsidR="00A47552" w:rsidRPr="0024327D">
        <w:rPr>
          <w:lang w:val="uk-UA"/>
        </w:rPr>
        <w:t>закордонного</w:t>
      </w:r>
      <w:r w:rsidRPr="0024327D">
        <w:rPr>
          <w:lang w:val="uk-UA"/>
        </w:rPr>
        <w:t xml:space="preserve"> фінансування, залученню </w:t>
      </w:r>
      <w:r w:rsidR="00510AA5" w:rsidRPr="0024327D">
        <w:rPr>
          <w:lang w:val="uk-UA"/>
        </w:rPr>
        <w:t xml:space="preserve">категорій </w:t>
      </w:r>
      <w:r w:rsidRPr="0024327D">
        <w:rPr>
          <w:lang w:val="uk-UA"/>
        </w:rPr>
        <w:t xml:space="preserve">інвесторів, </w:t>
      </w:r>
      <w:r w:rsidR="00C11046" w:rsidRPr="0024327D">
        <w:rPr>
          <w:lang w:val="uk-UA"/>
        </w:rPr>
        <w:t xml:space="preserve">інших ніж ті, </w:t>
      </w:r>
      <w:r w:rsidRPr="0024327D">
        <w:rPr>
          <w:lang w:val="uk-UA"/>
        </w:rPr>
        <w:t xml:space="preserve">що </w:t>
      </w:r>
      <w:r w:rsidR="0099657D" w:rsidRPr="0024327D">
        <w:rPr>
          <w:lang w:val="uk-UA"/>
        </w:rPr>
        <w:t xml:space="preserve">спеціалізуються на інвестуванні у країни, що розвиваються </w:t>
      </w:r>
      <w:r w:rsidRPr="0024327D">
        <w:rPr>
          <w:lang w:val="uk-UA"/>
        </w:rPr>
        <w:t xml:space="preserve">(наприклад, </w:t>
      </w:r>
      <w:r w:rsidR="0099657D" w:rsidRPr="0024327D">
        <w:rPr>
          <w:lang w:val="uk-UA"/>
        </w:rPr>
        <w:t>інвесторів</w:t>
      </w:r>
      <w:r w:rsidR="00B02927" w:rsidRPr="0024327D">
        <w:rPr>
          <w:lang w:val="uk-UA"/>
        </w:rPr>
        <w:t xml:space="preserve"> саме в облігації з покриттям)</w:t>
      </w:r>
      <w:r w:rsidRPr="0024327D">
        <w:rPr>
          <w:lang w:val="uk-UA"/>
        </w:rPr>
        <w:t xml:space="preserve">, а отже, потенційно збільшити обсяг </w:t>
      </w:r>
      <w:r w:rsidR="00A47552" w:rsidRPr="0024327D">
        <w:rPr>
          <w:lang w:val="uk-UA"/>
        </w:rPr>
        <w:t>закордонного</w:t>
      </w:r>
      <w:r w:rsidR="0099657D" w:rsidRPr="0024327D">
        <w:rPr>
          <w:lang w:val="uk-UA"/>
        </w:rPr>
        <w:t xml:space="preserve"> фінансування </w:t>
      </w:r>
      <w:r w:rsidRPr="0024327D">
        <w:rPr>
          <w:lang w:val="uk-UA"/>
        </w:rPr>
        <w:t xml:space="preserve">та покращити </w:t>
      </w:r>
      <w:r w:rsidR="0099657D" w:rsidRPr="0024327D">
        <w:rPr>
          <w:lang w:val="uk-UA"/>
        </w:rPr>
        <w:t xml:space="preserve">його </w:t>
      </w:r>
      <w:r w:rsidRPr="0024327D">
        <w:rPr>
          <w:lang w:val="uk-UA"/>
        </w:rPr>
        <w:t>доступність.</w:t>
      </w:r>
    </w:p>
    <w:p w14:paraId="6EDD781A" w14:textId="64BEC2A7" w:rsidR="00FD4FD5" w:rsidRPr="0024327D" w:rsidRDefault="0099657D" w:rsidP="007935A5">
      <w:pPr>
        <w:rPr>
          <w:lang w:val="uk-UA"/>
        </w:rPr>
      </w:pPr>
      <w:r w:rsidRPr="0024327D">
        <w:rPr>
          <w:lang w:val="uk-UA"/>
        </w:rPr>
        <w:t>Як сек</w:t>
      </w:r>
      <w:r w:rsidR="00581CFE" w:rsidRPr="0024327D">
        <w:rPr>
          <w:lang w:val="uk-UA"/>
        </w:rPr>
        <w:t>’</w:t>
      </w:r>
      <w:r w:rsidRPr="0024327D">
        <w:rPr>
          <w:lang w:val="uk-UA"/>
        </w:rPr>
        <w:t xml:space="preserve">юритизація, так і облігації </w:t>
      </w:r>
      <w:r w:rsidR="008A6D9C" w:rsidRPr="0024327D">
        <w:rPr>
          <w:lang w:val="uk-UA"/>
        </w:rPr>
        <w:t>з покриттям</w:t>
      </w:r>
      <w:r w:rsidR="00264C72" w:rsidRPr="0024327D">
        <w:rPr>
          <w:lang w:val="uk-UA"/>
        </w:rPr>
        <w:t>,</w:t>
      </w:r>
      <w:r w:rsidR="008A6D9C" w:rsidRPr="0024327D">
        <w:rPr>
          <w:lang w:val="uk-UA"/>
        </w:rPr>
        <w:t xml:space="preserve"> </w:t>
      </w:r>
      <w:r w:rsidR="00A20526" w:rsidRPr="0024327D">
        <w:rPr>
          <w:lang w:val="uk-UA"/>
        </w:rPr>
        <w:t xml:space="preserve">дають оригінаторам можливість </w:t>
      </w:r>
      <w:r w:rsidR="00906F8B" w:rsidRPr="0024327D">
        <w:rPr>
          <w:lang w:val="uk-UA"/>
        </w:rPr>
        <w:t xml:space="preserve">зменшити вартість </w:t>
      </w:r>
      <w:r w:rsidR="00C0388F" w:rsidRPr="0024327D">
        <w:rPr>
          <w:lang w:val="uk-UA"/>
        </w:rPr>
        <w:t>ре</w:t>
      </w:r>
      <w:r w:rsidRPr="0024327D">
        <w:rPr>
          <w:lang w:val="uk-UA"/>
        </w:rPr>
        <w:t>фінансува</w:t>
      </w:r>
      <w:r w:rsidR="00906F8B" w:rsidRPr="0024327D">
        <w:rPr>
          <w:lang w:val="uk-UA"/>
        </w:rPr>
        <w:t>ння</w:t>
      </w:r>
      <w:r w:rsidRPr="0024327D">
        <w:rPr>
          <w:lang w:val="uk-UA"/>
        </w:rPr>
        <w:t xml:space="preserve"> </w:t>
      </w:r>
      <w:r w:rsidR="00906F8B" w:rsidRPr="0024327D">
        <w:rPr>
          <w:lang w:val="uk-UA"/>
        </w:rPr>
        <w:t>довгос</w:t>
      </w:r>
      <w:r w:rsidR="00713C69" w:rsidRPr="0024327D">
        <w:rPr>
          <w:lang w:val="uk-UA"/>
        </w:rPr>
        <w:t xml:space="preserve">трокових </w:t>
      </w:r>
      <w:r w:rsidRPr="0024327D">
        <w:rPr>
          <w:lang w:val="uk-UA"/>
        </w:rPr>
        <w:t>актив</w:t>
      </w:r>
      <w:r w:rsidR="00713C69" w:rsidRPr="0024327D">
        <w:rPr>
          <w:lang w:val="uk-UA"/>
        </w:rPr>
        <w:t>ів</w:t>
      </w:r>
      <w:r w:rsidRPr="0024327D">
        <w:rPr>
          <w:lang w:val="uk-UA"/>
        </w:rPr>
        <w:t xml:space="preserve">, </w:t>
      </w:r>
      <w:r w:rsidR="008B052D" w:rsidRPr="0024327D">
        <w:rPr>
          <w:lang w:val="uk-UA"/>
        </w:rPr>
        <w:t xml:space="preserve">покращити </w:t>
      </w:r>
      <w:r w:rsidR="00B64BC4" w:rsidRPr="0024327D">
        <w:rPr>
          <w:lang w:val="uk-UA"/>
        </w:rPr>
        <w:t xml:space="preserve">відповідність між </w:t>
      </w:r>
      <w:r w:rsidR="00922952" w:rsidRPr="0024327D">
        <w:rPr>
          <w:lang w:val="uk-UA"/>
        </w:rPr>
        <w:t>строками активів та зобов’язань в балансі</w:t>
      </w:r>
      <w:r w:rsidRPr="0024327D">
        <w:rPr>
          <w:lang w:val="uk-UA"/>
        </w:rPr>
        <w:t xml:space="preserve"> (таким чином усуваючи </w:t>
      </w:r>
      <w:r w:rsidR="008553B5" w:rsidRPr="0024327D">
        <w:rPr>
          <w:lang w:val="uk-UA"/>
        </w:rPr>
        <w:t xml:space="preserve">відповідні </w:t>
      </w:r>
      <w:r w:rsidRPr="0024327D">
        <w:rPr>
          <w:lang w:val="uk-UA"/>
        </w:rPr>
        <w:t xml:space="preserve">ризики) та </w:t>
      </w:r>
      <w:r w:rsidR="00982A56" w:rsidRPr="0024327D">
        <w:rPr>
          <w:lang w:val="uk-UA"/>
        </w:rPr>
        <w:t>забезпечу</w:t>
      </w:r>
      <w:r w:rsidR="00FB76B4" w:rsidRPr="0024327D">
        <w:rPr>
          <w:lang w:val="uk-UA"/>
        </w:rPr>
        <w:t xml:space="preserve">є </w:t>
      </w:r>
      <w:r w:rsidR="00982A56" w:rsidRPr="0024327D">
        <w:rPr>
          <w:lang w:val="uk-UA"/>
        </w:rPr>
        <w:t xml:space="preserve">відносну незалежність </w:t>
      </w:r>
      <w:r w:rsidRPr="0024327D">
        <w:rPr>
          <w:lang w:val="uk-UA"/>
        </w:rPr>
        <w:t xml:space="preserve">від кредитного рейтингу </w:t>
      </w:r>
      <w:r w:rsidR="00E7005B" w:rsidRPr="0024327D">
        <w:rPr>
          <w:lang w:val="uk-UA"/>
        </w:rPr>
        <w:t>оригінатора</w:t>
      </w:r>
      <w:r w:rsidRPr="0024327D">
        <w:rPr>
          <w:lang w:val="uk-UA"/>
        </w:rPr>
        <w:t>.</w:t>
      </w:r>
    </w:p>
    <w:p w14:paraId="087B4242" w14:textId="559D1050" w:rsidR="0099657D" w:rsidRPr="0024327D" w:rsidRDefault="0099657D" w:rsidP="008E4B5B">
      <w:pPr>
        <w:rPr>
          <w:lang w:val="uk-UA"/>
        </w:rPr>
      </w:pPr>
      <w:r w:rsidRPr="0024327D">
        <w:rPr>
          <w:lang w:val="uk-UA"/>
        </w:rPr>
        <w:t xml:space="preserve">Випуски облігацій </w:t>
      </w:r>
      <w:r w:rsidR="00B10CD2" w:rsidRPr="0024327D">
        <w:rPr>
          <w:lang w:val="uk-UA"/>
        </w:rPr>
        <w:t xml:space="preserve">з покриттям </w:t>
      </w:r>
      <w:r w:rsidRPr="0024327D">
        <w:rPr>
          <w:lang w:val="uk-UA"/>
        </w:rPr>
        <w:t xml:space="preserve">з високими </w:t>
      </w:r>
      <w:r w:rsidR="00982A56" w:rsidRPr="0024327D">
        <w:rPr>
          <w:lang w:val="uk-UA"/>
        </w:rPr>
        <w:t xml:space="preserve">показниками </w:t>
      </w:r>
      <w:r w:rsidRPr="0024327D">
        <w:rPr>
          <w:lang w:val="uk-UA"/>
        </w:rPr>
        <w:t>кредитн</w:t>
      </w:r>
      <w:r w:rsidR="00982A56" w:rsidRPr="0024327D">
        <w:rPr>
          <w:lang w:val="uk-UA"/>
        </w:rPr>
        <w:t xml:space="preserve">ої якості та </w:t>
      </w:r>
      <w:r w:rsidRPr="0024327D">
        <w:rPr>
          <w:lang w:val="uk-UA"/>
        </w:rPr>
        <w:t xml:space="preserve">ліквідності </w:t>
      </w:r>
      <w:r w:rsidR="00982A56" w:rsidRPr="0024327D">
        <w:rPr>
          <w:lang w:val="uk-UA"/>
        </w:rPr>
        <w:t xml:space="preserve">здатні диверсифікувати </w:t>
      </w:r>
      <w:r w:rsidR="00FE4CF1" w:rsidRPr="0024327D">
        <w:rPr>
          <w:lang w:val="uk-UA"/>
        </w:rPr>
        <w:t xml:space="preserve">спектр </w:t>
      </w:r>
      <w:r w:rsidR="00682148" w:rsidRPr="0024327D">
        <w:rPr>
          <w:lang w:val="uk-UA"/>
        </w:rPr>
        <w:t xml:space="preserve">інструментів </w:t>
      </w:r>
      <w:r w:rsidR="00FE4CF1" w:rsidRPr="0024327D">
        <w:rPr>
          <w:lang w:val="uk-UA"/>
        </w:rPr>
        <w:t xml:space="preserve">для </w:t>
      </w:r>
      <w:r w:rsidRPr="0024327D">
        <w:rPr>
          <w:lang w:val="uk-UA"/>
        </w:rPr>
        <w:t>інвестиції та сприяти розвитку ринк</w:t>
      </w:r>
      <w:r w:rsidR="00264C72" w:rsidRPr="0024327D">
        <w:rPr>
          <w:lang w:val="uk-UA"/>
        </w:rPr>
        <w:t>ів</w:t>
      </w:r>
      <w:r w:rsidRPr="0024327D">
        <w:rPr>
          <w:lang w:val="uk-UA"/>
        </w:rPr>
        <w:t xml:space="preserve"> капіталу</w:t>
      </w:r>
      <w:r w:rsidR="00982A56" w:rsidRPr="0024327D">
        <w:rPr>
          <w:lang w:val="uk-UA"/>
        </w:rPr>
        <w:t xml:space="preserve"> в Україні</w:t>
      </w:r>
      <w:r w:rsidR="00765BE7" w:rsidRPr="0024327D">
        <w:rPr>
          <w:lang w:val="uk-UA"/>
        </w:rPr>
        <w:t>.</w:t>
      </w:r>
      <w:r w:rsidRPr="0024327D">
        <w:rPr>
          <w:lang w:val="uk-UA"/>
        </w:rPr>
        <w:t xml:space="preserve"> Зокрема, </w:t>
      </w:r>
      <w:r w:rsidR="00D06D90" w:rsidRPr="0024327D">
        <w:rPr>
          <w:lang w:val="uk-UA"/>
        </w:rPr>
        <w:t>більші можливості щод</w:t>
      </w:r>
      <w:r w:rsidR="00264C72" w:rsidRPr="0024327D">
        <w:rPr>
          <w:lang w:val="uk-UA"/>
        </w:rPr>
        <w:t>о</w:t>
      </w:r>
      <w:r w:rsidR="00D06D90" w:rsidRPr="0024327D">
        <w:rPr>
          <w:lang w:val="uk-UA"/>
        </w:rPr>
        <w:t xml:space="preserve"> </w:t>
      </w:r>
      <w:r w:rsidR="00427DB1" w:rsidRPr="0024327D">
        <w:rPr>
          <w:lang w:val="uk-UA"/>
        </w:rPr>
        <w:t>диверсифікаці</w:t>
      </w:r>
      <w:r w:rsidR="00D06D90" w:rsidRPr="0024327D">
        <w:rPr>
          <w:lang w:val="uk-UA"/>
        </w:rPr>
        <w:t>ї кредитного ризику можуть бути цікавими як для</w:t>
      </w:r>
      <w:r w:rsidR="00427DB1" w:rsidRPr="0024327D">
        <w:rPr>
          <w:lang w:val="uk-UA"/>
        </w:rPr>
        <w:t xml:space="preserve"> </w:t>
      </w:r>
      <w:r w:rsidRPr="0024327D">
        <w:rPr>
          <w:lang w:val="uk-UA"/>
        </w:rPr>
        <w:t>інституційних</w:t>
      </w:r>
      <w:r w:rsidR="00D06D90" w:rsidRPr="0024327D">
        <w:rPr>
          <w:lang w:val="uk-UA"/>
        </w:rPr>
        <w:t>, так і для</w:t>
      </w:r>
      <w:r w:rsidRPr="0024327D">
        <w:rPr>
          <w:lang w:val="uk-UA"/>
        </w:rPr>
        <w:t xml:space="preserve"> </w:t>
      </w:r>
      <w:r w:rsidR="00427DB1" w:rsidRPr="0024327D">
        <w:rPr>
          <w:lang w:val="uk-UA"/>
        </w:rPr>
        <w:t xml:space="preserve">індивідуальних </w:t>
      </w:r>
      <w:r w:rsidRPr="0024327D">
        <w:rPr>
          <w:lang w:val="uk-UA"/>
        </w:rPr>
        <w:t>інвесторів</w:t>
      </w:r>
      <w:r w:rsidR="00D06D90" w:rsidRPr="0024327D">
        <w:rPr>
          <w:lang w:val="uk-UA"/>
        </w:rPr>
        <w:t>.</w:t>
      </w:r>
    </w:p>
    <w:p w14:paraId="0DEAB5FB" w14:textId="315CF258" w:rsidR="00982A56" w:rsidRPr="0024327D" w:rsidRDefault="00982A56" w:rsidP="008E4B5B">
      <w:pPr>
        <w:rPr>
          <w:lang w:val="uk-UA"/>
        </w:rPr>
      </w:pPr>
      <w:r w:rsidRPr="0024327D">
        <w:rPr>
          <w:lang w:val="uk-UA"/>
        </w:rPr>
        <w:t>Ще однією перевагою, пов'язаною</w:t>
      </w:r>
      <w:r w:rsidR="00264C72" w:rsidRPr="0024327D">
        <w:rPr>
          <w:lang w:val="uk-UA"/>
        </w:rPr>
        <w:t xml:space="preserve"> </w:t>
      </w:r>
      <w:r w:rsidR="00F833A5" w:rsidRPr="0024327D">
        <w:rPr>
          <w:lang w:val="uk-UA"/>
        </w:rPr>
        <w:t>тільки</w:t>
      </w:r>
      <w:r w:rsidRPr="0024327D">
        <w:rPr>
          <w:lang w:val="uk-UA"/>
        </w:rPr>
        <w:t xml:space="preserve"> з сек'юритизацією </w:t>
      </w:r>
      <w:r w:rsidR="004D0706" w:rsidRPr="0024327D">
        <w:rPr>
          <w:lang w:val="uk-UA"/>
        </w:rPr>
        <w:t>(</w:t>
      </w:r>
      <w:r w:rsidRPr="0024327D">
        <w:rPr>
          <w:lang w:val="uk-UA"/>
        </w:rPr>
        <w:t>а не з облігаціями</w:t>
      </w:r>
      <w:r w:rsidR="004D0706" w:rsidRPr="0024327D">
        <w:rPr>
          <w:lang w:val="uk-UA"/>
        </w:rPr>
        <w:t xml:space="preserve"> з покриттям)</w:t>
      </w:r>
      <w:r w:rsidRPr="0024327D">
        <w:rPr>
          <w:lang w:val="uk-UA"/>
        </w:rPr>
        <w:t xml:space="preserve">, є те, що при </w:t>
      </w:r>
      <w:r w:rsidR="007D5454" w:rsidRPr="0024327D">
        <w:rPr>
          <w:lang w:val="uk-UA"/>
        </w:rPr>
        <w:t>сек</w:t>
      </w:r>
      <w:r w:rsidR="00581CFE" w:rsidRPr="0024327D">
        <w:rPr>
          <w:lang w:val="uk-UA"/>
        </w:rPr>
        <w:t>’</w:t>
      </w:r>
      <w:r w:rsidR="007D5454" w:rsidRPr="0024327D">
        <w:rPr>
          <w:lang w:val="uk-UA"/>
        </w:rPr>
        <w:t>юритизації</w:t>
      </w:r>
      <w:r w:rsidRPr="0024327D">
        <w:rPr>
          <w:lang w:val="uk-UA"/>
        </w:rPr>
        <w:t xml:space="preserve"> ризик за активами</w:t>
      </w:r>
      <w:r w:rsidR="000C5ACA" w:rsidRPr="0024327D">
        <w:rPr>
          <w:lang w:val="uk-UA"/>
        </w:rPr>
        <w:t xml:space="preserve">, включеними до </w:t>
      </w:r>
      <w:r w:rsidR="004F14F0" w:rsidRPr="0024327D">
        <w:rPr>
          <w:lang w:val="uk-UA"/>
        </w:rPr>
        <w:t>пулу</w:t>
      </w:r>
      <w:r w:rsidR="00127EDA" w:rsidRPr="0024327D">
        <w:rPr>
          <w:lang w:val="uk-UA"/>
        </w:rPr>
        <w:t>,</w:t>
      </w:r>
      <w:r w:rsidRPr="0024327D">
        <w:rPr>
          <w:lang w:val="uk-UA"/>
        </w:rPr>
        <w:t xml:space="preserve"> переходить від </w:t>
      </w:r>
      <w:r w:rsidR="00A20526" w:rsidRPr="0024327D">
        <w:rPr>
          <w:lang w:val="uk-UA"/>
        </w:rPr>
        <w:t>оригінатора</w:t>
      </w:r>
      <w:r w:rsidRPr="0024327D">
        <w:rPr>
          <w:lang w:val="uk-UA"/>
        </w:rPr>
        <w:t xml:space="preserve"> до власників облігацій, а отже </w:t>
      </w:r>
      <w:r w:rsidR="007D5454" w:rsidRPr="0024327D">
        <w:rPr>
          <w:lang w:val="uk-UA"/>
        </w:rPr>
        <w:t xml:space="preserve">це </w:t>
      </w:r>
      <w:r w:rsidRPr="0024327D">
        <w:rPr>
          <w:lang w:val="uk-UA"/>
        </w:rPr>
        <w:t xml:space="preserve">може використовуватися для </w:t>
      </w:r>
      <w:r w:rsidR="002C307C" w:rsidRPr="0024327D">
        <w:rPr>
          <w:lang w:val="uk-UA"/>
        </w:rPr>
        <w:t>зменшення тиску на капітал за рахунок</w:t>
      </w:r>
      <w:r w:rsidRPr="0024327D">
        <w:rPr>
          <w:lang w:val="uk-UA"/>
        </w:rPr>
        <w:t xml:space="preserve"> сек'юритизованих активів. Сек</w:t>
      </w:r>
      <w:r w:rsidR="007D5454" w:rsidRPr="0024327D">
        <w:rPr>
          <w:lang w:val="uk-UA"/>
        </w:rPr>
        <w:t>’</w:t>
      </w:r>
      <w:r w:rsidRPr="0024327D">
        <w:rPr>
          <w:lang w:val="uk-UA"/>
        </w:rPr>
        <w:t xml:space="preserve">юритизація може бути актуальною </w:t>
      </w:r>
      <w:r w:rsidR="00920310" w:rsidRPr="0024327D">
        <w:rPr>
          <w:lang w:val="uk-UA"/>
        </w:rPr>
        <w:t xml:space="preserve">також і </w:t>
      </w:r>
      <w:r w:rsidRPr="0024327D">
        <w:rPr>
          <w:lang w:val="uk-UA"/>
        </w:rPr>
        <w:t xml:space="preserve">для небанківських організацій, </w:t>
      </w:r>
      <w:r w:rsidR="0020069A" w:rsidRPr="0024327D">
        <w:rPr>
          <w:lang w:val="uk-UA"/>
        </w:rPr>
        <w:t xml:space="preserve">які не мають </w:t>
      </w:r>
      <w:r w:rsidRPr="0024327D">
        <w:rPr>
          <w:lang w:val="uk-UA"/>
        </w:rPr>
        <w:t>доступу до фінансування</w:t>
      </w:r>
      <w:r w:rsidR="00FB3427" w:rsidRPr="0024327D">
        <w:rPr>
          <w:lang w:val="uk-UA"/>
        </w:rPr>
        <w:t xml:space="preserve"> через залучення депозитів або</w:t>
      </w:r>
      <w:r w:rsidRPr="0024327D">
        <w:rPr>
          <w:lang w:val="uk-UA"/>
        </w:rPr>
        <w:t xml:space="preserve"> з боку центрального банку</w:t>
      </w:r>
      <w:r w:rsidR="00FB3427" w:rsidRPr="0024327D">
        <w:rPr>
          <w:lang w:val="uk-UA"/>
        </w:rPr>
        <w:t xml:space="preserve">, і змушені покладатися на </w:t>
      </w:r>
      <w:r w:rsidR="00581CFE" w:rsidRPr="0024327D">
        <w:rPr>
          <w:lang w:val="uk-UA"/>
        </w:rPr>
        <w:t>фінансування від комерційних банків</w:t>
      </w:r>
      <w:r w:rsidRPr="0024327D">
        <w:rPr>
          <w:lang w:val="uk-UA"/>
        </w:rPr>
        <w:t>.</w:t>
      </w:r>
      <w:r w:rsidR="00581CFE" w:rsidRPr="0024327D">
        <w:rPr>
          <w:lang w:val="uk-UA"/>
        </w:rPr>
        <w:t xml:space="preserve"> </w:t>
      </w:r>
      <w:r w:rsidR="00581CFE" w:rsidRPr="0024327D">
        <w:rPr>
          <w:lang w:val="uk-UA"/>
        </w:rPr>
        <w:lastRenderedPageBreak/>
        <w:t xml:space="preserve">Сек’юритизація </w:t>
      </w:r>
      <w:r w:rsidR="004B7A03" w:rsidRPr="0024327D">
        <w:rPr>
          <w:lang w:val="uk-UA"/>
        </w:rPr>
        <w:t>надає таким організаціям доступ до альтернативного фінансування з використанням ринків капіталу.</w:t>
      </w:r>
    </w:p>
    <w:p w14:paraId="15DBCEE9" w14:textId="4CBF9477" w:rsidR="00982A56" w:rsidRPr="0024327D" w:rsidRDefault="00982A56" w:rsidP="008E4B5B">
      <w:pPr>
        <w:rPr>
          <w:rFonts w:eastAsia="Times New Roman"/>
          <w:lang w:val="uk-UA"/>
        </w:rPr>
      </w:pPr>
      <w:r w:rsidRPr="0024327D">
        <w:rPr>
          <w:rFonts w:eastAsia="Times New Roman"/>
          <w:lang w:val="uk-UA"/>
        </w:rPr>
        <w:t xml:space="preserve">Деякі механізми </w:t>
      </w:r>
      <w:r w:rsidR="00910065" w:rsidRPr="0024327D">
        <w:rPr>
          <w:rFonts w:eastAsia="Times New Roman"/>
          <w:lang w:val="uk-UA"/>
        </w:rPr>
        <w:t>підвищення кредитної якості</w:t>
      </w:r>
      <w:r w:rsidRPr="0024327D">
        <w:rPr>
          <w:rFonts w:eastAsia="Times New Roman"/>
          <w:lang w:val="uk-UA"/>
        </w:rPr>
        <w:t xml:space="preserve">, які будуть введені у </w:t>
      </w:r>
      <w:r w:rsidR="00DB4276" w:rsidRPr="0024327D">
        <w:rPr>
          <w:rFonts w:eastAsia="Times New Roman"/>
          <w:lang w:val="uk-UA"/>
        </w:rPr>
        <w:t xml:space="preserve">законодавство у </w:t>
      </w:r>
      <w:r w:rsidRPr="0024327D">
        <w:rPr>
          <w:rFonts w:eastAsia="Times New Roman"/>
          <w:lang w:val="uk-UA"/>
        </w:rPr>
        <w:t xml:space="preserve">зв'язку </w:t>
      </w:r>
      <w:r w:rsidR="00E1614B" w:rsidRPr="0024327D">
        <w:rPr>
          <w:rFonts w:eastAsia="Times New Roman"/>
          <w:lang w:val="uk-UA"/>
        </w:rPr>
        <w:t xml:space="preserve">із </w:t>
      </w:r>
      <w:r w:rsidR="00EF7A0C" w:rsidRPr="0024327D">
        <w:rPr>
          <w:rFonts w:eastAsia="Times New Roman"/>
          <w:lang w:val="uk-UA"/>
        </w:rPr>
        <w:t xml:space="preserve">сек’юритизацією </w:t>
      </w:r>
      <w:r w:rsidRPr="0024327D">
        <w:rPr>
          <w:rFonts w:eastAsia="Times New Roman"/>
          <w:lang w:val="uk-UA"/>
        </w:rPr>
        <w:t xml:space="preserve">(наприклад, </w:t>
      </w:r>
      <w:r w:rsidR="00AD08BD" w:rsidRPr="0024327D">
        <w:rPr>
          <w:rFonts w:eastAsia="Times New Roman"/>
          <w:lang w:val="uk-UA"/>
        </w:rPr>
        <w:t xml:space="preserve">розподіл </w:t>
      </w:r>
      <w:r w:rsidR="00A108EC" w:rsidRPr="0024327D">
        <w:rPr>
          <w:rFonts w:eastAsia="Times New Roman"/>
          <w:lang w:val="uk-UA"/>
        </w:rPr>
        <w:t xml:space="preserve">облігацій </w:t>
      </w:r>
      <w:r w:rsidR="00AD08BD" w:rsidRPr="0024327D">
        <w:rPr>
          <w:rFonts w:eastAsia="Times New Roman"/>
          <w:lang w:val="uk-UA"/>
        </w:rPr>
        <w:t xml:space="preserve">на </w:t>
      </w:r>
      <w:r w:rsidRPr="0024327D">
        <w:rPr>
          <w:rFonts w:eastAsia="Times New Roman"/>
          <w:lang w:val="uk-UA"/>
        </w:rPr>
        <w:t>транш</w:t>
      </w:r>
      <w:r w:rsidR="007D5454" w:rsidRPr="0024327D">
        <w:rPr>
          <w:rFonts w:eastAsia="Times New Roman"/>
          <w:lang w:val="uk-UA"/>
        </w:rPr>
        <w:t>і</w:t>
      </w:r>
      <w:r w:rsidRPr="0024327D">
        <w:rPr>
          <w:rFonts w:eastAsia="Times New Roman"/>
          <w:lang w:val="uk-UA"/>
        </w:rPr>
        <w:t>),</w:t>
      </w:r>
      <w:r w:rsidR="00E24DF6" w:rsidRPr="0024327D">
        <w:rPr>
          <w:rFonts w:eastAsia="Times New Roman"/>
          <w:lang w:val="uk-UA"/>
        </w:rPr>
        <w:t xml:space="preserve"> можуть </w:t>
      </w:r>
      <w:r w:rsidR="002550D5" w:rsidRPr="0024327D">
        <w:rPr>
          <w:rFonts w:eastAsia="Times New Roman"/>
          <w:lang w:val="uk-UA"/>
        </w:rPr>
        <w:t>бути спр</w:t>
      </w:r>
      <w:r w:rsidR="004D578D" w:rsidRPr="0024327D">
        <w:rPr>
          <w:rFonts w:eastAsia="Times New Roman"/>
          <w:lang w:val="uk-UA"/>
        </w:rPr>
        <w:t>и</w:t>
      </w:r>
      <w:r w:rsidR="002550D5" w:rsidRPr="0024327D">
        <w:rPr>
          <w:rFonts w:eastAsia="Times New Roman"/>
          <w:lang w:val="uk-UA"/>
        </w:rPr>
        <w:t>ятливими</w:t>
      </w:r>
      <w:r w:rsidRPr="0024327D">
        <w:rPr>
          <w:rFonts w:eastAsia="Times New Roman"/>
          <w:lang w:val="uk-UA"/>
        </w:rPr>
        <w:t xml:space="preserve"> </w:t>
      </w:r>
      <w:r w:rsidR="004D578D" w:rsidRPr="0024327D">
        <w:rPr>
          <w:rFonts w:eastAsia="Times New Roman"/>
          <w:lang w:val="uk-UA"/>
        </w:rPr>
        <w:t xml:space="preserve">у більш широкому контексті </w:t>
      </w:r>
      <w:r w:rsidRPr="0024327D">
        <w:rPr>
          <w:rFonts w:eastAsia="Times New Roman"/>
          <w:lang w:val="uk-UA"/>
        </w:rPr>
        <w:t xml:space="preserve">розвитку українського фінансового ринку, </w:t>
      </w:r>
      <w:r w:rsidR="004D578D" w:rsidRPr="0024327D">
        <w:rPr>
          <w:rFonts w:eastAsia="Times New Roman"/>
          <w:lang w:val="uk-UA"/>
        </w:rPr>
        <w:t xml:space="preserve">якщо </w:t>
      </w:r>
      <w:r w:rsidRPr="0024327D">
        <w:rPr>
          <w:rFonts w:eastAsia="Times New Roman"/>
          <w:lang w:val="uk-UA"/>
        </w:rPr>
        <w:t xml:space="preserve">українські контрагенти зможуть використовувати їх </w:t>
      </w:r>
      <w:r w:rsidR="004D578D" w:rsidRPr="0024327D">
        <w:rPr>
          <w:rFonts w:eastAsia="Times New Roman"/>
          <w:lang w:val="uk-UA"/>
        </w:rPr>
        <w:t xml:space="preserve">в інших </w:t>
      </w:r>
      <w:r w:rsidR="007F553B" w:rsidRPr="0024327D">
        <w:rPr>
          <w:rFonts w:eastAsia="Times New Roman"/>
          <w:lang w:val="uk-UA"/>
        </w:rPr>
        <w:t>типах трансакцій на ринках капіталу.</w:t>
      </w:r>
    </w:p>
    <w:p w14:paraId="40B86B66" w14:textId="6D356E39" w:rsidR="00374834" w:rsidRPr="0024327D" w:rsidRDefault="0097439E" w:rsidP="008E4B5B">
      <w:pPr>
        <w:rPr>
          <w:rFonts w:eastAsia="Times New Roman"/>
          <w:lang w:val="uk-UA"/>
        </w:rPr>
      </w:pPr>
      <w:r w:rsidRPr="0024327D">
        <w:rPr>
          <w:rFonts w:eastAsia="Times New Roman"/>
          <w:lang w:val="uk-UA"/>
        </w:rPr>
        <w:t>Висока якість активів, що входять до пулу покритт</w:t>
      </w:r>
      <w:r w:rsidR="00E218B1" w:rsidRPr="0024327D">
        <w:rPr>
          <w:rFonts w:eastAsia="Times New Roman"/>
          <w:lang w:val="uk-UA"/>
        </w:rPr>
        <w:t>я</w:t>
      </w:r>
      <w:r w:rsidRPr="0024327D">
        <w:rPr>
          <w:rFonts w:eastAsia="Times New Roman"/>
          <w:lang w:val="uk-UA"/>
        </w:rPr>
        <w:t xml:space="preserve">, та </w:t>
      </w:r>
      <w:r w:rsidR="003C00AA" w:rsidRPr="0024327D">
        <w:rPr>
          <w:rFonts w:eastAsia="Times New Roman"/>
          <w:lang w:val="uk-UA"/>
        </w:rPr>
        <w:t xml:space="preserve">підвищені вимоги у </w:t>
      </w:r>
      <w:r w:rsidRPr="0024327D">
        <w:rPr>
          <w:rFonts w:eastAsia="Times New Roman"/>
          <w:lang w:val="uk-UA"/>
        </w:rPr>
        <w:t>систем</w:t>
      </w:r>
      <w:r w:rsidR="003C00AA" w:rsidRPr="0024327D">
        <w:rPr>
          <w:rFonts w:eastAsia="Times New Roman"/>
          <w:lang w:val="uk-UA"/>
        </w:rPr>
        <w:t>і</w:t>
      </w:r>
      <w:r w:rsidRPr="0024327D">
        <w:rPr>
          <w:rFonts w:eastAsia="Times New Roman"/>
          <w:lang w:val="uk-UA"/>
        </w:rPr>
        <w:t xml:space="preserve"> </w:t>
      </w:r>
      <w:r w:rsidR="003C00AA" w:rsidRPr="0024327D">
        <w:rPr>
          <w:rFonts w:eastAsia="Times New Roman"/>
          <w:lang w:val="uk-UA"/>
        </w:rPr>
        <w:t>нагляду</w:t>
      </w:r>
      <w:r w:rsidRPr="0024327D">
        <w:rPr>
          <w:rFonts w:eastAsia="Times New Roman"/>
          <w:lang w:val="uk-UA"/>
        </w:rPr>
        <w:t xml:space="preserve">, </w:t>
      </w:r>
      <w:r w:rsidR="000172B6" w:rsidRPr="0024327D">
        <w:rPr>
          <w:rFonts w:eastAsia="Times New Roman"/>
          <w:lang w:val="uk-UA"/>
        </w:rPr>
        <w:t xml:space="preserve">що зазвичай запроваджуються </w:t>
      </w:r>
      <w:r w:rsidR="00F63635" w:rsidRPr="0024327D">
        <w:rPr>
          <w:rFonts w:eastAsia="Times New Roman"/>
          <w:lang w:val="uk-UA"/>
        </w:rPr>
        <w:t xml:space="preserve">щодо </w:t>
      </w:r>
      <w:r w:rsidR="00C00623" w:rsidRPr="0024327D">
        <w:rPr>
          <w:rFonts w:eastAsia="Times New Roman"/>
          <w:lang w:val="uk-UA"/>
        </w:rPr>
        <w:t>облігацій з покриттям</w:t>
      </w:r>
      <w:r w:rsidRPr="0024327D">
        <w:rPr>
          <w:rFonts w:eastAsia="Times New Roman"/>
          <w:lang w:val="uk-UA"/>
        </w:rPr>
        <w:t xml:space="preserve">, </w:t>
      </w:r>
      <w:r w:rsidR="0050217E" w:rsidRPr="0024327D">
        <w:rPr>
          <w:rFonts w:eastAsia="Times New Roman"/>
          <w:lang w:val="uk-UA"/>
        </w:rPr>
        <w:t>сприяють</w:t>
      </w:r>
      <w:r w:rsidR="00EE01E2" w:rsidRPr="0024327D">
        <w:rPr>
          <w:rFonts w:eastAsia="Times New Roman"/>
          <w:lang w:val="uk-UA"/>
        </w:rPr>
        <w:t xml:space="preserve"> </w:t>
      </w:r>
      <w:r w:rsidR="00807BCF" w:rsidRPr="0024327D">
        <w:rPr>
          <w:rFonts w:eastAsia="Times New Roman"/>
          <w:lang w:val="uk-UA"/>
        </w:rPr>
        <w:t>формуванню більш відповідальних політ</w:t>
      </w:r>
      <w:r w:rsidR="00047696" w:rsidRPr="0024327D">
        <w:rPr>
          <w:rFonts w:eastAsia="Times New Roman"/>
          <w:lang w:val="uk-UA"/>
        </w:rPr>
        <w:t>ик</w:t>
      </w:r>
      <w:r w:rsidR="00807BCF" w:rsidRPr="0024327D">
        <w:rPr>
          <w:rFonts w:eastAsia="Times New Roman"/>
          <w:lang w:val="uk-UA"/>
        </w:rPr>
        <w:t xml:space="preserve"> і </w:t>
      </w:r>
      <w:r w:rsidR="004904FA" w:rsidRPr="0024327D">
        <w:rPr>
          <w:rFonts w:eastAsia="Times New Roman"/>
          <w:lang w:val="uk-UA"/>
        </w:rPr>
        <w:t xml:space="preserve">практик </w:t>
      </w:r>
      <w:r w:rsidR="0003570F" w:rsidRPr="0024327D">
        <w:rPr>
          <w:rFonts w:eastAsia="Times New Roman"/>
          <w:lang w:val="uk-UA"/>
        </w:rPr>
        <w:t xml:space="preserve">кредитування </w:t>
      </w:r>
      <w:r w:rsidRPr="0024327D">
        <w:rPr>
          <w:rFonts w:eastAsia="Times New Roman"/>
          <w:lang w:val="uk-UA"/>
        </w:rPr>
        <w:t xml:space="preserve">та підвищують прозорість завдяки </w:t>
      </w:r>
      <w:r w:rsidR="00242594" w:rsidRPr="0024327D">
        <w:rPr>
          <w:rFonts w:eastAsia="Times New Roman"/>
          <w:lang w:val="uk-UA"/>
        </w:rPr>
        <w:t xml:space="preserve">застосуванню </w:t>
      </w:r>
      <w:r w:rsidRPr="0024327D">
        <w:rPr>
          <w:rFonts w:eastAsia="Times New Roman"/>
          <w:lang w:val="uk-UA"/>
        </w:rPr>
        <w:t>стандартни</w:t>
      </w:r>
      <w:r w:rsidR="00242594" w:rsidRPr="0024327D">
        <w:rPr>
          <w:rFonts w:eastAsia="Times New Roman"/>
          <w:lang w:val="uk-UA"/>
        </w:rPr>
        <w:t>х</w:t>
      </w:r>
      <w:r w:rsidRPr="0024327D">
        <w:rPr>
          <w:rFonts w:eastAsia="Times New Roman"/>
          <w:lang w:val="uk-UA"/>
        </w:rPr>
        <w:t xml:space="preserve"> </w:t>
      </w:r>
      <w:r w:rsidR="00F05A9B" w:rsidRPr="0024327D">
        <w:rPr>
          <w:rFonts w:eastAsia="Times New Roman"/>
          <w:lang w:val="uk-UA"/>
        </w:rPr>
        <w:t xml:space="preserve">критеріїв </w:t>
      </w:r>
      <w:r w:rsidRPr="0024327D">
        <w:rPr>
          <w:rFonts w:eastAsia="Times New Roman"/>
          <w:lang w:val="uk-UA"/>
        </w:rPr>
        <w:t xml:space="preserve">розкриття інформації, </w:t>
      </w:r>
      <w:r w:rsidR="00CF172E" w:rsidRPr="0024327D">
        <w:rPr>
          <w:rFonts w:eastAsia="Times New Roman"/>
          <w:lang w:val="uk-UA"/>
        </w:rPr>
        <w:t xml:space="preserve">що </w:t>
      </w:r>
      <w:r w:rsidR="009E6A9F" w:rsidRPr="0024327D">
        <w:rPr>
          <w:rFonts w:eastAsia="Times New Roman"/>
          <w:lang w:val="uk-UA"/>
        </w:rPr>
        <w:t xml:space="preserve">використовуються для </w:t>
      </w:r>
      <w:r w:rsidR="00D40608" w:rsidRPr="0024327D">
        <w:rPr>
          <w:rFonts w:eastAsia="Times New Roman"/>
          <w:lang w:val="uk-UA"/>
        </w:rPr>
        <w:t>облігаці</w:t>
      </w:r>
      <w:r w:rsidR="009E6A9F" w:rsidRPr="0024327D">
        <w:rPr>
          <w:rFonts w:eastAsia="Times New Roman"/>
          <w:lang w:val="uk-UA"/>
        </w:rPr>
        <w:t>й</w:t>
      </w:r>
      <w:r w:rsidR="00F05A9B" w:rsidRPr="0024327D">
        <w:rPr>
          <w:rFonts w:eastAsia="Times New Roman"/>
          <w:lang w:val="uk-UA"/>
        </w:rPr>
        <w:t xml:space="preserve"> з покриттям</w:t>
      </w:r>
      <w:r w:rsidRPr="0024327D">
        <w:rPr>
          <w:rFonts w:eastAsia="Times New Roman"/>
          <w:lang w:val="uk-UA"/>
        </w:rPr>
        <w:t>. Сек</w:t>
      </w:r>
      <w:r w:rsidR="007D5454" w:rsidRPr="0024327D">
        <w:rPr>
          <w:rFonts w:eastAsia="Times New Roman"/>
          <w:lang w:val="uk-UA"/>
        </w:rPr>
        <w:t>’</w:t>
      </w:r>
      <w:r w:rsidRPr="0024327D">
        <w:rPr>
          <w:rFonts w:eastAsia="Times New Roman"/>
          <w:lang w:val="uk-UA"/>
        </w:rPr>
        <w:t>юритизаці</w:t>
      </w:r>
      <w:r w:rsidR="009F2213" w:rsidRPr="0024327D">
        <w:rPr>
          <w:rFonts w:eastAsia="Times New Roman"/>
          <w:lang w:val="uk-UA"/>
        </w:rPr>
        <w:t>я</w:t>
      </w:r>
      <w:r w:rsidRPr="0024327D">
        <w:rPr>
          <w:rFonts w:eastAsia="Times New Roman"/>
          <w:lang w:val="uk-UA"/>
        </w:rPr>
        <w:t xml:space="preserve">, </w:t>
      </w:r>
      <w:r w:rsidR="00DD4326" w:rsidRPr="0024327D">
        <w:rPr>
          <w:rFonts w:eastAsia="Times New Roman"/>
          <w:lang w:val="uk-UA"/>
        </w:rPr>
        <w:t xml:space="preserve">що </w:t>
      </w:r>
      <w:r w:rsidR="009622B3" w:rsidRPr="0024327D">
        <w:rPr>
          <w:rFonts w:eastAsia="Times New Roman"/>
          <w:lang w:val="uk-UA"/>
        </w:rPr>
        <w:t xml:space="preserve">відповідає вимогам </w:t>
      </w:r>
      <w:r w:rsidRPr="0024327D">
        <w:rPr>
          <w:rFonts w:eastAsia="Times New Roman"/>
          <w:lang w:val="uk-UA"/>
        </w:rPr>
        <w:t>"прост</w:t>
      </w:r>
      <w:r w:rsidR="004E338F" w:rsidRPr="0024327D">
        <w:rPr>
          <w:rFonts w:eastAsia="Times New Roman"/>
          <w:lang w:val="uk-UA"/>
        </w:rPr>
        <w:t>ої</w:t>
      </w:r>
      <w:r w:rsidRPr="0024327D">
        <w:rPr>
          <w:rFonts w:eastAsia="Times New Roman"/>
          <w:lang w:val="uk-UA"/>
        </w:rPr>
        <w:t>, прозор</w:t>
      </w:r>
      <w:r w:rsidR="004E338F" w:rsidRPr="0024327D">
        <w:rPr>
          <w:rFonts w:eastAsia="Times New Roman"/>
          <w:lang w:val="uk-UA"/>
        </w:rPr>
        <w:t>ої</w:t>
      </w:r>
      <w:r w:rsidRPr="0024327D">
        <w:rPr>
          <w:rFonts w:eastAsia="Times New Roman"/>
          <w:lang w:val="uk-UA"/>
        </w:rPr>
        <w:t xml:space="preserve"> та стандартизован</w:t>
      </w:r>
      <w:r w:rsidR="004E338F" w:rsidRPr="0024327D">
        <w:rPr>
          <w:rFonts w:eastAsia="Times New Roman"/>
          <w:lang w:val="uk-UA"/>
        </w:rPr>
        <w:t>ої</w:t>
      </w:r>
      <w:r w:rsidRPr="0024327D">
        <w:rPr>
          <w:rFonts w:eastAsia="Times New Roman"/>
          <w:lang w:val="uk-UA"/>
        </w:rPr>
        <w:t>"</w:t>
      </w:r>
      <w:r w:rsidR="009622B3" w:rsidRPr="0024327D">
        <w:rPr>
          <w:rFonts w:eastAsia="Times New Roman"/>
          <w:lang w:val="uk-UA"/>
        </w:rPr>
        <w:t xml:space="preserve"> сек’юритизації (simple, transparent and standardised </w:t>
      </w:r>
      <w:r w:rsidR="009B5AD2" w:rsidRPr="0024327D">
        <w:rPr>
          <w:rFonts w:eastAsia="Times New Roman"/>
          <w:lang w:val="uk-UA"/>
        </w:rPr>
        <w:t xml:space="preserve">або </w:t>
      </w:r>
      <w:r w:rsidR="009622B3" w:rsidRPr="0024327D">
        <w:rPr>
          <w:rFonts w:eastAsia="Times New Roman"/>
          <w:lang w:val="uk-UA"/>
        </w:rPr>
        <w:t>STS</w:t>
      </w:r>
      <w:r w:rsidR="009B5AD2" w:rsidRPr="0024327D">
        <w:rPr>
          <w:rFonts w:eastAsia="Times New Roman"/>
          <w:lang w:val="uk-UA"/>
        </w:rPr>
        <w:t>)</w:t>
      </w:r>
      <w:r w:rsidRPr="0024327D">
        <w:rPr>
          <w:rFonts w:eastAsia="Times New Roman"/>
          <w:lang w:val="uk-UA"/>
        </w:rPr>
        <w:t xml:space="preserve">, також </w:t>
      </w:r>
      <w:r w:rsidR="004B3611" w:rsidRPr="0024327D">
        <w:rPr>
          <w:rFonts w:eastAsia="Times New Roman"/>
          <w:lang w:val="uk-UA"/>
        </w:rPr>
        <w:t>стимулює</w:t>
      </w:r>
      <w:r w:rsidRPr="0024327D">
        <w:rPr>
          <w:rFonts w:eastAsia="Times New Roman"/>
          <w:lang w:val="uk-UA"/>
        </w:rPr>
        <w:t xml:space="preserve"> подібну практику та прозорість.</w:t>
      </w:r>
    </w:p>
    <w:p w14:paraId="35D2633D" w14:textId="64891565" w:rsidR="00A940EC" w:rsidRPr="0024327D" w:rsidRDefault="00A940EC" w:rsidP="008E4B5B">
      <w:pPr>
        <w:rPr>
          <w:rFonts w:eastAsia="Times New Roman"/>
          <w:lang w:val="uk-UA"/>
        </w:rPr>
      </w:pPr>
      <w:r w:rsidRPr="0024327D">
        <w:rPr>
          <w:rFonts w:eastAsia="Times New Roman"/>
          <w:lang w:val="uk-UA"/>
        </w:rPr>
        <w:t xml:space="preserve">Додаткова перевага облігацій з покриттям полягає в тому, що </w:t>
      </w:r>
      <w:r w:rsidR="007F3838" w:rsidRPr="0024327D">
        <w:rPr>
          <w:rFonts w:eastAsia="Times New Roman"/>
          <w:lang w:val="uk-UA"/>
        </w:rPr>
        <w:t xml:space="preserve">їх відносно просто структурувати та виконати, адже вони передбачають </w:t>
      </w:r>
      <w:r w:rsidR="00DF1BD4" w:rsidRPr="0024327D">
        <w:rPr>
          <w:rFonts w:eastAsia="Times New Roman"/>
          <w:lang w:val="uk-UA"/>
        </w:rPr>
        <w:t xml:space="preserve">вимогу до емітента, і відповідно емітент </w:t>
      </w:r>
      <w:r w:rsidR="00343ACF" w:rsidRPr="0024327D">
        <w:rPr>
          <w:rFonts w:eastAsia="Times New Roman"/>
          <w:lang w:val="uk-UA"/>
        </w:rPr>
        <w:t xml:space="preserve">може управляти грошовим потоком, що надходить від </w:t>
      </w:r>
      <w:r w:rsidR="00E04A8B" w:rsidRPr="0024327D">
        <w:rPr>
          <w:rFonts w:eastAsia="Times New Roman"/>
          <w:lang w:val="uk-UA"/>
        </w:rPr>
        <w:t>боргових зобов’язань, для погашення таких облігацій</w:t>
      </w:r>
      <w:r w:rsidR="005F55B6" w:rsidRPr="0024327D">
        <w:rPr>
          <w:rFonts w:eastAsia="Times New Roman"/>
          <w:lang w:val="uk-UA"/>
        </w:rPr>
        <w:t>, що дозволяє їм бути інструментами з фіксован</w:t>
      </w:r>
      <w:r w:rsidR="004779EE" w:rsidRPr="0024327D">
        <w:rPr>
          <w:rFonts w:eastAsia="Times New Roman"/>
          <w:lang w:val="uk-UA"/>
        </w:rPr>
        <w:t>им строком погашення.</w:t>
      </w:r>
    </w:p>
    <w:p w14:paraId="48CF9B08" w14:textId="34C44343" w:rsidR="00764BAB" w:rsidRPr="0024327D" w:rsidRDefault="007D47A4" w:rsidP="008E4B5B">
      <w:pPr>
        <w:rPr>
          <w:lang w:val="uk-UA"/>
        </w:rPr>
      </w:pPr>
      <w:r w:rsidRPr="0024327D">
        <w:rPr>
          <w:rFonts w:eastAsia="Times New Roman"/>
          <w:lang w:val="uk-UA"/>
        </w:rPr>
        <w:t xml:space="preserve">Нарешті, </w:t>
      </w:r>
      <w:r w:rsidR="00FB76B4" w:rsidRPr="0024327D">
        <w:rPr>
          <w:rFonts w:eastAsia="Times New Roman"/>
          <w:lang w:val="uk-UA"/>
        </w:rPr>
        <w:t>у</w:t>
      </w:r>
      <w:r w:rsidRPr="0024327D">
        <w:rPr>
          <w:rFonts w:eastAsia="Times New Roman"/>
          <w:lang w:val="uk-UA"/>
        </w:rPr>
        <w:t xml:space="preserve"> деяких юрисдикціях сек'юритизація застосовувалася для вирішення </w:t>
      </w:r>
      <w:r w:rsidR="009B5AD2" w:rsidRPr="0024327D">
        <w:rPr>
          <w:rFonts w:eastAsia="Times New Roman"/>
          <w:lang w:val="uk-UA"/>
        </w:rPr>
        <w:t xml:space="preserve">проблеми </w:t>
      </w:r>
      <w:r w:rsidRPr="0024327D">
        <w:rPr>
          <w:rFonts w:eastAsia="Times New Roman"/>
          <w:lang w:val="uk-UA"/>
        </w:rPr>
        <w:t>велик</w:t>
      </w:r>
      <w:r w:rsidR="007D5454" w:rsidRPr="0024327D">
        <w:rPr>
          <w:rFonts w:eastAsia="Times New Roman"/>
          <w:lang w:val="uk-UA"/>
        </w:rPr>
        <w:t xml:space="preserve">ої кількості </w:t>
      </w:r>
      <w:r w:rsidR="00A47552" w:rsidRPr="0024327D">
        <w:rPr>
          <w:rFonts w:eastAsia="Times New Roman"/>
          <w:lang w:val="uk-UA"/>
        </w:rPr>
        <w:t xml:space="preserve">непрацюючих </w:t>
      </w:r>
      <w:r w:rsidR="007D5454" w:rsidRPr="0024327D">
        <w:rPr>
          <w:rFonts w:eastAsia="Times New Roman"/>
          <w:lang w:val="uk-UA"/>
        </w:rPr>
        <w:t>кредитів</w:t>
      </w:r>
      <w:r w:rsidRPr="0024327D">
        <w:rPr>
          <w:rFonts w:eastAsia="Times New Roman"/>
          <w:lang w:val="uk-UA"/>
        </w:rPr>
        <w:t xml:space="preserve"> на балансах банків або </w:t>
      </w:r>
      <w:r w:rsidR="00D56E1A" w:rsidRPr="0024327D">
        <w:rPr>
          <w:rFonts w:eastAsia="Times New Roman"/>
          <w:lang w:val="uk-UA"/>
        </w:rPr>
        <w:t xml:space="preserve">для покращення </w:t>
      </w:r>
      <w:r w:rsidRPr="0024327D">
        <w:rPr>
          <w:rFonts w:eastAsia="Times New Roman"/>
          <w:lang w:val="uk-UA"/>
        </w:rPr>
        <w:t xml:space="preserve">доступу до фінансування </w:t>
      </w:r>
      <w:r w:rsidR="00364D6D" w:rsidRPr="0024327D">
        <w:rPr>
          <w:rFonts w:eastAsia="Times New Roman"/>
          <w:lang w:val="uk-UA"/>
        </w:rPr>
        <w:t>для підприємств</w:t>
      </w:r>
      <w:r w:rsidR="00CB73AA" w:rsidRPr="0024327D">
        <w:rPr>
          <w:rFonts w:eastAsia="Times New Roman"/>
          <w:lang w:val="uk-UA"/>
        </w:rPr>
        <w:t>, що надають комунальні послуги</w:t>
      </w:r>
      <w:r w:rsidRPr="0024327D">
        <w:rPr>
          <w:rFonts w:eastAsia="Times New Roman"/>
          <w:lang w:val="uk-UA"/>
        </w:rPr>
        <w:t xml:space="preserve"> (наприклад, підприємств</w:t>
      </w:r>
      <w:r w:rsidR="00FB76B4" w:rsidRPr="0024327D">
        <w:rPr>
          <w:rFonts w:eastAsia="Times New Roman"/>
          <w:lang w:val="uk-UA"/>
        </w:rPr>
        <w:t>-теплопостачальників</w:t>
      </w:r>
      <w:r w:rsidRPr="0024327D">
        <w:rPr>
          <w:rFonts w:eastAsia="Times New Roman"/>
          <w:lang w:val="uk-UA"/>
        </w:rPr>
        <w:t xml:space="preserve">). </w:t>
      </w:r>
      <w:r w:rsidR="000458F2" w:rsidRPr="0024327D">
        <w:rPr>
          <w:rFonts w:eastAsia="Times New Roman"/>
          <w:lang w:val="uk-UA"/>
        </w:rPr>
        <w:t>Ц</w:t>
      </w:r>
      <w:r w:rsidRPr="0024327D">
        <w:rPr>
          <w:rFonts w:eastAsia="Times New Roman"/>
          <w:lang w:val="uk-UA"/>
        </w:rPr>
        <w:t xml:space="preserve">і питання </w:t>
      </w:r>
      <w:r w:rsidR="000458F2" w:rsidRPr="0024327D">
        <w:rPr>
          <w:rFonts w:eastAsia="Times New Roman"/>
          <w:lang w:val="uk-UA"/>
        </w:rPr>
        <w:t xml:space="preserve">будуть особливо </w:t>
      </w:r>
      <w:r w:rsidRPr="0024327D">
        <w:rPr>
          <w:rFonts w:eastAsia="Times New Roman"/>
          <w:lang w:val="uk-UA"/>
        </w:rPr>
        <w:t>актуальн</w:t>
      </w:r>
      <w:r w:rsidR="000458F2" w:rsidRPr="0024327D">
        <w:rPr>
          <w:rFonts w:eastAsia="Times New Roman"/>
          <w:lang w:val="uk-UA"/>
        </w:rPr>
        <w:t>ими</w:t>
      </w:r>
      <w:r w:rsidRPr="0024327D">
        <w:rPr>
          <w:rFonts w:eastAsia="Times New Roman"/>
          <w:lang w:val="uk-UA"/>
        </w:rPr>
        <w:t xml:space="preserve"> для України</w:t>
      </w:r>
      <w:r w:rsidR="00880F8E" w:rsidRPr="0024327D">
        <w:rPr>
          <w:rFonts w:eastAsia="Times New Roman"/>
          <w:lang w:val="uk-UA"/>
        </w:rPr>
        <w:t xml:space="preserve"> після війни</w:t>
      </w:r>
      <w:r w:rsidR="00286856" w:rsidRPr="0024327D">
        <w:rPr>
          <w:rFonts w:eastAsia="Times New Roman"/>
          <w:lang w:val="uk-UA"/>
        </w:rPr>
        <w:t xml:space="preserve"> через значне падіння економічної активності та руйнування інфраструктури внаслідок російських атак</w:t>
      </w:r>
      <w:r w:rsidRPr="0024327D">
        <w:rPr>
          <w:rFonts w:eastAsia="Times New Roman"/>
          <w:lang w:val="uk-UA"/>
        </w:rPr>
        <w:t xml:space="preserve">. Хоча запровадження </w:t>
      </w:r>
      <w:r w:rsidR="009B755B" w:rsidRPr="0024327D">
        <w:rPr>
          <w:rFonts w:eastAsia="Times New Roman"/>
          <w:lang w:val="uk-UA"/>
        </w:rPr>
        <w:t xml:space="preserve">законодавчої </w:t>
      </w:r>
      <w:r w:rsidRPr="0024327D">
        <w:rPr>
          <w:rFonts w:eastAsia="Times New Roman"/>
          <w:lang w:val="uk-UA"/>
        </w:rPr>
        <w:t xml:space="preserve">бази щодо сек'юритизації недостатньо для їх вирішення </w:t>
      </w:r>
      <w:r w:rsidR="00DA3BDC" w:rsidRPr="0024327D">
        <w:rPr>
          <w:rFonts w:eastAsia="Times New Roman"/>
          <w:lang w:val="uk-UA"/>
        </w:rPr>
        <w:t>(</w:t>
      </w:r>
      <w:r w:rsidRPr="0024327D">
        <w:rPr>
          <w:rFonts w:eastAsia="Times New Roman"/>
          <w:lang w:val="uk-UA"/>
        </w:rPr>
        <w:t xml:space="preserve">оскільки такі питання вимагають </w:t>
      </w:r>
      <w:r w:rsidR="007D5454" w:rsidRPr="0024327D">
        <w:rPr>
          <w:rFonts w:eastAsia="Times New Roman"/>
          <w:lang w:val="uk-UA"/>
        </w:rPr>
        <w:t xml:space="preserve">значної правової </w:t>
      </w:r>
      <w:r w:rsidRPr="0024327D">
        <w:rPr>
          <w:rFonts w:eastAsia="Times New Roman"/>
          <w:lang w:val="uk-UA"/>
        </w:rPr>
        <w:t xml:space="preserve">роботи на рівні </w:t>
      </w:r>
      <w:r w:rsidR="00976530" w:rsidRPr="0024327D">
        <w:rPr>
          <w:rFonts w:eastAsia="Times New Roman"/>
          <w:lang w:val="uk-UA"/>
        </w:rPr>
        <w:t xml:space="preserve">відповідної </w:t>
      </w:r>
      <w:r w:rsidRPr="0024327D">
        <w:rPr>
          <w:rFonts w:eastAsia="Times New Roman"/>
          <w:lang w:val="uk-UA"/>
        </w:rPr>
        <w:t xml:space="preserve">галузі та </w:t>
      </w:r>
      <w:r w:rsidR="00957BF1" w:rsidRPr="0024327D">
        <w:rPr>
          <w:rFonts w:eastAsia="Times New Roman"/>
          <w:lang w:val="uk-UA"/>
        </w:rPr>
        <w:t xml:space="preserve">відповідних </w:t>
      </w:r>
      <w:r w:rsidRPr="0024327D">
        <w:rPr>
          <w:rFonts w:eastAsia="Times New Roman"/>
          <w:lang w:val="uk-UA"/>
        </w:rPr>
        <w:t>активів</w:t>
      </w:r>
      <w:r w:rsidR="00DA3BDC" w:rsidRPr="0024327D">
        <w:rPr>
          <w:rFonts w:eastAsia="Times New Roman"/>
          <w:lang w:val="uk-UA"/>
        </w:rPr>
        <w:t>)</w:t>
      </w:r>
      <w:r w:rsidRPr="0024327D">
        <w:rPr>
          <w:rFonts w:eastAsia="Times New Roman"/>
          <w:lang w:val="uk-UA"/>
        </w:rPr>
        <w:t xml:space="preserve">, </w:t>
      </w:r>
      <w:r w:rsidR="00D86BB5" w:rsidRPr="0024327D">
        <w:rPr>
          <w:rFonts w:eastAsia="Times New Roman"/>
          <w:lang w:val="uk-UA"/>
        </w:rPr>
        <w:t xml:space="preserve">вона </w:t>
      </w:r>
      <w:r w:rsidR="00DC4000" w:rsidRPr="0024327D">
        <w:rPr>
          <w:rFonts w:eastAsia="Times New Roman"/>
          <w:lang w:val="uk-UA"/>
        </w:rPr>
        <w:t xml:space="preserve">може бути </w:t>
      </w:r>
      <w:r w:rsidRPr="0024327D">
        <w:rPr>
          <w:rFonts w:eastAsia="Times New Roman"/>
          <w:lang w:val="uk-UA"/>
        </w:rPr>
        <w:t>корисною</w:t>
      </w:r>
      <w:r w:rsidR="00DC4000" w:rsidRPr="0024327D">
        <w:rPr>
          <w:rFonts w:eastAsia="Times New Roman"/>
          <w:lang w:val="uk-UA"/>
        </w:rPr>
        <w:t xml:space="preserve"> у випадку</w:t>
      </w:r>
      <w:r w:rsidRPr="0024327D">
        <w:rPr>
          <w:rFonts w:eastAsia="Times New Roman"/>
          <w:lang w:val="uk-UA"/>
        </w:rPr>
        <w:t xml:space="preserve">, якщо українські органи влади намагатимуться вирішити </w:t>
      </w:r>
      <w:r w:rsidR="007D5454" w:rsidRPr="0024327D">
        <w:rPr>
          <w:rFonts w:eastAsia="Times New Roman"/>
          <w:lang w:val="uk-UA"/>
        </w:rPr>
        <w:t xml:space="preserve">ці </w:t>
      </w:r>
      <w:r w:rsidRPr="0024327D">
        <w:rPr>
          <w:rFonts w:eastAsia="Times New Roman"/>
          <w:lang w:val="uk-UA"/>
        </w:rPr>
        <w:t>питання за допомогою інструментів структурованого фінансування.</w:t>
      </w:r>
      <w:r w:rsidR="007D5454" w:rsidRPr="0024327D">
        <w:rPr>
          <w:rFonts w:eastAsia="Times New Roman"/>
          <w:lang w:val="uk-UA"/>
        </w:rPr>
        <w:t xml:space="preserve"> </w:t>
      </w:r>
    </w:p>
    <w:p w14:paraId="6C582654" w14:textId="1C1016FF" w:rsidR="00C26436" w:rsidRPr="0024327D" w:rsidRDefault="007D5454" w:rsidP="000E107C">
      <w:pPr>
        <w:pStyle w:val="2"/>
        <w:rPr>
          <w:lang w:val="uk-UA"/>
        </w:rPr>
      </w:pPr>
      <w:bookmarkStart w:id="6" w:name="_Toc27153421"/>
      <w:bookmarkStart w:id="7" w:name="_Toc95480965"/>
      <w:r w:rsidRPr="0024327D">
        <w:rPr>
          <w:lang w:val="uk-UA"/>
        </w:rPr>
        <w:t xml:space="preserve">Сфера застосування та роль </w:t>
      </w:r>
      <w:r w:rsidR="00B70FA4" w:rsidRPr="0024327D">
        <w:rPr>
          <w:lang w:val="uk-UA"/>
        </w:rPr>
        <w:t>К</w:t>
      </w:r>
      <w:r w:rsidRPr="0024327D">
        <w:rPr>
          <w:lang w:val="uk-UA"/>
        </w:rPr>
        <w:t>онцепції</w:t>
      </w:r>
      <w:bookmarkEnd w:id="4"/>
      <w:bookmarkEnd w:id="5"/>
      <w:bookmarkEnd w:id="6"/>
      <w:bookmarkEnd w:id="7"/>
    </w:p>
    <w:p w14:paraId="0CC34733" w14:textId="4FA0F15F" w:rsidR="003E1D94" w:rsidRPr="0024327D" w:rsidRDefault="004131E2" w:rsidP="00AD6280">
      <w:pPr>
        <w:rPr>
          <w:lang w:val="uk-UA"/>
        </w:rPr>
      </w:pPr>
      <w:r w:rsidRPr="0024327D">
        <w:rPr>
          <w:lang w:val="uk-UA"/>
        </w:rPr>
        <w:t xml:space="preserve">Цей документ підготовлений </w:t>
      </w:r>
      <w:r w:rsidR="00A840C9" w:rsidRPr="0024327D">
        <w:rPr>
          <w:lang w:val="uk-UA"/>
        </w:rPr>
        <w:t xml:space="preserve">Саєнко Харенко та Richard Kemmish Consulting </w:t>
      </w:r>
      <w:r w:rsidR="002B671F" w:rsidRPr="0024327D">
        <w:rPr>
          <w:lang w:val="uk-UA"/>
        </w:rPr>
        <w:t xml:space="preserve">Limited </w:t>
      </w:r>
      <w:r w:rsidR="00364D6D" w:rsidRPr="0024327D">
        <w:rPr>
          <w:lang w:val="uk-UA"/>
        </w:rPr>
        <w:t>у</w:t>
      </w:r>
      <w:r w:rsidRPr="0024327D">
        <w:rPr>
          <w:lang w:val="uk-UA"/>
        </w:rPr>
        <w:t xml:space="preserve"> рамках про</w:t>
      </w:r>
      <w:r w:rsidR="00BF5B37" w:rsidRPr="0024327D">
        <w:rPr>
          <w:lang w:val="uk-UA"/>
        </w:rPr>
        <w:t>є</w:t>
      </w:r>
      <w:r w:rsidRPr="0024327D">
        <w:rPr>
          <w:lang w:val="uk-UA"/>
        </w:rPr>
        <w:t xml:space="preserve">кту, </w:t>
      </w:r>
      <w:r w:rsidR="00CB322B" w:rsidRPr="0024327D">
        <w:rPr>
          <w:lang w:val="uk-UA"/>
        </w:rPr>
        <w:t xml:space="preserve">здійснюваного </w:t>
      </w:r>
      <w:r w:rsidRPr="0024327D">
        <w:rPr>
          <w:lang w:val="uk-UA"/>
        </w:rPr>
        <w:t xml:space="preserve">Європейським банком реконструкції та розвитку (далі – </w:t>
      </w:r>
      <w:r w:rsidR="00A16F44" w:rsidRPr="0024327D">
        <w:rPr>
          <w:lang w:val="uk-UA"/>
        </w:rPr>
        <w:t>“</w:t>
      </w:r>
      <w:r w:rsidRPr="0024327D">
        <w:rPr>
          <w:lang w:val="uk-UA"/>
        </w:rPr>
        <w:t>ЄБРР</w:t>
      </w:r>
      <w:r w:rsidR="00A16F44" w:rsidRPr="0024327D">
        <w:rPr>
          <w:lang w:val="uk-UA"/>
        </w:rPr>
        <w:t>”</w:t>
      </w:r>
      <w:r w:rsidRPr="0024327D">
        <w:rPr>
          <w:lang w:val="uk-UA"/>
        </w:rPr>
        <w:t>)</w:t>
      </w:r>
      <w:r w:rsidR="00A840C9" w:rsidRPr="0024327D">
        <w:rPr>
          <w:lang w:val="uk-UA"/>
        </w:rPr>
        <w:t>,</w:t>
      </w:r>
      <w:r w:rsidRPr="0024327D">
        <w:rPr>
          <w:lang w:val="uk-UA"/>
        </w:rPr>
        <w:t xml:space="preserve"> та фінансованого </w:t>
      </w:r>
      <w:r w:rsidR="00DD393C" w:rsidRPr="0024327D">
        <w:rPr>
          <w:lang w:val="uk-UA"/>
        </w:rPr>
        <w:t>Спеціальними фондами акціонерів, якими управляє</w:t>
      </w:r>
      <w:r w:rsidR="00A02717" w:rsidRPr="0024327D">
        <w:rPr>
          <w:lang w:val="uk-UA"/>
        </w:rPr>
        <w:t xml:space="preserve"> </w:t>
      </w:r>
      <w:r w:rsidRPr="0024327D">
        <w:rPr>
          <w:lang w:val="uk-UA"/>
        </w:rPr>
        <w:t>ЄБРР</w:t>
      </w:r>
      <w:r w:rsidR="004F5BE9" w:rsidRPr="0024327D">
        <w:rPr>
          <w:lang w:val="uk-UA"/>
        </w:rPr>
        <w:t xml:space="preserve"> (далі </w:t>
      </w:r>
      <w:r w:rsidR="007778B8" w:rsidRPr="0024327D">
        <w:rPr>
          <w:lang w:val="uk-UA"/>
        </w:rPr>
        <w:t>–</w:t>
      </w:r>
      <w:r w:rsidR="004F5BE9" w:rsidRPr="0024327D">
        <w:rPr>
          <w:lang w:val="uk-UA"/>
        </w:rPr>
        <w:t xml:space="preserve"> </w:t>
      </w:r>
      <w:r w:rsidR="00271FCD" w:rsidRPr="0024327D">
        <w:rPr>
          <w:lang w:val="uk-UA"/>
        </w:rPr>
        <w:t>“</w:t>
      </w:r>
      <w:r w:rsidR="004F5BE9" w:rsidRPr="0024327D">
        <w:rPr>
          <w:lang w:val="uk-UA"/>
        </w:rPr>
        <w:t>команда ЄБРР з сек'юритизації</w:t>
      </w:r>
      <w:r w:rsidR="00271FCD" w:rsidRPr="0024327D">
        <w:rPr>
          <w:lang w:val="uk-UA"/>
        </w:rPr>
        <w:t>”</w:t>
      </w:r>
      <w:r w:rsidR="004F5BE9" w:rsidRPr="0024327D">
        <w:rPr>
          <w:lang w:val="uk-UA"/>
        </w:rPr>
        <w:t>)</w:t>
      </w:r>
      <w:r w:rsidR="00AD6280" w:rsidRPr="0024327D">
        <w:rPr>
          <w:lang w:val="uk-UA"/>
        </w:rPr>
        <w:t>, метою реалізації якого є</w:t>
      </w:r>
      <w:r w:rsidRPr="0024327D">
        <w:rPr>
          <w:lang w:val="uk-UA"/>
        </w:rPr>
        <w:t xml:space="preserve"> надання </w:t>
      </w:r>
      <w:r w:rsidR="00EC7B8B" w:rsidRPr="0024327D">
        <w:rPr>
          <w:lang w:val="uk-UA"/>
        </w:rPr>
        <w:t xml:space="preserve">рекомендацій </w:t>
      </w:r>
      <w:r w:rsidRPr="0024327D">
        <w:rPr>
          <w:lang w:val="uk-UA"/>
        </w:rPr>
        <w:t xml:space="preserve">та підтримки Національній комісії з цінних паперів та фондового ринку (далі – </w:t>
      </w:r>
      <w:r w:rsidR="007718F6" w:rsidRPr="0024327D">
        <w:rPr>
          <w:lang w:val="uk-UA"/>
        </w:rPr>
        <w:t>“НКЦПФР”</w:t>
      </w:r>
      <w:r w:rsidRPr="0024327D">
        <w:rPr>
          <w:lang w:val="uk-UA"/>
        </w:rPr>
        <w:t xml:space="preserve">) та Національному банку України (далі - </w:t>
      </w:r>
      <w:r w:rsidR="007718F6" w:rsidRPr="0024327D">
        <w:rPr>
          <w:lang w:val="uk-UA"/>
        </w:rPr>
        <w:t>“НБУ”</w:t>
      </w:r>
      <w:r w:rsidRPr="0024327D">
        <w:rPr>
          <w:lang w:val="uk-UA"/>
        </w:rPr>
        <w:t>) у процесі розвитку ринків сек'юритизації та облігацій</w:t>
      </w:r>
      <w:r w:rsidR="00225BDB" w:rsidRPr="0024327D">
        <w:rPr>
          <w:lang w:val="uk-UA"/>
        </w:rPr>
        <w:t xml:space="preserve"> з покриттям</w:t>
      </w:r>
      <w:r w:rsidRPr="0024327D">
        <w:rPr>
          <w:lang w:val="uk-UA"/>
        </w:rPr>
        <w:t>. Зокрема, це включає, серед іншого:</w:t>
      </w:r>
    </w:p>
    <w:p w14:paraId="2186604B" w14:textId="160FEBD1" w:rsidR="003E1D94" w:rsidRPr="0024327D" w:rsidRDefault="004131E2" w:rsidP="00501D25">
      <w:pPr>
        <w:pStyle w:val="a4"/>
        <w:numPr>
          <w:ilvl w:val="0"/>
          <w:numId w:val="3"/>
        </w:numPr>
        <w:rPr>
          <w:lang w:val="uk-UA"/>
        </w:rPr>
      </w:pPr>
      <w:r w:rsidRPr="0024327D">
        <w:rPr>
          <w:lang w:val="uk-UA"/>
        </w:rPr>
        <w:t xml:space="preserve">аналіз </w:t>
      </w:r>
      <w:r w:rsidR="00CC6AA4" w:rsidRPr="0024327D">
        <w:rPr>
          <w:lang w:val="uk-UA"/>
        </w:rPr>
        <w:t xml:space="preserve">чинного </w:t>
      </w:r>
      <w:r w:rsidR="00E4751A" w:rsidRPr="0024327D">
        <w:rPr>
          <w:lang w:val="uk-UA"/>
        </w:rPr>
        <w:t>релевантного законодавства;</w:t>
      </w:r>
    </w:p>
    <w:p w14:paraId="3B28ED32" w14:textId="01568B3B" w:rsidR="003E1D94" w:rsidRPr="0024327D" w:rsidRDefault="00EC7B8B" w:rsidP="00501D25">
      <w:pPr>
        <w:pStyle w:val="a4"/>
        <w:numPr>
          <w:ilvl w:val="0"/>
          <w:numId w:val="3"/>
        </w:numPr>
        <w:rPr>
          <w:lang w:val="uk-UA"/>
        </w:rPr>
      </w:pPr>
      <w:r w:rsidRPr="0024327D">
        <w:rPr>
          <w:lang w:val="uk-UA"/>
        </w:rPr>
        <w:t xml:space="preserve">рекомендації </w:t>
      </w:r>
      <w:r w:rsidR="004131E2" w:rsidRPr="0024327D">
        <w:rPr>
          <w:lang w:val="uk-UA"/>
        </w:rPr>
        <w:t>щодо змін</w:t>
      </w:r>
      <w:r w:rsidR="00DB41C0" w:rsidRPr="0024327D">
        <w:rPr>
          <w:lang w:val="uk-UA"/>
        </w:rPr>
        <w:t xml:space="preserve"> до законодавства</w:t>
      </w:r>
      <w:r w:rsidR="004131E2" w:rsidRPr="0024327D">
        <w:rPr>
          <w:lang w:val="uk-UA"/>
        </w:rPr>
        <w:t>, необхідних для сприяння розвитку цих ринків</w:t>
      </w:r>
      <w:r w:rsidR="003E1D94" w:rsidRPr="0024327D">
        <w:rPr>
          <w:lang w:val="uk-UA"/>
        </w:rPr>
        <w:t xml:space="preserve">; </w:t>
      </w:r>
    </w:p>
    <w:p w14:paraId="2C2069BD" w14:textId="263E869A" w:rsidR="003E1D94" w:rsidRPr="0024327D" w:rsidRDefault="004131E2" w:rsidP="00501D25">
      <w:pPr>
        <w:pStyle w:val="a4"/>
        <w:numPr>
          <w:ilvl w:val="0"/>
          <w:numId w:val="3"/>
        </w:numPr>
        <w:rPr>
          <w:lang w:val="uk-UA"/>
        </w:rPr>
      </w:pPr>
      <w:r w:rsidRPr="0024327D">
        <w:rPr>
          <w:lang w:val="uk-UA"/>
        </w:rPr>
        <w:t xml:space="preserve">обговорення з усіма </w:t>
      </w:r>
      <w:r w:rsidR="00CB322B" w:rsidRPr="0024327D">
        <w:rPr>
          <w:lang w:val="uk-UA"/>
        </w:rPr>
        <w:t>учасниками про</w:t>
      </w:r>
      <w:r w:rsidR="00A5285D" w:rsidRPr="0024327D">
        <w:rPr>
          <w:lang w:val="uk-UA"/>
        </w:rPr>
        <w:t>є</w:t>
      </w:r>
      <w:r w:rsidR="00CB322B" w:rsidRPr="0024327D">
        <w:rPr>
          <w:lang w:val="uk-UA"/>
        </w:rPr>
        <w:t xml:space="preserve">кту </w:t>
      </w:r>
      <w:r w:rsidRPr="0024327D">
        <w:rPr>
          <w:lang w:val="uk-UA"/>
        </w:rPr>
        <w:t xml:space="preserve">ризиків та переваг </w:t>
      </w:r>
      <w:r w:rsidR="00762255" w:rsidRPr="0024327D">
        <w:rPr>
          <w:lang w:val="uk-UA"/>
        </w:rPr>
        <w:t>за</w:t>
      </w:r>
      <w:r w:rsidRPr="0024327D">
        <w:rPr>
          <w:lang w:val="uk-UA"/>
        </w:rPr>
        <w:t xml:space="preserve">пропонованих інструментів та, </w:t>
      </w:r>
      <w:r w:rsidR="00762255" w:rsidRPr="0024327D">
        <w:rPr>
          <w:lang w:val="uk-UA"/>
        </w:rPr>
        <w:t>за</w:t>
      </w:r>
      <w:r w:rsidRPr="0024327D">
        <w:rPr>
          <w:lang w:val="uk-UA"/>
        </w:rPr>
        <w:t xml:space="preserve"> результат</w:t>
      </w:r>
      <w:r w:rsidR="00762255" w:rsidRPr="0024327D">
        <w:rPr>
          <w:lang w:val="uk-UA"/>
        </w:rPr>
        <w:t>ами</w:t>
      </w:r>
      <w:r w:rsidRPr="0024327D">
        <w:rPr>
          <w:lang w:val="uk-UA"/>
        </w:rPr>
        <w:t xml:space="preserve"> таких обговорень, визначення </w:t>
      </w:r>
      <w:r w:rsidR="00FB76B4" w:rsidRPr="0024327D">
        <w:rPr>
          <w:lang w:val="uk-UA"/>
        </w:rPr>
        <w:t>необхідних механізмів захисту</w:t>
      </w:r>
      <w:r w:rsidR="003E1D94" w:rsidRPr="0024327D">
        <w:rPr>
          <w:lang w:val="uk-UA"/>
        </w:rPr>
        <w:t>;</w:t>
      </w:r>
    </w:p>
    <w:p w14:paraId="72853194" w14:textId="517F7E93" w:rsidR="003E1D94" w:rsidRPr="0024327D" w:rsidRDefault="00762255" w:rsidP="00501D25">
      <w:pPr>
        <w:pStyle w:val="a4"/>
        <w:numPr>
          <w:ilvl w:val="0"/>
          <w:numId w:val="3"/>
        </w:numPr>
        <w:rPr>
          <w:lang w:val="uk-UA"/>
        </w:rPr>
      </w:pPr>
      <w:r w:rsidRPr="0024327D">
        <w:rPr>
          <w:lang w:val="uk-UA"/>
        </w:rPr>
        <w:t>іншу необхідну підтримку</w:t>
      </w:r>
      <w:r w:rsidR="003E1D94" w:rsidRPr="0024327D">
        <w:rPr>
          <w:lang w:val="uk-UA"/>
        </w:rPr>
        <w:t>.</w:t>
      </w:r>
    </w:p>
    <w:p w14:paraId="7ACBE443" w14:textId="6C58B1E2" w:rsidR="00AE1252" w:rsidRPr="0024327D" w:rsidRDefault="00762255" w:rsidP="000E107C">
      <w:pPr>
        <w:pStyle w:val="2"/>
        <w:rPr>
          <w:lang w:val="uk-UA"/>
        </w:rPr>
      </w:pPr>
      <w:bookmarkStart w:id="8" w:name="_Toc95480966"/>
      <w:r w:rsidRPr="0024327D">
        <w:rPr>
          <w:lang w:val="uk-UA"/>
        </w:rPr>
        <w:t xml:space="preserve">Мета </w:t>
      </w:r>
      <w:r w:rsidR="00B70FA4" w:rsidRPr="0024327D">
        <w:rPr>
          <w:lang w:val="uk-UA"/>
        </w:rPr>
        <w:t>К</w:t>
      </w:r>
      <w:r w:rsidRPr="0024327D">
        <w:rPr>
          <w:lang w:val="uk-UA"/>
        </w:rPr>
        <w:t>онцепції</w:t>
      </w:r>
      <w:bookmarkEnd w:id="8"/>
    </w:p>
    <w:p w14:paraId="7B00D4F3" w14:textId="1B3C786F" w:rsidR="003E1D94" w:rsidRPr="0024327D" w:rsidRDefault="00762255" w:rsidP="00501D25">
      <w:pPr>
        <w:rPr>
          <w:lang w:val="uk-UA"/>
        </w:rPr>
      </w:pPr>
      <w:r w:rsidRPr="0024327D">
        <w:rPr>
          <w:lang w:val="uk-UA"/>
        </w:rPr>
        <w:t xml:space="preserve">Мета цього документу полягає у визначенні питань, які було б доцільно вирішити для запровадження облігацій </w:t>
      </w:r>
      <w:r w:rsidR="008251CD" w:rsidRPr="0024327D">
        <w:rPr>
          <w:lang w:val="uk-UA"/>
        </w:rPr>
        <w:t xml:space="preserve">з покриттям </w:t>
      </w:r>
      <w:r w:rsidRPr="0024327D">
        <w:rPr>
          <w:lang w:val="uk-UA"/>
        </w:rPr>
        <w:t xml:space="preserve">та сек'юритизації в Україні, </w:t>
      </w:r>
      <w:r w:rsidR="00C640BB" w:rsidRPr="0024327D">
        <w:rPr>
          <w:lang w:val="uk-UA"/>
        </w:rPr>
        <w:t>описі заходів</w:t>
      </w:r>
      <w:r w:rsidR="003C4C64" w:rsidRPr="0024327D">
        <w:rPr>
          <w:lang w:val="uk-UA"/>
        </w:rPr>
        <w:t>, які мають бути запроваджені в ході</w:t>
      </w:r>
      <w:r w:rsidR="00F51603" w:rsidRPr="0024327D">
        <w:rPr>
          <w:lang w:val="uk-UA"/>
        </w:rPr>
        <w:t xml:space="preserve"> законодавчого процесу, </w:t>
      </w:r>
      <w:r w:rsidRPr="0024327D">
        <w:rPr>
          <w:lang w:val="uk-UA"/>
        </w:rPr>
        <w:t>та</w:t>
      </w:r>
      <w:r w:rsidR="001373E8" w:rsidRPr="0024327D">
        <w:rPr>
          <w:lang w:val="uk-UA"/>
        </w:rPr>
        <w:t xml:space="preserve"> отримання </w:t>
      </w:r>
      <w:r w:rsidR="00A840C9" w:rsidRPr="0024327D">
        <w:rPr>
          <w:lang w:val="uk-UA"/>
        </w:rPr>
        <w:t xml:space="preserve">підтримки </w:t>
      </w:r>
      <w:r w:rsidR="001373E8" w:rsidRPr="0024327D">
        <w:rPr>
          <w:lang w:val="uk-UA"/>
        </w:rPr>
        <w:t>д</w:t>
      </w:r>
      <w:r w:rsidR="00CF3471" w:rsidRPr="0024327D">
        <w:rPr>
          <w:lang w:val="uk-UA"/>
        </w:rPr>
        <w:t>л</w:t>
      </w:r>
      <w:r w:rsidR="00A840C9" w:rsidRPr="0024327D">
        <w:rPr>
          <w:lang w:val="uk-UA"/>
        </w:rPr>
        <w:t xml:space="preserve">я </w:t>
      </w:r>
      <w:r w:rsidR="001373E8" w:rsidRPr="0024327D">
        <w:rPr>
          <w:lang w:val="uk-UA"/>
        </w:rPr>
        <w:t>поча</w:t>
      </w:r>
      <w:r w:rsidR="001C4302" w:rsidRPr="0024327D">
        <w:rPr>
          <w:lang w:val="uk-UA"/>
        </w:rPr>
        <w:t xml:space="preserve">тку роботи над </w:t>
      </w:r>
      <w:r w:rsidRPr="0024327D">
        <w:rPr>
          <w:lang w:val="uk-UA"/>
        </w:rPr>
        <w:t>підготовк</w:t>
      </w:r>
      <w:r w:rsidR="001C4302" w:rsidRPr="0024327D">
        <w:rPr>
          <w:lang w:val="uk-UA"/>
        </w:rPr>
        <w:t>ою</w:t>
      </w:r>
      <w:r w:rsidRPr="0024327D">
        <w:rPr>
          <w:lang w:val="uk-UA"/>
        </w:rPr>
        <w:t xml:space="preserve"> законопро</w:t>
      </w:r>
      <w:r w:rsidR="00A840C9" w:rsidRPr="0024327D">
        <w:rPr>
          <w:lang w:val="uk-UA"/>
        </w:rPr>
        <w:t>є</w:t>
      </w:r>
      <w:r w:rsidRPr="0024327D">
        <w:rPr>
          <w:lang w:val="uk-UA"/>
        </w:rPr>
        <w:t>кту.</w:t>
      </w:r>
    </w:p>
    <w:p w14:paraId="2B52D4F4" w14:textId="2B613804" w:rsidR="00C26436" w:rsidRPr="0024327D" w:rsidRDefault="006237FA" w:rsidP="000E107C">
      <w:pPr>
        <w:pStyle w:val="2"/>
        <w:rPr>
          <w:lang w:val="uk-UA"/>
        </w:rPr>
      </w:pPr>
      <w:bookmarkStart w:id="9" w:name="_Toc6942230"/>
      <w:bookmarkStart w:id="10" w:name="_Toc5081018"/>
      <w:bookmarkStart w:id="11" w:name="_Toc27153422"/>
      <w:bookmarkStart w:id="12" w:name="_Toc95480967"/>
      <w:r w:rsidRPr="0024327D">
        <w:rPr>
          <w:lang w:val="uk-UA"/>
        </w:rPr>
        <w:lastRenderedPageBreak/>
        <w:t xml:space="preserve">Загальний опис </w:t>
      </w:r>
      <w:r w:rsidR="00CB322B" w:rsidRPr="0024327D">
        <w:rPr>
          <w:lang w:val="uk-UA"/>
        </w:rPr>
        <w:t>процесу</w:t>
      </w:r>
      <w:bookmarkEnd w:id="9"/>
      <w:bookmarkEnd w:id="10"/>
      <w:bookmarkEnd w:id="11"/>
      <w:bookmarkEnd w:id="12"/>
    </w:p>
    <w:p w14:paraId="1B6229BF" w14:textId="32F67140" w:rsidR="00762255" w:rsidRPr="0024327D" w:rsidRDefault="00CB322B" w:rsidP="00501D25">
      <w:pPr>
        <w:rPr>
          <w:lang w:val="uk-UA" w:eastAsia="it-IT"/>
        </w:rPr>
      </w:pPr>
      <w:r w:rsidRPr="0024327D">
        <w:rPr>
          <w:lang w:val="uk-UA" w:eastAsia="it-IT"/>
        </w:rPr>
        <w:t xml:space="preserve">На основі </w:t>
      </w:r>
      <w:r w:rsidR="004E3354" w:rsidRPr="0024327D">
        <w:rPr>
          <w:lang w:val="uk-UA" w:eastAsia="it-IT"/>
        </w:rPr>
        <w:t>рекомендацій</w:t>
      </w:r>
      <w:r w:rsidR="00A772C4" w:rsidRPr="0024327D">
        <w:rPr>
          <w:lang w:val="uk-UA" w:eastAsia="it-IT"/>
        </w:rPr>
        <w:t>, викладених в цьому документі,</w:t>
      </w:r>
      <w:r w:rsidR="004E3354" w:rsidRPr="0024327D">
        <w:rPr>
          <w:lang w:val="uk-UA" w:eastAsia="it-IT"/>
        </w:rPr>
        <w:t xml:space="preserve"> </w:t>
      </w:r>
      <w:r w:rsidR="00A5285D" w:rsidRPr="0024327D">
        <w:rPr>
          <w:lang w:val="uk-UA" w:eastAsia="it-IT"/>
        </w:rPr>
        <w:t xml:space="preserve"> які</w:t>
      </w:r>
      <w:r w:rsidRPr="0024327D">
        <w:rPr>
          <w:lang w:val="uk-UA" w:eastAsia="it-IT"/>
        </w:rPr>
        <w:t xml:space="preserve"> </w:t>
      </w:r>
      <w:r w:rsidR="00A772C4" w:rsidRPr="0024327D">
        <w:rPr>
          <w:lang w:val="uk-UA" w:eastAsia="it-IT"/>
        </w:rPr>
        <w:t>досяг</w:t>
      </w:r>
      <w:r w:rsidR="00A5285D" w:rsidRPr="0024327D">
        <w:rPr>
          <w:lang w:val="uk-UA" w:eastAsia="it-IT"/>
        </w:rPr>
        <w:t>ну</w:t>
      </w:r>
      <w:r w:rsidR="00A772C4" w:rsidRPr="0024327D">
        <w:rPr>
          <w:lang w:val="uk-UA" w:eastAsia="it-IT"/>
        </w:rPr>
        <w:t>т</w:t>
      </w:r>
      <w:r w:rsidR="00A5285D" w:rsidRPr="0024327D">
        <w:rPr>
          <w:lang w:val="uk-UA" w:eastAsia="it-IT"/>
        </w:rPr>
        <w:t>і шляхом</w:t>
      </w:r>
      <w:r w:rsidR="00A772C4" w:rsidRPr="0024327D">
        <w:rPr>
          <w:lang w:val="uk-UA" w:eastAsia="it-IT"/>
        </w:rPr>
        <w:t xml:space="preserve"> </w:t>
      </w:r>
      <w:r w:rsidRPr="0024327D">
        <w:rPr>
          <w:lang w:val="uk-UA" w:eastAsia="it-IT"/>
        </w:rPr>
        <w:t xml:space="preserve">консенсусу між </w:t>
      </w:r>
      <w:r w:rsidR="00A840C9" w:rsidRPr="0024327D">
        <w:rPr>
          <w:lang w:val="uk-UA" w:eastAsia="it-IT"/>
        </w:rPr>
        <w:t xml:space="preserve">зацікавленими сторонами </w:t>
      </w:r>
      <w:r w:rsidRPr="0024327D">
        <w:rPr>
          <w:lang w:val="uk-UA" w:eastAsia="it-IT"/>
        </w:rPr>
        <w:t>з широкого кола питань</w:t>
      </w:r>
      <w:r w:rsidR="00D11CD0" w:rsidRPr="0024327D">
        <w:rPr>
          <w:lang w:val="uk-UA" w:eastAsia="it-IT"/>
        </w:rPr>
        <w:t xml:space="preserve">, </w:t>
      </w:r>
      <w:r w:rsidR="00A5285D" w:rsidRPr="0024327D">
        <w:rPr>
          <w:lang w:val="uk-UA" w:eastAsia="it-IT"/>
        </w:rPr>
        <w:t xml:space="preserve"> буде здійснюватися розробка законопроєкту</w:t>
      </w:r>
      <w:r w:rsidRPr="0024327D">
        <w:rPr>
          <w:lang w:val="uk-UA" w:eastAsia="it-IT"/>
        </w:rPr>
        <w:t>.</w:t>
      </w:r>
    </w:p>
    <w:p w14:paraId="44DDC33C" w14:textId="02381230" w:rsidR="00C26436" w:rsidRPr="0024327D" w:rsidRDefault="003028B5" w:rsidP="00501D25">
      <w:pPr>
        <w:rPr>
          <w:lang w:val="uk-UA" w:eastAsia="it-IT"/>
        </w:rPr>
      </w:pPr>
      <w:r w:rsidRPr="0024327D">
        <w:rPr>
          <w:lang w:val="uk-UA" w:eastAsia="it-IT"/>
        </w:rPr>
        <w:t>Зазначений законопро</w:t>
      </w:r>
      <w:r w:rsidR="00A840C9" w:rsidRPr="0024327D">
        <w:rPr>
          <w:lang w:val="uk-UA" w:eastAsia="it-IT"/>
        </w:rPr>
        <w:t>є</w:t>
      </w:r>
      <w:r w:rsidRPr="0024327D">
        <w:rPr>
          <w:lang w:val="uk-UA" w:eastAsia="it-IT"/>
        </w:rPr>
        <w:t>кт (серед іншого)</w:t>
      </w:r>
      <w:r w:rsidR="00C26436" w:rsidRPr="0024327D">
        <w:rPr>
          <w:lang w:val="uk-UA" w:eastAsia="it-IT"/>
        </w:rPr>
        <w:t>:</w:t>
      </w:r>
    </w:p>
    <w:p w14:paraId="0A97BA54" w14:textId="0566A5DC" w:rsidR="00C26436" w:rsidRPr="0024327D" w:rsidRDefault="003028B5" w:rsidP="00501D25">
      <w:pPr>
        <w:pStyle w:val="a4"/>
        <w:numPr>
          <w:ilvl w:val="0"/>
          <w:numId w:val="3"/>
        </w:numPr>
        <w:rPr>
          <w:lang w:val="uk-UA"/>
        </w:rPr>
      </w:pPr>
      <w:r w:rsidRPr="0024327D">
        <w:rPr>
          <w:lang w:val="uk-UA"/>
        </w:rPr>
        <w:t xml:space="preserve">дасть визначення облігаціям </w:t>
      </w:r>
      <w:r w:rsidR="00FE0189" w:rsidRPr="0024327D">
        <w:rPr>
          <w:lang w:val="uk-UA"/>
        </w:rPr>
        <w:t xml:space="preserve">з покриттям </w:t>
      </w:r>
      <w:r w:rsidRPr="0024327D">
        <w:rPr>
          <w:lang w:val="uk-UA"/>
        </w:rPr>
        <w:t>та сек’юритизації та визнач</w:t>
      </w:r>
      <w:r w:rsidR="00ED4410" w:rsidRPr="0024327D">
        <w:rPr>
          <w:lang w:val="uk-UA"/>
        </w:rPr>
        <w:t>ить</w:t>
      </w:r>
      <w:r w:rsidRPr="0024327D">
        <w:rPr>
          <w:lang w:val="uk-UA"/>
        </w:rPr>
        <w:t xml:space="preserve"> їх </w:t>
      </w:r>
      <w:r w:rsidR="001361F0" w:rsidRPr="0024327D">
        <w:rPr>
          <w:lang w:val="uk-UA"/>
        </w:rPr>
        <w:t xml:space="preserve">загальні </w:t>
      </w:r>
      <w:r w:rsidRPr="0024327D">
        <w:rPr>
          <w:lang w:val="uk-UA"/>
        </w:rPr>
        <w:t>параметри</w:t>
      </w:r>
      <w:r w:rsidR="00C26436" w:rsidRPr="0024327D">
        <w:rPr>
          <w:lang w:val="uk-UA"/>
        </w:rPr>
        <w:t>;</w:t>
      </w:r>
    </w:p>
    <w:p w14:paraId="79D3E0B5" w14:textId="6080FD9E" w:rsidR="00C26436" w:rsidRPr="0024327D" w:rsidRDefault="00E9435B" w:rsidP="00501D25">
      <w:pPr>
        <w:pStyle w:val="a4"/>
        <w:numPr>
          <w:ilvl w:val="0"/>
          <w:numId w:val="3"/>
        </w:numPr>
        <w:rPr>
          <w:lang w:val="uk-UA"/>
        </w:rPr>
      </w:pPr>
      <w:r w:rsidRPr="0024327D">
        <w:rPr>
          <w:lang w:val="uk-UA"/>
        </w:rPr>
        <w:t xml:space="preserve">передбачатиме внесення </w:t>
      </w:r>
      <w:r w:rsidR="003028B5" w:rsidRPr="0024327D">
        <w:rPr>
          <w:lang w:val="uk-UA"/>
        </w:rPr>
        <w:t>змін до деяких інших законів</w:t>
      </w:r>
      <w:r w:rsidR="00C26436" w:rsidRPr="0024327D">
        <w:rPr>
          <w:lang w:val="uk-UA"/>
        </w:rPr>
        <w:t>;</w:t>
      </w:r>
    </w:p>
    <w:p w14:paraId="506088CC" w14:textId="4F8E7050" w:rsidR="00C26436" w:rsidRPr="0024327D" w:rsidRDefault="003028B5" w:rsidP="00501D25">
      <w:pPr>
        <w:pStyle w:val="a4"/>
        <w:numPr>
          <w:ilvl w:val="0"/>
          <w:numId w:val="3"/>
        </w:numPr>
        <w:rPr>
          <w:lang w:val="uk-UA"/>
        </w:rPr>
      </w:pPr>
      <w:r w:rsidRPr="0024327D">
        <w:rPr>
          <w:lang w:val="uk-UA" w:eastAsia="it-IT"/>
        </w:rPr>
        <w:t xml:space="preserve">визначить </w:t>
      </w:r>
      <w:r w:rsidR="008F53B6" w:rsidRPr="0024327D">
        <w:rPr>
          <w:lang w:val="uk-UA" w:eastAsia="it-IT"/>
        </w:rPr>
        <w:t>необхідний обсяг питань для підзаконних нормативно-правових актів</w:t>
      </w:r>
      <w:r w:rsidR="00C26436" w:rsidRPr="0024327D">
        <w:rPr>
          <w:lang w:val="uk-UA"/>
        </w:rPr>
        <w:t xml:space="preserve">; </w:t>
      </w:r>
    </w:p>
    <w:p w14:paraId="226CDC7E" w14:textId="267785B4" w:rsidR="00C26436" w:rsidRPr="0024327D" w:rsidRDefault="003028B5" w:rsidP="00501D25">
      <w:pPr>
        <w:pStyle w:val="a4"/>
        <w:numPr>
          <w:ilvl w:val="0"/>
          <w:numId w:val="3"/>
        </w:numPr>
        <w:rPr>
          <w:lang w:val="uk-UA" w:eastAsia="it-IT"/>
        </w:rPr>
      </w:pPr>
      <w:r w:rsidRPr="0024327D">
        <w:rPr>
          <w:lang w:val="uk-UA"/>
        </w:rPr>
        <w:t>визначить необхідні стандарти захисту інвесторів</w:t>
      </w:r>
      <w:r w:rsidR="000E1D3D" w:rsidRPr="0024327D">
        <w:rPr>
          <w:lang w:val="uk-UA" w:eastAsia="it-IT"/>
        </w:rPr>
        <w:t>.</w:t>
      </w:r>
    </w:p>
    <w:p w14:paraId="45539435" w14:textId="7862E09C" w:rsidR="00C26436" w:rsidRPr="0024327D" w:rsidRDefault="00931B8B" w:rsidP="00501D25">
      <w:pPr>
        <w:rPr>
          <w:lang w:val="uk-UA" w:eastAsia="it-IT"/>
        </w:rPr>
      </w:pPr>
      <w:r w:rsidRPr="0024327D">
        <w:rPr>
          <w:lang w:val="uk-UA" w:eastAsia="it-IT"/>
        </w:rPr>
        <w:t xml:space="preserve">За результатами </w:t>
      </w:r>
      <w:r w:rsidR="00A840C9" w:rsidRPr="0024327D">
        <w:rPr>
          <w:lang w:val="uk-UA" w:eastAsia="it-IT"/>
        </w:rPr>
        <w:t xml:space="preserve">законодавчого врегулювання питань емісії облігацій з покриттям та сек’юритизації </w:t>
      </w:r>
      <w:r w:rsidRPr="0024327D">
        <w:rPr>
          <w:lang w:val="uk-UA" w:eastAsia="it-IT"/>
        </w:rPr>
        <w:t xml:space="preserve">мають бути розроблені </w:t>
      </w:r>
      <w:r w:rsidR="003028B5" w:rsidRPr="0024327D">
        <w:rPr>
          <w:lang w:val="uk-UA" w:eastAsia="it-IT"/>
        </w:rPr>
        <w:t>про</w:t>
      </w:r>
      <w:r w:rsidR="00A5285D" w:rsidRPr="0024327D">
        <w:rPr>
          <w:lang w:val="uk-UA" w:eastAsia="it-IT"/>
        </w:rPr>
        <w:t>є</w:t>
      </w:r>
      <w:r w:rsidR="003028B5" w:rsidRPr="0024327D">
        <w:rPr>
          <w:lang w:val="uk-UA" w:eastAsia="it-IT"/>
        </w:rPr>
        <w:t xml:space="preserve">кти </w:t>
      </w:r>
      <w:r w:rsidRPr="0024327D">
        <w:rPr>
          <w:lang w:val="uk-UA" w:eastAsia="it-IT"/>
        </w:rPr>
        <w:t xml:space="preserve">підзаконних нормативно-правових актів </w:t>
      </w:r>
      <w:r w:rsidR="006237FA" w:rsidRPr="0024327D">
        <w:rPr>
          <w:lang w:val="uk-UA" w:eastAsia="it-IT"/>
        </w:rPr>
        <w:t>для більш детального врегулювання відповідних відносин.</w:t>
      </w:r>
      <w:r w:rsidR="00C26436" w:rsidRPr="0024327D">
        <w:rPr>
          <w:lang w:val="uk-UA" w:eastAsia="it-IT"/>
        </w:rPr>
        <w:t xml:space="preserve"> </w:t>
      </w:r>
    </w:p>
    <w:p w14:paraId="32698534" w14:textId="77777777" w:rsidR="00C26436" w:rsidRPr="0024327D" w:rsidRDefault="00C26436" w:rsidP="00501D25">
      <w:pPr>
        <w:rPr>
          <w:lang w:val="uk-UA"/>
        </w:rPr>
      </w:pPr>
    </w:p>
    <w:p w14:paraId="1527EE77" w14:textId="08042674" w:rsidR="00C26436" w:rsidRPr="0024327D" w:rsidRDefault="0018694F" w:rsidP="000E107C">
      <w:pPr>
        <w:pStyle w:val="1"/>
        <w:rPr>
          <w:lang w:val="uk-UA"/>
        </w:rPr>
      </w:pPr>
      <w:bookmarkStart w:id="13" w:name="_Toc95480968"/>
      <w:r w:rsidRPr="0024327D">
        <w:rPr>
          <w:lang w:val="uk-UA"/>
        </w:rPr>
        <w:lastRenderedPageBreak/>
        <w:t>Опис</w:t>
      </w:r>
      <w:bookmarkEnd w:id="13"/>
    </w:p>
    <w:p w14:paraId="37F40527" w14:textId="528A26F0" w:rsidR="00C26436" w:rsidRPr="0024327D" w:rsidRDefault="0018694F" w:rsidP="000E107C">
      <w:pPr>
        <w:pStyle w:val="2"/>
        <w:rPr>
          <w:lang w:val="uk-UA"/>
        </w:rPr>
      </w:pPr>
      <w:bookmarkStart w:id="14" w:name="_Toc6942232"/>
      <w:bookmarkStart w:id="15" w:name="_Toc5081020"/>
      <w:bookmarkStart w:id="16" w:name="_Toc27153424"/>
      <w:bookmarkStart w:id="17" w:name="_Toc95480969"/>
      <w:r w:rsidRPr="0024327D">
        <w:rPr>
          <w:lang w:val="uk-UA"/>
        </w:rPr>
        <w:t>Порівняння сек’юритизації та облігацій</w:t>
      </w:r>
      <w:bookmarkEnd w:id="14"/>
      <w:bookmarkEnd w:id="15"/>
      <w:bookmarkEnd w:id="16"/>
      <w:r w:rsidR="006237FA" w:rsidRPr="0024327D">
        <w:rPr>
          <w:lang w:val="uk-UA"/>
        </w:rPr>
        <w:t xml:space="preserve"> з покриттям</w:t>
      </w:r>
      <w:bookmarkEnd w:id="17"/>
    </w:p>
    <w:p w14:paraId="62885BDA" w14:textId="29EFCB0F" w:rsidR="0018694F" w:rsidRPr="0024327D" w:rsidRDefault="006237FA" w:rsidP="00501D25">
      <w:pPr>
        <w:rPr>
          <w:lang w:val="uk-UA"/>
        </w:rPr>
      </w:pPr>
      <w:r w:rsidRPr="0024327D">
        <w:rPr>
          <w:lang w:val="uk-UA"/>
        </w:rPr>
        <w:t>О</w:t>
      </w:r>
      <w:r w:rsidR="0018694F" w:rsidRPr="0024327D">
        <w:rPr>
          <w:lang w:val="uk-UA"/>
        </w:rPr>
        <w:t xml:space="preserve">блігації </w:t>
      </w:r>
      <w:r w:rsidRPr="0024327D">
        <w:rPr>
          <w:lang w:val="uk-UA"/>
        </w:rPr>
        <w:t xml:space="preserve">з покриттям </w:t>
      </w:r>
      <w:r w:rsidR="0018694F" w:rsidRPr="0024327D">
        <w:rPr>
          <w:lang w:val="uk-UA"/>
        </w:rPr>
        <w:t xml:space="preserve">та сек'юритизація </w:t>
      </w:r>
      <w:r w:rsidR="001D61B8" w:rsidRPr="0024327D">
        <w:rPr>
          <w:lang w:val="uk-UA"/>
        </w:rPr>
        <w:t>–</w:t>
      </w:r>
      <w:r w:rsidR="0018694F" w:rsidRPr="0024327D">
        <w:rPr>
          <w:lang w:val="uk-UA"/>
        </w:rPr>
        <w:t xml:space="preserve"> це </w:t>
      </w:r>
      <w:r w:rsidR="00ED4410" w:rsidRPr="0024327D">
        <w:rPr>
          <w:lang w:val="uk-UA"/>
        </w:rPr>
        <w:t xml:space="preserve">механізми </w:t>
      </w:r>
      <w:r w:rsidR="0018694F" w:rsidRPr="0024327D">
        <w:rPr>
          <w:lang w:val="uk-UA"/>
        </w:rPr>
        <w:t>випуску облігацій</w:t>
      </w:r>
      <w:r w:rsidR="009F3027" w:rsidRPr="0024327D">
        <w:rPr>
          <w:lang w:val="uk-UA"/>
        </w:rPr>
        <w:t>, платежі за якими забезпечуються пулом фінансових активів</w:t>
      </w:r>
      <w:r w:rsidR="00CA345E" w:rsidRPr="0024327D">
        <w:rPr>
          <w:lang w:val="uk-UA"/>
        </w:rPr>
        <w:t>.</w:t>
      </w:r>
      <w:r w:rsidR="0018694F" w:rsidRPr="0024327D">
        <w:rPr>
          <w:lang w:val="uk-UA"/>
        </w:rPr>
        <w:t xml:space="preserve"> Ці продукти мають як певні схожі риси, зокрема, з </w:t>
      </w:r>
      <w:r w:rsidR="00AA41C1" w:rsidRPr="0024327D">
        <w:rPr>
          <w:lang w:val="uk-UA"/>
        </w:rPr>
        <w:t xml:space="preserve">юридичної </w:t>
      </w:r>
      <w:r w:rsidR="0018694F" w:rsidRPr="0024327D">
        <w:rPr>
          <w:lang w:val="uk-UA"/>
        </w:rPr>
        <w:t xml:space="preserve">точки зору, так і відмінності, зокрема, з </w:t>
      </w:r>
      <w:r w:rsidR="00AA41C1" w:rsidRPr="0024327D">
        <w:rPr>
          <w:lang w:val="uk-UA"/>
        </w:rPr>
        <w:t xml:space="preserve">економічної </w:t>
      </w:r>
      <w:r w:rsidR="0018694F" w:rsidRPr="0024327D">
        <w:rPr>
          <w:lang w:val="uk-UA"/>
        </w:rPr>
        <w:t>точки зору.</w:t>
      </w:r>
    </w:p>
    <w:p w14:paraId="6CAF6580" w14:textId="4380208E" w:rsidR="00CA345E" w:rsidRPr="0024327D" w:rsidRDefault="00CA345E" w:rsidP="0018694F">
      <w:pPr>
        <w:rPr>
          <w:lang w:val="uk-UA"/>
        </w:rPr>
      </w:pPr>
      <w:bookmarkStart w:id="18" w:name="_Hlk58863846"/>
      <w:bookmarkStart w:id="19" w:name="_Hlk58863769"/>
      <w:bookmarkStart w:id="20" w:name="_Hlk58497035"/>
      <w:r w:rsidRPr="0024327D">
        <w:rPr>
          <w:lang w:val="uk-UA"/>
        </w:rPr>
        <w:t>Однією з ключових відмінностей</w:t>
      </w:r>
      <w:r w:rsidR="009C5A9A" w:rsidRPr="0024327D">
        <w:rPr>
          <w:lang w:val="uk-UA"/>
        </w:rPr>
        <w:t xml:space="preserve"> є те, що облігації з покриттям надають інвесторам право вимоги як до емітента облігацій, так і </w:t>
      </w:r>
      <w:r w:rsidR="009B755B" w:rsidRPr="0024327D">
        <w:rPr>
          <w:lang w:val="uk-UA"/>
        </w:rPr>
        <w:t xml:space="preserve"> на </w:t>
      </w:r>
      <w:r w:rsidR="009C5A9A" w:rsidRPr="0024327D">
        <w:rPr>
          <w:lang w:val="uk-UA"/>
        </w:rPr>
        <w:t>надходжен</w:t>
      </w:r>
      <w:r w:rsidR="009B755B" w:rsidRPr="0024327D">
        <w:rPr>
          <w:lang w:val="uk-UA"/>
        </w:rPr>
        <w:t>ня</w:t>
      </w:r>
      <w:r w:rsidR="009C5A9A" w:rsidRPr="0024327D">
        <w:rPr>
          <w:lang w:val="uk-UA"/>
        </w:rPr>
        <w:t xml:space="preserve"> від належним чином відокремленого </w:t>
      </w:r>
      <w:r w:rsidR="00F668CA" w:rsidRPr="0024327D">
        <w:rPr>
          <w:lang w:val="uk-UA"/>
        </w:rPr>
        <w:t>пулу високоякісних активів (як</w:t>
      </w:r>
      <w:r w:rsidR="009273D0" w:rsidRPr="0024327D">
        <w:rPr>
          <w:lang w:val="uk-UA"/>
        </w:rPr>
        <w:t>і</w:t>
      </w:r>
      <w:r w:rsidR="00F668CA" w:rsidRPr="0024327D">
        <w:rPr>
          <w:lang w:val="uk-UA"/>
        </w:rPr>
        <w:t xml:space="preserve"> також підляга</w:t>
      </w:r>
      <w:r w:rsidR="009273D0" w:rsidRPr="0024327D">
        <w:rPr>
          <w:lang w:val="uk-UA"/>
        </w:rPr>
        <w:t>ють</w:t>
      </w:r>
      <w:r w:rsidR="00F668CA" w:rsidRPr="0024327D">
        <w:rPr>
          <w:lang w:val="uk-UA"/>
        </w:rPr>
        <w:t xml:space="preserve"> монітор</w:t>
      </w:r>
      <w:r w:rsidR="00FE2797" w:rsidRPr="0024327D">
        <w:rPr>
          <w:lang w:val="uk-UA"/>
        </w:rPr>
        <w:t>и</w:t>
      </w:r>
      <w:r w:rsidR="00F668CA" w:rsidRPr="0024327D">
        <w:rPr>
          <w:lang w:val="uk-UA"/>
        </w:rPr>
        <w:t xml:space="preserve">нгу на предмет відповідності </w:t>
      </w:r>
      <w:r w:rsidR="00FE2797" w:rsidRPr="0024327D">
        <w:rPr>
          <w:lang w:val="uk-UA"/>
        </w:rPr>
        <w:t>встановленим критеріям та заміні протягом строку</w:t>
      </w:r>
      <w:r w:rsidR="009B755B" w:rsidRPr="0024327D">
        <w:rPr>
          <w:lang w:val="uk-UA"/>
        </w:rPr>
        <w:t xml:space="preserve"> обігу</w:t>
      </w:r>
      <w:r w:rsidR="00FE2797" w:rsidRPr="0024327D">
        <w:rPr>
          <w:lang w:val="uk-UA"/>
        </w:rPr>
        <w:t xml:space="preserve"> </w:t>
      </w:r>
      <w:r w:rsidR="00DA06AC" w:rsidRPr="0024327D">
        <w:rPr>
          <w:lang w:val="uk-UA"/>
        </w:rPr>
        <w:t xml:space="preserve">облігацій); інструмент сек’юритизації має на меті </w:t>
      </w:r>
      <w:r w:rsidR="00516E0E" w:rsidRPr="0024327D">
        <w:rPr>
          <w:lang w:val="uk-UA"/>
        </w:rPr>
        <w:t xml:space="preserve">передачу інвесторам як прав, так і ризиків </w:t>
      </w:r>
      <w:r w:rsidR="0010737B" w:rsidRPr="0024327D">
        <w:rPr>
          <w:lang w:val="uk-UA"/>
        </w:rPr>
        <w:t>щодо визначеного пулу активів, який є відокремленим від кредитного ризику особи</w:t>
      </w:r>
      <w:r w:rsidR="00A61D1F" w:rsidRPr="0024327D">
        <w:rPr>
          <w:lang w:val="uk-UA"/>
        </w:rPr>
        <w:t xml:space="preserve">, яка виступає оригінатором цих активів, при цьому </w:t>
      </w:r>
      <w:r w:rsidR="00E8610C" w:rsidRPr="0024327D">
        <w:rPr>
          <w:lang w:val="uk-UA"/>
        </w:rPr>
        <w:t>інвестор</w:t>
      </w:r>
      <w:r w:rsidR="00A61D1F" w:rsidRPr="0024327D">
        <w:rPr>
          <w:lang w:val="uk-UA"/>
        </w:rPr>
        <w:t xml:space="preserve">и не мають </w:t>
      </w:r>
      <w:r w:rsidR="003359DD" w:rsidRPr="0024327D">
        <w:rPr>
          <w:lang w:val="uk-UA"/>
        </w:rPr>
        <w:t xml:space="preserve">права вимоги </w:t>
      </w:r>
      <w:r w:rsidR="0040111A" w:rsidRPr="0024327D">
        <w:rPr>
          <w:lang w:val="uk-UA"/>
        </w:rPr>
        <w:t>до самого оригінатора</w:t>
      </w:r>
      <w:r w:rsidR="00E8610C" w:rsidRPr="0024327D">
        <w:rPr>
          <w:lang w:val="uk-UA"/>
        </w:rPr>
        <w:t xml:space="preserve"> щодо платежів за облігаціями в рамках сек’юритизації</w:t>
      </w:r>
      <w:r w:rsidR="0054398F" w:rsidRPr="0024327D">
        <w:rPr>
          <w:lang w:val="uk-UA"/>
        </w:rPr>
        <w:t>.</w:t>
      </w:r>
    </w:p>
    <w:p w14:paraId="27766C4E" w14:textId="702270C1" w:rsidR="009B311A" w:rsidRPr="0024327D" w:rsidRDefault="00E8610C" w:rsidP="0018694F">
      <w:pPr>
        <w:rPr>
          <w:lang w:val="uk-UA"/>
        </w:rPr>
      </w:pPr>
      <w:r w:rsidRPr="0024327D">
        <w:rPr>
          <w:lang w:val="uk-UA"/>
        </w:rPr>
        <w:t>О</w:t>
      </w:r>
      <w:r w:rsidR="0018694F" w:rsidRPr="0024327D">
        <w:rPr>
          <w:lang w:val="uk-UA"/>
        </w:rPr>
        <w:t xml:space="preserve">блігації </w:t>
      </w:r>
      <w:r w:rsidRPr="0024327D">
        <w:rPr>
          <w:lang w:val="uk-UA"/>
        </w:rPr>
        <w:t xml:space="preserve">з покриттям </w:t>
      </w:r>
      <w:r w:rsidR="0018694F" w:rsidRPr="0024327D">
        <w:rPr>
          <w:lang w:val="uk-UA"/>
        </w:rPr>
        <w:t xml:space="preserve">може випускати лише </w:t>
      </w:r>
      <w:r w:rsidR="00CA57E1" w:rsidRPr="0024327D">
        <w:rPr>
          <w:lang w:val="uk-UA"/>
        </w:rPr>
        <w:t xml:space="preserve">банк або інша </w:t>
      </w:r>
      <w:r w:rsidR="00B36D54" w:rsidRPr="0024327D">
        <w:rPr>
          <w:lang w:val="uk-UA"/>
        </w:rPr>
        <w:t xml:space="preserve">прийнятна </w:t>
      </w:r>
      <w:r w:rsidR="000B12DA" w:rsidRPr="0024327D">
        <w:rPr>
          <w:lang w:val="uk-UA"/>
        </w:rPr>
        <w:t>кредитна</w:t>
      </w:r>
      <w:r w:rsidR="007F67E9" w:rsidRPr="0024327D">
        <w:rPr>
          <w:lang w:val="uk-UA"/>
        </w:rPr>
        <w:t xml:space="preserve"> </w:t>
      </w:r>
      <w:r w:rsidR="0018694F" w:rsidRPr="0024327D">
        <w:rPr>
          <w:lang w:val="uk-UA"/>
        </w:rPr>
        <w:t xml:space="preserve">установа, </w:t>
      </w:r>
      <w:r w:rsidR="00ED4410" w:rsidRPr="0024327D">
        <w:rPr>
          <w:lang w:val="uk-UA"/>
        </w:rPr>
        <w:t xml:space="preserve">вони дають право </w:t>
      </w:r>
      <w:r w:rsidR="008E5F88" w:rsidRPr="0024327D">
        <w:rPr>
          <w:lang w:val="uk-UA"/>
        </w:rPr>
        <w:t xml:space="preserve">вимоги до </w:t>
      </w:r>
      <w:r w:rsidR="001732D3" w:rsidRPr="0024327D">
        <w:rPr>
          <w:lang w:val="uk-UA"/>
        </w:rPr>
        <w:t>е</w:t>
      </w:r>
      <w:r w:rsidR="0018694F" w:rsidRPr="0024327D">
        <w:rPr>
          <w:lang w:val="uk-UA"/>
        </w:rPr>
        <w:t>мітента</w:t>
      </w:r>
      <w:r w:rsidR="00ED4410" w:rsidRPr="0024327D">
        <w:rPr>
          <w:lang w:val="uk-UA"/>
        </w:rPr>
        <w:t xml:space="preserve">, </w:t>
      </w:r>
      <w:r w:rsidR="002D3E8F" w:rsidRPr="0024327D">
        <w:rPr>
          <w:lang w:val="uk-UA"/>
        </w:rPr>
        <w:t xml:space="preserve">є </w:t>
      </w:r>
      <w:r w:rsidR="00CC1BB3" w:rsidRPr="0024327D">
        <w:rPr>
          <w:lang w:val="uk-UA"/>
        </w:rPr>
        <w:t xml:space="preserve">об’єктом </w:t>
      </w:r>
      <w:r w:rsidR="007718F6" w:rsidRPr="0024327D">
        <w:rPr>
          <w:lang w:val="uk-UA"/>
        </w:rPr>
        <w:t>“</w:t>
      </w:r>
      <w:r w:rsidR="0033284F" w:rsidRPr="0024327D">
        <w:rPr>
          <w:lang w:val="uk-UA"/>
        </w:rPr>
        <w:t>с</w:t>
      </w:r>
      <w:r w:rsidR="0018694F" w:rsidRPr="0024327D">
        <w:rPr>
          <w:lang w:val="uk-UA"/>
        </w:rPr>
        <w:t>пеціально</w:t>
      </w:r>
      <w:r w:rsidR="002D3E8F" w:rsidRPr="0024327D">
        <w:rPr>
          <w:lang w:val="uk-UA"/>
        </w:rPr>
        <w:t xml:space="preserve">го державного </w:t>
      </w:r>
      <w:r w:rsidR="0018694F" w:rsidRPr="0024327D">
        <w:rPr>
          <w:lang w:val="uk-UA"/>
        </w:rPr>
        <w:t>нагляду</w:t>
      </w:r>
      <w:r w:rsidR="007718F6" w:rsidRPr="0024327D">
        <w:rPr>
          <w:lang w:val="uk-UA"/>
        </w:rPr>
        <w:t>”</w:t>
      </w:r>
      <w:r w:rsidR="0018694F" w:rsidRPr="0024327D">
        <w:rPr>
          <w:lang w:val="uk-UA"/>
        </w:rPr>
        <w:t xml:space="preserve"> і мож</w:t>
      </w:r>
      <w:r w:rsidR="002D3E8F" w:rsidRPr="0024327D">
        <w:rPr>
          <w:lang w:val="uk-UA"/>
        </w:rPr>
        <w:t xml:space="preserve">уть забезпечуватися лише </w:t>
      </w:r>
      <w:r w:rsidR="0018694F" w:rsidRPr="0024327D">
        <w:rPr>
          <w:lang w:val="uk-UA"/>
        </w:rPr>
        <w:t>певними конкретн</w:t>
      </w:r>
      <w:r w:rsidR="002D3E8F" w:rsidRPr="0024327D">
        <w:rPr>
          <w:lang w:val="uk-UA"/>
        </w:rPr>
        <w:t>ими</w:t>
      </w:r>
      <w:r w:rsidR="0018694F" w:rsidRPr="0024327D">
        <w:rPr>
          <w:lang w:val="uk-UA"/>
        </w:rPr>
        <w:t xml:space="preserve"> </w:t>
      </w:r>
      <w:r w:rsidR="0049040F" w:rsidRPr="0024327D">
        <w:rPr>
          <w:lang w:val="uk-UA"/>
        </w:rPr>
        <w:t xml:space="preserve">видами </w:t>
      </w:r>
      <w:r w:rsidR="0018694F" w:rsidRPr="0024327D">
        <w:rPr>
          <w:lang w:val="uk-UA"/>
        </w:rPr>
        <w:t>актив</w:t>
      </w:r>
      <w:r w:rsidR="0049040F" w:rsidRPr="0024327D">
        <w:rPr>
          <w:lang w:val="uk-UA"/>
        </w:rPr>
        <w:t>ів</w:t>
      </w:r>
      <w:r w:rsidR="0018694F" w:rsidRPr="0024327D">
        <w:rPr>
          <w:lang w:val="uk-UA"/>
        </w:rPr>
        <w:t xml:space="preserve">. </w:t>
      </w:r>
      <w:r w:rsidR="0049040F" w:rsidRPr="0024327D">
        <w:rPr>
          <w:lang w:val="uk-UA"/>
        </w:rPr>
        <w:t xml:space="preserve">Ці </w:t>
      </w:r>
      <w:r w:rsidR="0018694F" w:rsidRPr="0024327D">
        <w:rPr>
          <w:lang w:val="uk-UA"/>
        </w:rPr>
        <w:t>визначальн</w:t>
      </w:r>
      <w:r w:rsidR="0049040F" w:rsidRPr="0024327D">
        <w:rPr>
          <w:lang w:val="uk-UA"/>
        </w:rPr>
        <w:t>і риси сформульовані</w:t>
      </w:r>
      <w:r w:rsidR="00373F95" w:rsidRPr="0024327D">
        <w:rPr>
          <w:lang w:val="uk-UA"/>
        </w:rPr>
        <w:t xml:space="preserve"> </w:t>
      </w:r>
      <w:r w:rsidR="0049040F" w:rsidRPr="0024327D">
        <w:rPr>
          <w:lang w:val="uk-UA"/>
        </w:rPr>
        <w:t>на основі</w:t>
      </w:r>
      <w:r w:rsidR="002D3E8F" w:rsidRPr="0024327D">
        <w:rPr>
          <w:lang w:val="uk-UA"/>
        </w:rPr>
        <w:t xml:space="preserve"> текст</w:t>
      </w:r>
      <w:r w:rsidR="0049040F" w:rsidRPr="0024327D">
        <w:rPr>
          <w:lang w:val="uk-UA"/>
        </w:rPr>
        <w:t>ів</w:t>
      </w:r>
      <w:r w:rsidR="002D3E8F" w:rsidRPr="0024327D">
        <w:rPr>
          <w:lang w:val="uk-UA"/>
        </w:rPr>
        <w:t xml:space="preserve"> правових актів </w:t>
      </w:r>
      <w:r w:rsidR="0018694F" w:rsidRPr="0024327D">
        <w:rPr>
          <w:lang w:val="uk-UA"/>
        </w:rPr>
        <w:t xml:space="preserve">Європейського Союзу (таких як </w:t>
      </w:r>
      <w:r w:rsidR="00A63AAF" w:rsidRPr="0024327D">
        <w:rPr>
          <w:lang w:val="uk-UA"/>
        </w:rPr>
        <w:t>"</w:t>
      </w:r>
      <w:r w:rsidR="0044107A" w:rsidRPr="0024327D">
        <w:rPr>
          <w:lang w:val="uk-UA"/>
        </w:rPr>
        <w:t>Регламент простої</w:t>
      </w:r>
      <w:r w:rsidR="0018694F" w:rsidRPr="0024327D">
        <w:rPr>
          <w:lang w:val="uk-UA"/>
        </w:rPr>
        <w:t>, прозор</w:t>
      </w:r>
      <w:r w:rsidR="0044107A" w:rsidRPr="0024327D">
        <w:rPr>
          <w:lang w:val="uk-UA"/>
        </w:rPr>
        <w:t xml:space="preserve">ої </w:t>
      </w:r>
      <w:r w:rsidR="0018694F" w:rsidRPr="0024327D">
        <w:rPr>
          <w:lang w:val="uk-UA"/>
        </w:rPr>
        <w:t>та стандартизован</w:t>
      </w:r>
      <w:r w:rsidR="0044107A" w:rsidRPr="0024327D">
        <w:rPr>
          <w:lang w:val="uk-UA"/>
        </w:rPr>
        <w:t>ої</w:t>
      </w:r>
      <w:r w:rsidR="0018694F" w:rsidRPr="0024327D">
        <w:rPr>
          <w:lang w:val="uk-UA"/>
        </w:rPr>
        <w:t xml:space="preserve"> сек'юритизації</w:t>
      </w:r>
      <w:r w:rsidR="00A63AAF" w:rsidRPr="0024327D">
        <w:rPr>
          <w:lang w:val="uk-UA"/>
        </w:rPr>
        <w:t>"</w:t>
      </w:r>
      <w:r w:rsidR="002D3E8F" w:rsidRPr="0024327D">
        <w:rPr>
          <w:lang w:val="uk-UA"/>
        </w:rPr>
        <w:t xml:space="preserve"> </w:t>
      </w:r>
      <w:r w:rsidR="00A63AAF" w:rsidRPr="0024327D">
        <w:rPr>
          <w:lang w:val="uk-UA"/>
        </w:rPr>
        <w:t>(</w:t>
      </w:r>
      <w:r w:rsidR="002D3E8F" w:rsidRPr="0024327D">
        <w:rPr>
          <w:i/>
          <w:iCs/>
          <w:lang w:val="uk-UA"/>
        </w:rPr>
        <w:t>Simple, Transparent and Standardised (</w:t>
      </w:r>
      <w:r w:rsidR="00A16F44" w:rsidRPr="0024327D">
        <w:rPr>
          <w:i/>
          <w:iCs/>
          <w:lang w:val="uk-UA"/>
        </w:rPr>
        <w:t>“</w:t>
      </w:r>
      <w:r w:rsidR="002D3E8F" w:rsidRPr="0024327D">
        <w:rPr>
          <w:i/>
          <w:iCs/>
          <w:lang w:val="uk-UA"/>
        </w:rPr>
        <w:t>STS</w:t>
      </w:r>
      <w:r w:rsidR="00A16F44" w:rsidRPr="0024327D">
        <w:rPr>
          <w:i/>
          <w:iCs/>
          <w:lang w:val="uk-UA"/>
        </w:rPr>
        <w:t>”</w:t>
      </w:r>
      <w:r w:rsidR="002D3E8F" w:rsidRPr="0024327D">
        <w:rPr>
          <w:i/>
          <w:iCs/>
          <w:lang w:val="uk-UA"/>
        </w:rPr>
        <w:t>) Securitisation</w:t>
      </w:r>
      <w:r w:rsidR="002D3E8F" w:rsidRPr="0024327D" w:rsidDel="00844E21">
        <w:rPr>
          <w:i/>
          <w:iCs/>
          <w:lang w:val="uk-UA"/>
        </w:rPr>
        <w:t xml:space="preserve"> </w:t>
      </w:r>
      <w:r w:rsidR="002D3E8F" w:rsidRPr="0024327D">
        <w:rPr>
          <w:i/>
          <w:iCs/>
          <w:lang w:val="uk-UA"/>
        </w:rPr>
        <w:t>Regulation</w:t>
      </w:r>
      <w:r w:rsidR="002D3E8F" w:rsidRPr="0024327D">
        <w:rPr>
          <w:lang w:val="uk-UA"/>
        </w:rPr>
        <w:t>)</w:t>
      </w:r>
      <w:r w:rsidR="0018694F" w:rsidRPr="0024327D">
        <w:rPr>
          <w:lang w:val="uk-UA"/>
        </w:rPr>
        <w:t xml:space="preserve">, Директива </w:t>
      </w:r>
      <w:r w:rsidR="002A37C4" w:rsidRPr="0024327D">
        <w:rPr>
          <w:lang w:val="uk-UA"/>
        </w:rPr>
        <w:t xml:space="preserve">щодо </w:t>
      </w:r>
      <w:r w:rsidR="0018694F" w:rsidRPr="0024327D">
        <w:rPr>
          <w:lang w:val="uk-UA"/>
        </w:rPr>
        <w:t>облігаці</w:t>
      </w:r>
      <w:r w:rsidR="002A37C4" w:rsidRPr="0024327D">
        <w:rPr>
          <w:lang w:val="uk-UA"/>
        </w:rPr>
        <w:t>й</w:t>
      </w:r>
      <w:r w:rsidR="00A63AAF" w:rsidRPr="0024327D">
        <w:rPr>
          <w:lang w:val="uk-UA"/>
        </w:rPr>
        <w:t xml:space="preserve"> </w:t>
      </w:r>
      <w:r w:rsidR="00534460" w:rsidRPr="0024327D">
        <w:rPr>
          <w:lang w:val="uk-UA"/>
        </w:rPr>
        <w:t xml:space="preserve">з покриттям </w:t>
      </w:r>
      <w:r w:rsidR="00A63AAF" w:rsidRPr="0024327D">
        <w:rPr>
          <w:lang w:val="uk-UA"/>
        </w:rPr>
        <w:t>(</w:t>
      </w:r>
      <w:r w:rsidR="00A63AAF" w:rsidRPr="0024327D">
        <w:rPr>
          <w:i/>
          <w:iCs/>
          <w:lang w:val="uk-UA"/>
        </w:rPr>
        <w:t>Covered Bond Directivе</w:t>
      </w:r>
      <w:r w:rsidR="00A63AAF" w:rsidRPr="0024327D">
        <w:rPr>
          <w:lang w:val="uk-UA"/>
        </w:rPr>
        <w:t>),</w:t>
      </w:r>
      <w:r w:rsidR="0018694F" w:rsidRPr="0024327D">
        <w:rPr>
          <w:lang w:val="uk-UA"/>
        </w:rPr>
        <w:t xml:space="preserve"> Директива </w:t>
      </w:r>
      <w:r w:rsidR="002A37C4" w:rsidRPr="0024327D">
        <w:rPr>
          <w:lang w:val="uk-UA"/>
        </w:rPr>
        <w:t>UCITS (</w:t>
      </w:r>
      <w:r w:rsidR="002A37C4" w:rsidRPr="0024327D">
        <w:rPr>
          <w:i/>
          <w:iCs/>
          <w:lang w:val="uk-UA"/>
        </w:rPr>
        <w:t>UCITS Directive</w:t>
      </w:r>
      <w:r w:rsidR="002A37C4" w:rsidRPr="0024327D">
        <w:rPr>
          <w:lang w:val="uk-UA"/>
        </w:rPr>
        <w:t xml:space="preserve">), </w:t>
      </w:r>
      <w:r w:rsidR="0018694F" w:rsidRPr="0024327D">
        <w:rPr>
          <w:lang w:val="uk-UA"/>
        </w:rPr>
        <w:t xml:space="preserve">Директива про </w:t>
      </w:r>
      <w:r w:rsidR="002A37C4" w:rsidRPr="0024327D">
        <w:rPr>
          <w:lang w:val="uk-UA"/>
        </w:rPr>
        <w:t xml:space="preserve">санацію та ліквідацію </w:t>
      </w:r>
      <w:r w:rsidR="0018694F" w:rsidRPr="0024327D">
        <w:rPr>
          <w:lang w:val="uk-UA"/>
        </w:rPr>
        <w:t>банків</w:t>
      </w:r>
      <w:r w:rsidR="002A37C4" w:rsidRPr="0024327D">
        <w:rPr>
          <w:lang w:val="uk-UA"/>
        </w:rPr>
        <w:t xml:space="preserve"> (</w:t>
      </w:r>
      <w:r w:rsidR="002A37C4" w:rsidRPr="0024327D">
        <w:rPr>
          <w:i/>
          <w:iCs/>
          <w:lang w:val="uk-UA"/>
        </w:rPr>
        <w:t>Bank Recovery and Resolution Directive</w:t>
      </w:r>
      <w:r w:rsidR="002A37C4" w:rsidRPr="0024327D">
        <w:rPr>
          <w:lang w:val="uk-UA"/>
        </w:rPr>
        <w:t>),</w:t>
      </w:r>
      <w:r w:rsidR="0018694F" w:rsidRPr="0024327D">
        <w:rPr>
          <w:lang w:val="uk-UA"/>
        </w:rPr>
        <w:t xml:space="preserve"> Директива про платоспроможність </w:t>
      </w:r>
      <w:r w:rsidR="00916472" w:rsidRPr="0024327D">
        <w:rPr>
          <w:lang w:val="uk-UA"/>
        </w:rPr>
        <w:t xml:space="preserve">ІІ </w:t>
      </w:r>
      <w:r w:rsidR="002A37C4" w:rsidRPr="0024327D">
        <w:rPr>
          <w:lang w:val="uk-UA"/>
        </w:rPr>
        <w:t>(</w:t>
      </w:r>
      <w:r w:rsidR="002A37C4" w:rsidRPr="0024327D">
        <w:rPr>
          <w:i/>
          <w:iCs/>
          <w:lang w:val="uk-UA"/>
        </w:rPr>
        <w:t>Solvency II Directive</w:t>
      </w:r>
      <w:r w:rsidR="002A37C4" w:rsidRPr="0024327D">
        <w:rPr>
          <w:lang w:val="uk-UA"/>
        </w:rPr>
        <w:t xml:space="preserve">), </w:t>
      </w:r>
      <w:r w:rsidR="00ED4410" w:rsidRPr="0024327D">
        <w:rPr>
          <w:lang w:val="uk-UA"/>
        </w:rPr>
        <w:t>Директива про вимоги до капіталу</w:t>
      </w:r>
      <w:r w:rsidR="00916472" w:rsidRPr="0024327D">
        <w:rPr>
          <w:lang w:val="uk-UA"/>
        </w:rPr>
        <w:t xml:space="preserve"> IV</w:t>
      </w:r>
      <w:r w:rsidR="00ED4410" w:rsidRPr="0024327D">
        <w:rPr>
          <w:lang w:val="uk-UA"/>
        </w:rPr>
        <w:t xml:space="preserve"> </w:t>
      </w:r>
      <w:r w:rsidR="002A37C4" w:rsidRPr="0024327D">
        <w:rPr>
          <w:lang w:val="uk-UA"/>
        </w:rPr>
        <w:t>(</w:t>
      </w:r>
      <w:r w:rsidR="002A37C4" w:rsidRPr="0024327D">
        <w:rPr>
          <w:rFonts w:cs="Segoe UI"/>
          <w:i/>
          <w:iCs/>
          <w:shd w:val="clear" w:color="auto" w:fill="FFFFFF"/>
          <w:lang w:val="uk-UA"/>
        </w:rPr>
        <w:t xml:space="preserve">Capital Requirements Directive </w:t>
      </w:r>
      <w:r w:rsidR="002A37C4" w:rsidRPr="0024327D">
        <w:rPr>
          <w:i/>
          <w:iCs/>
          <w:lang w:val="uk-UA"/>
        </w:rPr>
        <w:t>IV</w:t>
      </w:r>
      <w:r w:rsidR="009E467C" w:rsidRPr="0024327D">
        <w:rPr>
          <w:rStyle w:val="af2"/>
          <w:vertAlign w:val="baseline"/>
          <w:lang w:val="uk-UA"/>
        </w:rPr>
        <w:t>)</w:t>
      </w:r>
      <w:r w:rsidR="005A25D5" w:rsidRPr="0024327D">
        <w:rPr>
          <w:lang w:val="uk-UA"/>
        </w:rPr>
        <w:t xml:space="preserve"> </w:t>
      </w:r>
      <w:r w:rsidR="0018694F" w:rsidRPr="0024327D">
        <w:rPr>
          <w:lang w:val="uk-UA"/>
        </w:rPr>
        <w:t xml:space="preserve">та </w:t>
      </w:r>
      <w:r w:rsidR="00852762" w:rsidRPr="0024327D">
        <w:rPr>
          <w:lang w:val="uk-UA"/>
        </w:rPr>
        <w:t xml:space="preserve">Регламент </w:t>
      </w:r>
      <w:r w:rsidR="009E467C" w:rsidRPr="0024327D">
        <w:rPr>
          <w:lang w:val="uk-UA"/>
        </w:rPr>
        <w:t>про вимоги до капіталу (</w:t>
      </w:r>
      <w:r w:rsidR="009E467C" w:rsidRPr="0024327D">
        <w:rPr>
          <w:rFonts w:cs="Segoe UI"/>
          <w:i/>
          <w:iCs/>
          <w:shd w:val="clear" w:color="auto" w:fill="FFFFFF"/>
          <w:lang w:val="uk-UA"/>
        </w:rPr>
        <w:t>Capital Requirements Regulation</w:t>
      </w:r>
      <w:r w:rsidR="001D61B8" w:rsidRPr="0024327D">
        <w:rPr>
          <w:rFonts w:cs="Segoe UI"/>
          <w:shd w:val="clear" w:color="auto" w:fill="FFFFFF"/>
          <w:lang w:val="uk-UA"/>
        </w:rPr>
        <w:t>)</w:t>
      </w:r>
      <w:r w:rsidR="00852762" w:rsidRPr="0024327D">
        <w:rPr>
          <w:rFonts w:cs="Segoe UI"/>
          <w:shd w:val="clear" w:color="auto" w:fill="FFFFFF"/>
          <w:lang w:val="uk-UA"/>
        </w:rPr>
        <w:t xml:space="preserve">, які, </w:t>
      </w:r>
      <w:r w:rsidR="0018694F" w:rsidRPr="0024327D">
        <w:rPr>
          <w:lang w:val="uk-UA"/>
        </w:rPr>
        <w:t>фактично</w:t>
      </w:r>
      <w:r w:rsidR="00ED4410" w:rsidRPr="0024327D">
        <w:rPr>
          <w:lang w:val="uk-UA"/>
        </w:rPr>
        <w:t>,</w:t>
      </w:r>
      <w:r w:rsidR="0018694F" w:rsidRPr="0024327D">
        <w:rPr>
          <w:lang w:val="uk-UA"/>
        </w:rPr>
        <w:t xml:space="preserve"> стали </w:t>
      </w:r>
      <w:r w:rsidR="00ED4410" w:rsidRPr="0024327D">
        <w:rPr>
          <w:lang w:val="uk-UA"/>
        </w:rPr>
        <w:t xml:space="preserve">світовими </w:t>
      </w:r>
      <w:r w:rsidR="0018694F" w:rsidRPr="0024327D">
        <w:rPr>
          <w:lang w:val="uk-UA"/>
        </w:rPr>
        <w:t xml:space="preserve">стандартами для цього </w:t>
      </w:r>
      <w:r w:rsidR="00852762" w:rsidRPr="0024327D">
        <w:rPr>
          <w:lang w:val="uk-UA"/>
        </w:rPr>
        <w:t>інструменту</w:t>
      </w:r>
      <w:r w:rsidR="0018694F" w:rsidRPr="0024327D">
        <w:rPr>
          <w:lang w:val="uk-UA"/>
        </w:rPr>
        <w:t xml:space="preserve">. Повні назви </w:t>
      </w:r>
      <w:r w:rsidR="00ED4410" w:rsidRPr="0024327D">
        <w:rPr>
          <w:lang w:val="uk-UA"/>
        </w:rPr>
        <w:t xml:space="preserve">цих законодавчих актів ЄС (разом з посиланнями на офіційні тексти) </w:t>
      </w:r>
      <w:r w:rsidR="0018694F" w:rsidRPr="0024327D">
        <w:rPr>
          <w:lang w:val="uk-UA"/>
        </w:rPr>
        <w:t>та детал</w:t>
      </w:r>
      <w:r w:rsidR="00ED4410" w:rsidRPr="0024327D">
        <w:rPr>
          <w:lang w:val="uk-UA"/>
        </w:rPr>
        <w:t xml:space="preserve">ьна інформація про них </w:t>
      </w:r>
      <w:r w:rsidR="0018694F" w:rsidRPr="0024327D">
        <w:rPr>
          <w:lang w:val="uk-UA"/>
        </w:rPr>
        <w:t xml:space="preserve">наведені </w:t>
      </w:r>
      <w:r w:rsidR="00852762" w:rsidRPr="0024327D">
        <w:rPr>
          <w:lang w:val="uk-UA"/>
        </w:rPr>
        <w:t>у</w:t>
      </w:r>
      <w:r w:rsidR="0018694F" w:rsidRPr="0024327D">
        <w:rPr>
          <w:lang w:val="uk-UA"/>
        </w:rPr>
        <w:t xml:space="preserve"> Додатку 5.</w:t>
      </w:r>
      <w:bookmarkEnd w:id="18"/>
    </w:p>
    <w:bookmarkEnd w:id="19"/>
    <w:p w14:paraId="0525BC97" w14:textId="642538C7" w:rsidR="009B311A" w:rsidRPr="0024327D" w:rsidRDefault="00852762" w:rsidP="00501D25">
      <w:pPr>
        <w:rPr>
          <w:lang w:val="uk-UA"/>
        </w:rPr>
      </w:pPr>
      <w:r w:rsidRPr="0024327D">
        <w:rPr>
          <w:lang w:val="uk-UA"/>
        </w:rPr>
        <w:t xml:space="preserve">Сек’юритизацію можуть проводити </w:t>
      </w:r>
      <w:r w:rsidR="00ED4410" w:rsidRPr="0024327D">
        <w:rPr>
          <w:lang w:val="uk-UA"/>
        </w:rPr>
        <w:t>також</w:t>
      </w:r>
      <w:r w:rsidR="003F3FD7" w:rsidRPr="0024327D">
        <w:rPr>
          <w:lang w:val="uk-UA"/>
        </w:rPr>
        <w:t xml:space="preserve"> інші </w:t>
      </w:r>
      <w:r w:rsidR="00CE375E" w:rsidRPr="0024327D">
        <w:rPr>
          <w:lang w:val="uk-UA"/>
        </w:rPr>
        <w:t xml:space="preserve">небанківські </w:t>
      </w:r>
      <w:r w:rsidR="008265AE" w:rsidRPr="0024327D">
        <w:rPr>
          <w:lang w:val="uk-UA"/>
        </w:rPr>
        <w:t>установи</w:t>
      </w:r>
      <w:r w:rsidRPr="0024327D">
        <w:rPr>
          <w:lang w:val="uk-UA"/>
        </w:rPr>
        <w:t xml:space="preserve">, </w:t>
      </w:r>
      <w:r w:rsidR="0007099A" w:rsidRPr="0024327D">
        <w:rPr>
          <w:lang w:val="uk-UA"/>
        </w:rPr>
        <w:t xml:space="preserve">права вимоги інвесторів щодо платежів обмежено </w:t>
      </w:r>
      <w:r w:rsidR="00D97BA4" w:rsidRPr="0024327D">
        <w:rPr>
          <w:lang w:val="uk-UA"/>
        </w:rPr>
        <w:t>тільки активами, які входять в пул сек’юритизації</w:t>
      </w:r>
      <w:r w:rsidR="003F3FD7" w:rsidRPr="0024327D">
        <w:rPr>
          <w:lang w:val="uk-UA"/>
        </w:rPr>
        <w:t xml:space="preserve">, </w:t>
      </w:r>
      <w:r w:rsidRPr="0024327D">
        <w:rPr>
          <w:lang w:val="uk-UA"/>
        </w:rPr>
        <w:t>вимога щодо спеціального державного нагляду</w:t>
      </w:r>
      <w:r w:rsidR="00D97BA4" w:rsidRPr="0024327D">
        <w:rPr>
          <w:lang w:val="uk-UA"/>
        </w:rPr>
        <w:t xml:space="preserve"> відсутня</w:t>
      </w:r>
      <w:r w:rsidRPr="0024327D">
        <w:rPr>
          <w:lang w:val="uk-UA"/>
        </w:rPr>
        <w:t xml:space="preserve">, </w:t>
      </w:r>
      <w:r w:rsidR="00B577E4" w:rsidRPr="0024327D">
        <w:rPr>
          <w:lang w:val="uk-UA"/>
        </w:rPr>
        <w:t xml:space="preserve">а пул активів в рамках сек’юритизації може бути сформований </w:t>
      </w:r>
      <w:r w:rsidRPr="0024327D">
        <w:rPr>
          <w:lang w:val="uk-UA"/>
        </w:rPr>
        <w:t xml:space="preserve">за рахунок будь-яких активів, які </w:t>
      </w:r>
      <w:r w:rsidR="009C4042" w:rsidRPr="0024327D">
        <w:rPr>
          <w:lang w:val="uk-UA"/>
        </w:rPr>
        <w:t>мають прийнятний рівень ризику</w:t>
      </w:r>
      <w:r w:rsidRPr="0024327D">
        <w:rPr>
          <w:lang w:val="uk-UA"/>
        </w:rPr>
        <w:t xml:space="preserve"> і можуть </w:t>
      </w:r>
      <w:r w:rsidR="0008232E" w:rsidRPr="0024327D">
        <w:rPr>
          <w:lang w:val="uk-UA"/>
        </w:rPr>
        <w:t>бути</w:t>
      </w:r>
      <w:r w:rsidR="009C4042" w:rsidRPr="0024327D">
        <w:rPr>
          <w:lang w:val="uk-UA"/>
        </w:rPr>
        <w:t xml:space="preserve"> належним чином юридично</w:t>
      </w:r>
      <w:r w:rsidR="0008232E" w:rsidRPr="0024327D">
        <w:rPr>
          <w:lang w:val="uk-UA"/>
        </w:rPr>
        <w:t xml:space="preserve"> </w:t>
      </w:r>
      <w:r w:rsidR="009C4042" w:rsidRPr="0024327D">
        <w:rPr>
          <w:lang w:val="uk-UA"/>
        </w:rPr>
        <w:t xml:space="preserve">відокремлені від інших активів оригінатора. </w:t>
      </w:r>
      <w:r w:rsidRPr="0024327D">
        <w:rPr>
          <w:lang w:val="uk-UA"/>
        </w:rPr>
        <w:t>На відміну від облігацій</w:t>
      </w:r>
      <w:r w:rsidR="009C4042" w:rsidRPr="0024327D">
        <w:rPr>
          <w:lang w:val="uk-UA"/>
        </w:rPr>
        <w:t xml:space="preserve"> з покриттям</w:t>
      </w:r>
      <w:r w:rsidRPr="0024327D">
        <w:rPr>
          <w:lang w:val="uk-UA"/>
        </w:rPr>
        <w:t xml:space="preserve">, визначення сек'юритизації базується насамперед на ринковій практиці США, але також на визначенні, закріпленому </w:t>
      </w:r>
      <w:r w:rsidR="00FB76B4" w:rsidRPr="0024327D">
        <w:rPr>
          <w:lang w:val="uk-UA"/>
        </w:rPr>
        <w:t>у</w:t>
      </w:r>
      <w:r w:rsidRPr="0024327D">
        <w:rPr>
          <w:lang w:val="uk-UA"/>
        </w:rPr>
        <w:t xml:space="preserve"> законодавстві ЄС.</w:t>
      </w:r>
    </w:p>
    <w:bookmarkEnd w:id="20"/>
    <w:p w14:paraId="22EBBE59" w14:textId="097099AD" w:rsidR="004D4883" w:rsidRPr="0024327D" w:rsidRDefault="00852762" w:rsidP="00501D25">
      <w:pPr>
        <w:rPr>
          <w:lang w:val="uk-UA"/>
        </w:rPr>
      </w:pPr>
      <w:r w:rsidRPr="0024327D">
        <w:rPr>
          <w:lang w:val="uk-UA"/>
        </w:rPr>
        <w:t>Нижче представлена більш детальна інформація про відмінності</w:t>
      </w:r>
      <w:r w:rsidR="007B47D0" w:rsidRPr="0024327D">
        <w:rPr>
          <w:lang w:val="uk-UA"/>
        </w:rPr>
        <w:t xml:space="preserve"> між цими інструментами</w:t>
      </w:r>
      <w:r w:rsidR="009B311A" w:rsidRPr="0024327D">
        <w:rPr>
          <w:lang w:val="uk-UA"/>
        </w:rPr>
        <w:t>.</w:t>
      </w:r>
      <w:r w:rsidR="008D203E" w:rsidRPr="0024327D">
        <w:rPr>
          <w:lang w:val="uk-UA"/>
        </w:rPr>
        <w:t xml:space="preserve"> </w:t>
      </w:r>
    </w:p>
    <w:tbl>
      <w:tblPr>
        <w:tblStyle w:val="af3"/>
        <w:tblW w:w="0" w:type="auto"/>
        <w:tblLook w:val="04A0" w:firstRow="1" w:lastRow="0" w:firstColumn="1" w:lastColumn="0" w:noHBand="0" w:noVBand="1"/>
      </w:tblPr>
      <w:tblGrid>
        <w:gridCol w:w="1986"/>
        <w:gridCol w:w="3714"/>
        <w:gridCol w:w="3645"/>
      </w:tblGrid>
      <w:tr w:rsidR="00875146" w:rsidRPr="0024327D" w14:paraId="2488DEDF" w14:textId="77777777" w:rsidTr="008D203E">
        <w:trPr>
          <w:tblHeader/>
        </w:trPr>
        <w:tc>
          <w:tcPr>
            <w:tcW w:w="0" w:type="auto"/>
          </w:tcPr>
          <w:p w14:paraId="3FAC2886" w14:textId="77777777" w:rsidR="009B311A" w:rsidRPr="0024327D" w:rsidRDefault="009B311A" w:rsidP="00501D25">
            <w:pPr>
              <w:rPr>
                <w:b/>
                <w:lang w:val="uk-UA"/>
              </w:rPr>
            </w:pPr>
          </w:p>
        </w:tc>
        <w:tc>
          <w:tcPr>
            <w:tcW w:w="0" w:type="auto"/>
          </w:tcPr>
          <w:p w14:paraId="4A9B8534" w14:textId="57E99551" w:rsidR="009B311A" w:rsidRPr="0024327D" w:rsidRDefault="0038388D" w:rsidP="00501D25">
            <w:pPr>
              <w:jc w:val="center"/>
              <w:rPr>
                <w:b/>
                <w:lang w:val="uk-UA"/>
              </w:rPr>
            </w:pPr>
            <w:r w:rsidRPr="0024327D">
              <w:rPr>
                <w:b/>
                <w:lang w:val="uk-UA"/>
              </w:rPr>
              <w:t>О</w:t>
            </w:r>
            <w:r w:rsidR="002A37C4" w:rsidRPr="0024327D">
              <w:rPr>
                <w:b/>
                <w:lang w:val="uk-UA"/>
              </w:rPr>
              <w:t>блігації</w:t>
            </w:r>
            <w:r w:rsidRPr="0024327D">
              <w:rPr>
                <w:b/>
                <w:lang w:val="uk-UA"/>
              </w:rPr>
              <w:t xml:space="preserve"> з покриттям</w:t>
            </w:r>
          </w:p>
        </w:tc>
        <w:tc>
          <w:tcPr>
            <w:tcW w:w="0" w:type="auto"/>
          </w:tcPr>
          <w:p w14:paraId="4B5204A4" w14:textId="6153BBED" w:rsidR="009B311A" w:rsidRPr="0024327D" w:rsidRDefault="002A37C4" w:rsidP="00501D25">
            <w:pPr>
              <w:jc w:val="center"/>
              <w:rPr>
                <w:b/>
                <w:lang w:val="uk-UA"/>
              </w:rPr>
            </w:pPr>
            <w:r w:rsidRPr="0024327D">
              <w:rPr>
                <w:b/>
                <w:lang w:val="uk-UA"/>
              </w:rPr>
              <w:t>Сек’юритизація</w:t>
            </w:r>
          </w:p>
        </w:tc>
      </w:tr>
      <w:tr w:rsidR="00875146" w:rsidRPr="0024327D" w14:paraId="1049C983" w14:textId="77777777" w:rsidTr="002B681C">
        <w:tc>
          <w:tcPr>
            <w:tcW w:w="0" w:type="auto"/>
          </w:tcPr>
          <w:p w14:paraId="31DADBF1" w14:textId="27411EBB" w:rsidR="009B311A" w:rsidRPr="0024327D" w:rsidRDefault="004211DF" w:rsidP="00501D25">
            <w:pPr>
              <w:rPr>
                <w:b/>
                <w:lang w:val="uk-UA"/>
              </w:rPr>
            </w:pPr>
            <w:r w:rsidRPr="0024327D">
              <w:rPr>
                <w:b/>
                <w:lang w:val="uk-UA"/>
              </w:rPr>
              <w:t>Юридична особа</w:t>
            </w:r>
            <w:r w:rsidR="00852762" w:rsidRPr="0024327D">
              <w:rPr>
                <w:b/>
                <w:lang w:val="uk-UA"/>
              </w:rPr>
              <w:t>-емітент</w:t>
            </w:r>
            <w:r w:rsidR="004C2D73" w:rsidRPr="0024327D">
              <w:rPr>
                <w:b/>
                <w:lang w:val="uk-UA"/>
              </w:rPr>
              <w:t>/ оригінатор</w:t>
            </w:r>
          </w:p>
        </w:tc>
        <w:tc>
          <w:tcPr>
            <w:tcW w:w="0" w:type="auto"/>
          </w:tcPr>
          <w:p w14:paraId="3434789B" w14:textId="72DBD16F" w:rsidR="009B311A" w:rsidRPr="0024327D" w:rsidRDefault="00852762" w:rsidP="00F368A8">
            <w:pPr>
              <w:rPr>
                <w:lang w:val="uk-UA"/>
              </w:rPr>
            </w:pPr>
            <w:r w:rsidRPr="0024327D">
              <w:rPr>
                <w:lang w:val="uk-UA"/>
              </w:rPr>
              <w:t xml:space="preserve">Відповідно до </w:t>
            </w:r>
            <w:r w:rsidR="004C2D73" w:rsidRPr="0024327D">
              <w:rPr>
                <w:lang w:val="uk-UA"/>
              </w:rPr>
              <w:t xml:space="preserve">Статті 3 Директиви про облігації з покриттям  </w:t>
            </w:r>
            <w:r w:rsidRPr="0024327D">
              <w:rPr>
                <w:lang w:val="uk-UA"/>
              </w:rPr>
              <w:t>Емітент повинен бути кредитною установою</w:t>
            </w:r>
            <w:r w:rsidR="0008232E" w:rsidRPr="0024327D">
              <w:rPr>
                <w:lang w:val="uk-UA"/>
              </w:rPr>
              <w:t xml:space="preserve">, за визначенням </w:t>
            </w:r>
            <w:r w:rsidRPr="0024327D">
              <w:rPr>
                <w:lang w:val="uk-UA"/>
              </w:rPr>
              <w:t xml:space="preserve">цього терміну у Статті 4(1) Регламенту </w:t>
            </w:r>
            <w:r w:rsidR="003C6D6F" w:rsidRPr="0024327D">
              <w:rPr>
                <w:lang w:val="uk-UA"/>
              </w:rPr>
              <w:t xml:space="preserve">про вимоги </w:t>
            </w:r>
            <w:r w:rsidRPr="0024327D">
              <w:rPr>
                <w:lang w:val="uk-UA"/>
              </w:rPr>
              <w:t>до ка</w:t>
            </w:r>
            <w:r w:rsidR="003C6D6F" w:rsidRPr="0024327D">
              <w:rPr>
                <w:lang w:val="uk-UA"/>
              </w:rPr>
              <w:t>п</w:t>
            </w:r>
            <w:r w:rsidRPr="0024327D">
              <w:rPr>
                <w:lang w:val="uk-UA"/>
              </w:rPr>
              <w:t>італу</w:t>
            </w:r>
            <w:r w:rsidR="009B311A" w:rsidRPr="0024327D">
              <w:rPr>
                <w:lang w:val="uk-UA"/>
              </w:rPr>
              <w:t>.</w:t>
            </w:r>
          </w:p>
        </w:tc>
        <w:tc>
          <w:tcPr>
            <w:tcW w:w="0" w:type="auto"/>
          </w:tcPr>
          <w:p w14:paraId="5C0393CB" w14:textId="3712223D" w:rsidR="009B311A" w:rsidRPr="0024327D" w:rsidRDefault="003C6D6F" w:rsidP="00501D25">
            <w:pPr>
              <w:rPr>
                <w:lang w:val="uk-UA"/>
              </w:rPr>
            </w:pPr>
            <w:r w:rsidRPr="0024327D">
              <w:rPr>
                <w:lang w:val="uk-UA"/>
              </w:rPr>
              <w:t xml:space="preserve">Зазвичай </w:t>
            </w:r>
            <w:r w:rsidR="0008232E" w:rsidRPr="0024327D">
              <w:rPr>
                <w:lang w:val="uk-UA"/>
              </w:rPr>
              <w:t xml:space="preserve">це </w:t>
            </w:r>
            <w:r w:rsidRPr="0024327D">
              <w:rPr>
                <w:lang w:val="uk-UA"/>
              </w:rPr>
              <w:t xml:space="preserve">банк, але </w:t>
            </w:r>
            <w:r w:rsidR="0008232E" w:rsidRPr="0024327D">
              <w:rPr>
                <w:lang w:val="uk-UA"/>
              </w:rPr>
              <w:t xml:space="preserve">взагалі </w:t>
            </w:r>
            <w:r w:rsidR="004E7810" w:rsidRPr="0024327D">
              <w:rPr>
                <w:lang w:val="uk-UA"/>
              </w:rPr>
              <w:t xml:space="preserve">оригінатором </w:t>
            </w:r>
            <w:r w:rsidRPr="0024327D">
              <w:rPr>
                <w:lang w:val="uk-UA"/>
              </w:rPr>
              <w:t>може бути будь-як</w:t>
            </w:r>
            <w:r w:rsidR="00207D26" w:rsidRPr="0024327D">
              <w:rPr>
                <w:lang w:val="uk-UA"/>
              </w:rPr>
              <w:t>а юридична особа</w:t>
            </w:r>
            <w:r w:rsidR="00583A2D" w:rsidRPr="0024327D">
              <w:rPr>
                <w:lang w:val="uk-UA"/>
              </w:rPr>
              <w:t>.</w:t>
            </w:r>
            <w:r w:rsidR="00577F88" w:rsidRPr="0024327D">
              <w:rPr>
                <w:rStyle w:val="af2"/>
                <w:lang w:val="uk-UA"/>
              </w:rPr>
              <w:footnoteReference w:id="4"/>
            </w:r>
          </w:p>
        </w:tc>
      </w:tr>
      <w:tr w:rsidR="00875146" w:rsidRPr="0024327D" w14:paraId="7CD13116" w14:textId="77777777" w:rsidTr="002B681C">
        <w:tc>
          <w:tcPr>
            <w:tcW w:w="0" w:type="auto"/>
          </w:tcPr>
          <w:p w14:paraId="79C4563E" w14:textId="2F012D03" w:rsidR="009B311A" w:rsidRPr="0024327D" w:rsidRDefault="003C6D6F" w:rsidP="00501D25">
            <w:pPr>
              <w:rPr>
                <w:b/>
                <w:lang w:val="uk-UA"/>
              </w:rPr>
            </w:pPr>
            <w:r w:rsidRPr="0024327D">
              <w:rPr>
                <w:b/>
                <w:lang w:val="uk-UA"/>
              </w:rPr>
              <w:lastRenderedPageBreak/>
              <w:t>Прийнятні активи</w:t>
            </w:r>
          </w:p>
          <w:p w14:paraId="7C2D7671" w14:textId="77777777" w:rsidR="009B311A" w:rsidRPr="0024327D" w:rsidRDefault="009B311A" w:rsidP="00501D25">
            <w:pPr>
              <w:rPr>
                <w:b/>
                <w:lang w:val="uk-UA"/>
              </w:rPr>
            </w:pPr>
          </w:p>
        </w:tc>
        <w:tc>
          <w:tcPr>
            <w:tcW w:w="0" w:type="auto"/>
          </w:tcPr>
          <w:p w14:paraId="7725B8DF" w14:textId="3D5680B7" w:rsidR="009B311A" w:rsidRPr="0024327D" w:rsidRDefault="003C6D6F" w:rsidP="00501D25">
            <w:pPr>
              <w:rPr>
                <w:lang w:val="uk-UA"/>
              </w:rPr>
            </w:pPr>
            <w:r w:rsidRPr="0024327D">
              <w:rPr>
                <w:lang w:val="uk-UA"/>
              </w:rPr>
              <w:t xml:space="preserve">Іпотека, дебіторська заборгованість організацій </w:t>
            </w:r>
            <w:r w:rsidR="008D2B50" w:rsidRPr="0024327D">
              <w:rPr>
                <w:lang w:val="uk-UA"/>
              </w:rPr>
              <w:t xml:space="preserve">публічного </w:t>
            </w:r>
            <w:r w:rsidRPr="0024327D">
              <w:rPr>
                <w:lang w:val="uk-UA"/>
              </w:rPr>
              <w:t xml:space="preserve">сектору, </w:t>
            </w:r>
            <w:r w:rsidR="00E9062E" w:rsidRPr="0024327D">
              <w:rPr>
                <w:lang w:val="uk-UA"/>
              </w:rPr>
              <w:t xml:space="preserve">кредити, забезпечені </w:t>
            </w:r>
            <w:r w:rsidR="00BB794D" w:rsidRPr="0024327D">
              <w:rPr>
                <w:lang w:val="uk-UA"/>
              </w:rPr>
              <w:t>заставою морських суден, а також</w:t>
            </w:r>
            <w:r w:rsidRPr="0024327D">
              <w:rPr>
                <w:lang w:val="uk-UA"/>
              </w:rPr>
              <w:t xml:space="preserve"> </w:t>
            </w:r>
            <w:r w:rsidR="007718F6" w:rsidRPr="0024327D">
              <w:rPr>
                <w:lang w:val="uk-UA"/>
              </w:rPr>
              <w:t>“</w:t>
            </w:r>
            <w:r w:rsidRPr="0024327D">
              <w:rPr>
                <w:lang w:val="uk-UA"/>
              </w:rPr>
              <w:t>технічні</w:t>
            </w:r>
            <w:r w:rsidR="007718F6" w:rsidRPr="0024327D">
              <w:rPr>
                <w:lang w:val="uk-UA"/>
              </w:rPr>
              <w:t>”</w:t>
            </w:r>
            <w:r w:rsidRPr="0024327D">
              <w:rPr>
                <w:lang w:val="uk-UA"/>
              </w:rPr>
              <w:t xml:space="preserve"> активи, у тому числі </w:t>
            </w:r>
            <w:r w:rsidR="000039A0" w:rsidRPr="0024327D">
              <w:rPr>
                <w:lang w:val="uk-UA"/>
              </w:rPr>
              <w:t>прав</w:t>
            </w:r>
            <w:r w:rsidR="00E42CBE" w:rsidRPr="0024327D">
              <w:rPr>
                <w:lang w:val="uk-UA"/>
              </w:rPr>
              <w:t>а</w:t>
            </w:r>
            <w:r w:rsidR="000039A0" w:rsidRPr="0024327D">
              <w:rPr>
                <w:lang w:val="uk-UA"/>
              </w:rPr>
              <w:t xml:space="preserve"> на забезпечення </w:t>
            </w:r>
            <w:r w:rsidR="00D55799" w:rsidRPr="0024327D">
              <w:rPr>
                <w:lang w:val="uk-UA"/>
              </w:rPr>
              <w:t>щодо активів</w:t>
            </w:r>
            <w:r w:rsidR="00E75433" w:rsidRPr="0024327D">
              <w:rPr>
                <w:lang w:val="uk-UA"/>
              </w:rPr>
              <w:t>-замінників</w:t>
            </w:r>
            <w:r w:rsidR="00D55799" w:rsidRPr="0024327D">
              <w:rPr>
                <w:lang w:val="uk-UA"/>
              </w:rPr>
              <w:t xml:space="preserve"> </w:t>
            </w:r>
            <w:r w:rsidRPr="0024327D">
              <w:rPr>
                <w:lang w:val="uk-UA"/>
              </w:rPr>
              <w:t xml:space="preserve">та </w:t>
            </w:r>
            <w:r w:rsidR="009B755B" w:rsidRPr="0024327D">
              <w:rPr>
                <w:lang w:val="uk-UA"/>
              </w:rPr>
              <w:t>деривативні фінансові інструменти</w:t>
            </w:r>
            <w:r w:rsidR="00E42CBE" w:rsidRPr="0024327D">
              <w:rPr>
                <w:lang w:val="uk-UA"/>
              </w:rPr>
              <w:t xml:space="preserve"> </w:t>
            </w:r>
            <w:r w:rsidRPr="0024327D">
              <w:rPr>
                <w:lang w:val="uk-UA"/>
              </w:rPr>
              <w:t xml:space="preserve">- визначено Директивою про облігації </w:t>
            </w:r>
            <w:r w:rsidR="000C1253" w:rsidRPr="0024327D">
              <w:rPr>
                <w:lang w:val="uk-UA"/>
              </w:rPr>
              <w:t xml:space="preserve">з покриттям </w:t>
            </w:r>
            <w:r w:rsidRPr="0024327D">
              <w:rPr>
                <w:lang w:val="uk-UA"/>
              </w:rPr>
              <w:t>та Регламентом про вимоги до капіталу</w:t>
            </w:r>
            <w:r w:rsidR="00DB397D" w:rsidRPr="0024327D">
              <w:rPr>
                <w:lang w:val="uk-UA"/>
              </w:rPr>
              <w:t>.</w:t>
            </w:r>
            <w:r w:rsidR="001F735A" w:rsidRPr="0024327D">
              <w:rPr>
                <w:rStyle w:val="af2"/>
                <w:lang w:val="uk-UA"/>
              </w:rPr>
              <w:footnoteReference w:id="5"/>
            </w:r>
          </w:p>
          <w:p w14:paraId="7D322B89" w14:textId="40E9A4DB" w:rsidR="009B311A" w:rsidRPr="0024327D" w:rsidRDefault="003C6D6F" w:rsidP="00501D25">
            <w:pPr>
              <w:rPr>
                <w:lang w:val="uk-UA"/>
              </w:rPr>
            </w:pPr>
            <w:r w:rsidRPr="0024327D">
              <w:rPr>
                <w:lang w:val="uk-UA"/>
              </w:rPr>
              <w:t xml:space="preserve">Зазвичай </w:t>
            </w:r>
            <w:r w:rsidR="003D57B8" w:rsidRPr="0024327D">
              <w:rPr>
                <w:lang w:val="uk-UA"/>
              </w:rPr>
              <w:t xml:space="preserve">перелік </w:t>
            </w:r>
            <w:r w:rsidRPr="0024327D">
              <w:rPr>
                <w:lang w:val="uk-UA"/>
              </w:rPr>
              <w:t>прийнятн</w:t>
            </w:r>
            <w:r w:rsidR="003D57B8" w:rsidRPr="0024327D">
              <w:rPr>
                <w:lang w:val="uk-UA"/>
              </w:rPr>
              <w:t>их</w:t>
            </w:r>
            <w:r w:rsidRPr="0024327D">
              <w:rPr>
                <w:lang w:val="uk-UA"/>
              </w:rPr>
              <w:t xml:space="preserve"> актив</w:t>
            </w:r>
            <w:r w:rsidR="003D57B8" w:rsidRPr="0024327D">
              <w:rPr>
                <w:lang w:val="uk-UA"/>
              </w:rPr>
              <w:t>ів</w:t>
            </w:r>
            <w:r w:rsidRPr="0024327D">
              <w:rPr>
                <w:lang w:val="uk-UA"/>
              </w:rPr>
              <w:t xml:space="preserve"> </w:t>
            </w:r>
            <w:r w:rsidR="00B0118C" w:rsidRPr="0024327D">
              <w:rPr>
                <w:lang w:val="uk-UA"/>
              </w:rPr>
              <w:t xml:space="preserve">у національних законодавствах </w:t>
            </w:r>
            <w:r w:rsidR="003D57B8" w:rsidRPr="0024327D">
              <w:rPr>
                <w:lang w:val="uk-UA"/>
              </w:rPr>
              <w:t>є вужчим</w:t>
            </w:r>
            <w:r w:rsidR="00B0118C" w:rsidRPr="0024327D">
              <w:rPr>
                <w:lang w:val="uk-UA"/>
              </w:rPr>
              <w:t>.</w:t>
            </w:r>
          </w:p>
        </w:tc>
        <w:tc>
          <w:tcPr>
            <w:tcW w:w="0" w:type="auto"/>
          </w:tcPr>
          <w:p w14:paraId="08BD0F99" w14:textId="15DCC3BC" w:rsidR="009B311A" w:rsidRPr="0024327D" w:rsidRDefault="00F03DCE" w:rsidP="00501D25">
            <w:pPr>
              <w:rPr>
                <w:lang w:val="uk-UA"/>
              </w:rPr>
            </w:pPr>
            <w:r w:rsidRPr="0024327D">
              <w:rPr>
                <w:lang w:val="uk-UA"/>
              </w:rPr>
              <w:t>Законодавчі обмеження відсутні.</w:t>
            </w:r>
          </w:p>
          <w:p w14:paraId="072C66BA" w14:textId="2E3216A1" w:rsidR="003C6D6F" w:rsidRPr="0024327D" w:rsidRDefault="003C6D6F" w:rsidP="00501D25">
            <w:pPr>
              <w:rPr>
                <w:lang w:val="uk-UA"/>
              </w:rPr>
            </w:pPr>
            <w:r w:rsidRPr="0024327D">
              <w:rPr>
                <w:lang w:val="uk-UA"/>
              </w:rPr>
              <w:t xml:space="preserve">Будь-які активи, які можуть бути </w:t>
            </w:r>
            <w:r w:rsidR="00B0118C" w:rsidRPr="0024327D">
              <w:rPr>
                <w:lang w:val="uk-UA"/>
              </w:rPr>
              <w:t xml:space="preserve">належним чином </w:t>
            </w:r>
            <w:r w:rsidR="00D22AF5" w:rsidRPr="0024327D">
              <w:rPr>
                <w:lang w:val="uk-UA"/>
              </w:rPr>
              <w:t xml:space="preserve">виокремлені та відчужені </w:t>
            </w:r>
            <w:r w:rsidRPr="0024327D">
              <w:rPr>
                <w:lang w:val="uk-UA"/>
              </w:rPr>
              <w:t>компанії спеціального призн</w:t>
            </w:r>
            <w:r w:rsidR="00EF4C2D" w:rsidRPr="0024327D">
              <w:rPr>
                <w:lang w:val="uk-UA"/>
              </w:rPr>
              <w:t>а</w:t>
            </w:r>
            <w:r w:rsidRPr="0024327D">
              <w:rPr>
                <w:lang w:val="uk-UA"/>
              </w:rPr>
              <w:t>чення, і які рейтингові агентства та інвестори вважають достатньо</w:t>
            </w:r>
            <w:r w:rsidR="009F284C" w:rsidRPr="0024327D">
              <w:rPr>
                <w:lang w:val="uk-UA"/>
              </w:rPr>
              <w:t>ї кредитної якості.</w:t>
            </w:r>
            <w:r w:rsidRPr="0024327D">
              <w:rPr>
                <w:lang w:val="uk-UA"/>
              </w:rPr>
              <w:t xml:space="preserve"> </w:t>
            </w:r>
          </w:p>
          <w:p w14:paraId="6316CD5C" w14:textId="3A94C618" w:rsidR="00EF4C2D" w:rsidRPr="0024327D" w:rsidRDefault="00EF4C2D" w:rsidP="00501D25">
            <w:pPr>
              <w:rPr>
                <w:lang w:val="uk-UA"/>
              </w:rPr>
            </w:pPr>
            <w:r w:rsidRPr="0024327D">
              <w:rPr>
                <w:lang w:val="uk-UA"/>
              </w:rPr>
              <w:t xml:space="preserve">На практиці </w:t>
            </w:r>
            <w:r w:rsidR="007971D8" w:rsidRPr="0024327D">
              <w:rPr>
                <w:lang w:val="uk-UA"/>
              </w:rPr>
              <w:t>найчастішим активом є іпотечні кредити</w:t>
            </w:r>
            <w:r w:rsidRPr="0024327D">
              <w:rPr>
                <w:lang w:val="uk-UA"/>
              </w:rPr>
              <w:t xml:space="preserve"> та споживч</w:t>
            </w:r>
            <w:r w:rsidR="00EC667A" w:rsidRPr="0024327D">
              <w:rPr>
                <w:lang w:val="uk-UA"/>
              </w:rPr>
              <w:t>і</w:t>
            </w:r>
            <w:r w:rsidRPr="0024327D">
              <w:rPr>
                <w:lang w:val="uk-UA"/>
              </w:rPr>
              <w:t xml:space="preserve"> кредит</w:t>
            </w:r>
            <w:r w:rsidR="00EC667A" w:rsidRPr="0024327D">
              <w:rPr>
                <w:lang w:val="uk-UA"/>
              </w:rPr>
              <w:t>и</w:t>
            </w:r>
            <w:r w:rsidRPr="0024327D">
              <w:rPr>
                <w:lang w:val="uk-UA"/>
              </w:rPr>
              <w:t xml:space="preserve">, але </w:t>
            </w:r>
            <w:r w:rsidR="00EC667A" w:rsidRPr="0024327D">
              <w:rPr>
                <w:lang w:val="uk-UA"/>
              </w:rPr>
              <w:t xml:space="preserve">в якості активів, щодо яких здійснюється сек’юритизація також </w:t>
            </w:r>
            <w:r w:rsidRPr="0024327D">
              <w:rPr>
                <w:lang w:val="uk-UA"/>
              </w:rPr>
              <w:t>можу</w:t>
            </w:r>
            <w:r w:rsidR="00C52880" w:rsidRPr="0024327D">
              <w:rPr>
                <w:lang w:val="uk-UA"/>
              </w:rPr>
              <w:t>т</w:t>
            </w:r>
            <w:r w:rsidRPr="0024327D">
              <w:rPr>
                <w:lang w:val="uk-UA"/>
              </w:rPr>
              <w:t xml:space="preserve">ь </w:t>
            </w:r>
            <w:r w:rsidR="00EC667A" w:rsidRPr="0024327D">
              <w:rPr>
                <w:lang w:val="uk-UA"/>
              </w:rPr>
              <w:t xml:space="preserve">виступати права вимоги за заборгованістю </w:t>
            </w:r>
            <w:r w:rsidR="00E96B0E" w:rsidRPr="0024327D">
              <w:rPr>
                <w:lang w:val="uk-UA"/>
              </w:rPr>
              <w:t>у</w:t>
            </w:r>
            <w:r w:rsidR="00EC667A" w:rsidRPr="0024327D">
              <w:rPr>
                <w:lang w:val="uk-UA"/>
              </w:rPr>
              <w:t xml:space="preserve"> </w:t>
            </w:r>
            <w:r w:rsidR="00A82D1A" w:rsidRPr="0024327D">
              <w:rPr>
                <w:lang w:val="uk-UA"/>
              </w:rPr>
              <w:t>сфері аграрної діяльності, права вимоги за договорами лізингу,</w:t>
            </w:r>
            <w:r w:rsidRPr="0024327D">
              <w:rPr>
                <w:lang w:val="uk-UA"/>
              </w:rPr>
              <w:t xml:space="preserve"> комунальні платежі, </w:t>
            </w:r>
            <w:r w:rsidR="00A47552" w:rsidRPr="0024327D">
              <w:rPr>
                <w:lang w:val="uk-UA"/>
              </w:rPr>
              <w:t xml:space="preserve">непрацюючі </w:t>
            </w:r>
            <w:r w:rsidRPr="0024327D">
              <w:rPr>
                <w:lang w:val="uk-UA"/>
              </w:rPr>
              <w:t>кредити тощо.</w:t>
            </w:r>
          </w:p>
        </w:tc>
      </w:tr>
      <w:tr w:rsidR="00875146" w:rsidRPr="0024327D" w14:paraId="3B342535" w14:textId="77777777" w:rsidTr="002B681C">
        <w:tc>
          <w:tcPr>
            <w:tcW w:w="0" w:type="auto"/>
          </w:tcPr>
          <w:p w14:paraId="00552410" w14:textId="1F74CFE5" w:rsidR="009B311A" w:rsidRPr="0024327D" w:rsidRDefault="00C52880" w:rsidP="00501D25">
            <w:pPr>
              <w:rPr>
                <w:b/>
                <w:lang w:val="uk-UA"/>
              </w:rPr>
            </w:pPr>
            <w:r w:rsidRPr="0024327D">
              <w:rPr>
                <w:b/>
                <w:lang w:val="uk-UA"/>
              </w:rPr>
              <w:t>Державний нагляд</w:t>
            </w:r>
          </w:p>
          <w:p w14:paraId="5D553215" w14:textId="77777777" w:rsidR="009B311A" w:rsidRPr="0024327D" w:rsidRDefault="009B311A" w:rsidP="00501D25">
            <w:pPr>
              <w:rPr>
                <w:b/>
                <w:lang w:val="uk-UA"/>
              </w:rPr>
            </w:pPr>
          </w:p>
        </w:tc>
        <w:tc>
          <w:tcPr>
            <w:tcW w:w="0" w:type="auto"/>
          </w:tcPr>
          <w:p w14:paraId="286F3948" w14:textId="738E634E" w:rsidR="009B311A" w:rsidRPr="0024327D" w:rsidRDefault="00BA6565" w:rsidP="00501D25">
            <w:pPr>
              <w:rPr>
                <w:lang w:val="uk-UA"/>
              </w:rPr>
            </w:pPr>
            <w:r w:rsidRPr="0024327D">
              <w:rPr>
                <w:lang w:val="uk-UA"/>
              </w:rPr>
              <w:t>Розділ ІІІ "Державний нагляд у сфері облігацій з покриттям" Директиви про облігації з покриттям,</w:t>
            </w:r>
            <w:r w:rsidR="007568A9" w:rsidRPr="0024327D">
              <w:rPr>
                <w:lang w:val="uk-UA"/>
              </w:rPr>
              <w:t xml:space="preserve"> Стаття 52(4)</w:t>
            </w:r>
            <w:r w:rsidRPr="0024327D">
              <w:rPr>
                <w:lang w:val="uk-UA"/>
              </w:rPr>
              <w:t xml:space="preserve"> </w:t>
            </w:r>
            <w:r w:rsidR="00A16F44" w:rsidRPr="0024327D">
              <w:rPr>
                <w:lang w:val="uk-UA"/>
              </w:rPr>
              <w:t>“</w:t>
            </w:r>
            <w:r w:rsidR="007F2C45" w:rsidRPr="0024327D">
              <w:rPr>
                <w:lang w:val="uk-UA"/>
              </w:rPr>
              <w:t>Особлив</w:t>
            </w:r>
            <w:r w:rsidR="00C52880" w:rsidRPr="0024327D">
              <w:rPr>
                <w:lang w:val="uk-UA"/>
              </w:rPr>
              <w:t>ий режим нагляду для захисту інтересів держателів іпотечних облігацій</w:t>
            </w:r>
            <w:r w:rsidR="00A16F44" w:rsidRPr="0024327D">
              <w:rPr>
                <w:lang w:val="uk-UA"/>
              </w:rPr>
              <w:t>”</w:t>
            </w:r>
            <w:r w:rsidR="009B311A" w:rsidRPr="0024327D">
              <w:rPr>
                <w:lang w:val="uk-UA"/>
              </w:rPr>
              <w:t xml:space="preserve"> </w:t>
            </w:r>
            <w:r w:rsidR="00C52880" w:rsidRPr="0024327D">
              <w:rPr>
                <w:lang w:val="uk-UA"/>
              </w:rPr>
              <w:t>Директив</w:t>
            </w:r>
            <w:r w:rsidR="007568A9" w:rsidRPr="0024327D">
              <w:rPr>
                <w:lang w:val="uk-UA"/>
              </w:rPr>
              <w:t>и</w:t>
            </w:r>
            <w:r w:rsidR="00C52880" w:rsidRPr="0024327D">
              <w:rPr>
                <w:lang w:val="uk-UA"/>
              </w:rPr>
              <w:t xml:space="preserve"> </w:t>
            </w:r>
            <w:r w:rsidR="009B311A" w:rsidRPr="0024327D">
              <w:rPr>
                <w:lang w:val="uk-UA"/>
              </w:rPr>
              <w:t>UCITS</w:t>
            </w:r>
            <w:r w:rsidR="007568A9" w:rsidRPr="0024327D">
              <w:rPr>
                <w:lang w:val="uk-UA"/>
              </w:rPr>
              <w:t>.</w:t>
            </w:r>
          </w:p>
          <w:p w14:paraId="4DF5455D" w14:textId="788069D9" w:rsidR="009B311A" w:rsidRPr="0024327D" w:rsidRDefault="00C52880" w:rsidP="00501D25">
            <w:pPr>
              <w:rPr>
                <w:lang w:val="uk-UA"/>
              </w:rPr>
            </w:pPr>
            <w:r w:rsidRPr="0024327D">
              <w:rPr>
                <w:lang w:val="uk-UA"/>
              </w:rPr>
              <w:t xml:space="preserve">Стандартні вимоги </w:t>
            </w:r>
            <w:r w:rsidR="000A4DC9" w:rsidRPr="0024327D">
              <w:rPr>
                <w:lang w:val="uk-UA"/>
              </w:rPr>
              <w:t>у</w:t>
            </w:r>
            <w:r w:rsidR="002357E8" w:rsidRPr="0024327D">
              <w:rPr>
                <w:lang w:val="uk-UA"/>
              </w:rPr>
              <w:t xml:space="preserve"> сфері </w:t>
            </w:r>
            <w:r w:rsidRPr="0024327D">
              <w:rPr>
                <w:lang w:val="uk-UA"/>
              </w:rPr>
              <w:t xml:space="preserve">банківського нагляду та випуску облігацій </w:t>
            </w:r>
            <w:r w:rsidR="009B311A" w:rsidRPr="0024327D">
              <w:rPr>
                <w:lang w:val="uk-UA"/>
              </w:rPr>
              <w:t>(</w:t>
            </w:r>
            <w:r w:rsidRPr="0024327D">
              <w:rPr>
                <w:lang w:val="uk-UA"/>
              </w:rPr>
              <w:t>наприклад</w:t>
            </w:r>
            <w:r w:rsidR="007F2C45" w:rsidRPr="0024327D">
              <w:rPr>
                <w:lang w:val="uk-UA"/>
              </w:rPr>
              <w:t>,</w:t>
            </w:r>
            <w:r w:rsidRPr="0024327D">
              <w:rPr>
                <w:lang w:val="uk-UA"/>
              </w:rPr>
              <w:t xml:space="preserve"> </w:t>
            </w:r>
            <w:r w:rsidR="00C34708" w:rsidRPr="0024327D">
              <w:rPr>
                <w:lang w:val="uk-UA"/>
              </w:rPr>
              <w:t xml:space="preserve">Регламент </w:t>
            </w:r>
            <w:r w:rsidRPr="0024327D">
              <w:rPr>
                <w:lang w:val="uk-UA"/>
              </w:rPr>
              <w:t xml:space="preserve">про проспект </w:t>
            </w:r>
            <w:r w:rsidR="002357E8" w:rsidRPr="0024327D">
              <w:rPr>
                <w:lang w:val="uk-UA"/>
              </w:rPr>
              <w:t xml:space="preserve">емісії </w:t>
            </w:r>
            <w:r w:rsidRPr="0024327D">
              <w:rPr>
                <w:lang w:val="uk-UA"/>
              </w:rPr>
              <w:t>цінних паперів</w:t>
            </w:r>
            <w:r w:rsidR="009B311A" w:rsidRPr="0024327D">
              <w:rPr>
                <w:lang w:val="uk-UA"/>
              </w:rPr>
              <w:t>)</w:t>
            </w:r>
            <w:r w:rsidR="00583A2D" w:rsidRPr="0024327D">
              <w:rPr>
                <w:lang w:val="uk-UA"/>
              </w:rPr>
              <w:t>.</w:t>
            </w:r>
          </w:p>
        </w:tc>
        <w:tc>
          <w:tcPr>
            <w:tcW w:w="0" w:type="auto"/>
          </w:tcPr>
          <w:p w14:paraId="5572E231" w14:textId="71698F95" w:rsidR="009552E5" w:rsidRPr="0024327D" w:rsidRDefault="005C14D7" w:rsidP="00501D25">
            <w:pPr>
              <w:rPr>
                <w:lang w:val="uk-UA"/>
              </w:rPr>
            </w:pPr>
            <w:r w:rsidRPr="0024327D">
              <w:rPr>
                <w:lang w:val="uk-UA"/>
              </w:rPr>
              <w:t>Законодавчі о</w:t>
            </w:r>
            <w:r w:rsidR="00F03DCE" w:rsidRPr="0024327D">
              <w:rPr>
                <w:lang w:val="uk-UA"/>
              </w:rPr>
              <w:t>собливості відсутні.</w:t>
            </w:r>
            <w:r w:rsidR="009B311A" w:rsidRPr="0024327D">
              <w:rPr>
                <w:lang w:val="uk-UA"/>
              </w:rPr>
              <w:t xml:space="preserve"> </w:t>
            </w:r>
          </w:p>
          <w:p w14:paraId="3FE4B972" w14:textId="63B2483E" w:rsidR="00C52880" w:rsidRPr="0024327D" w:rsidRDefault="00F03DCE" w:rsidP="00C52880">
            <w:pPr>
              <w:rPr>
                <w:lang w:val="uk-UA"/>
              </w:rPr>
            </w:pPr>
            <w:r w:rsidRPr="0024327D">
              <w:rPr>
                <w:lang w:val="uk-UA"/>
              </w:rPr>
              <w:t>При цьому застосову</w:t>
            </w:r>
            <w:r w:rsidR="001B72CD" w:rsidRPr="0024327D">
              <w:rPr>
                <w:lang w:val="uk-UA"/>
              </w:rPr>
              <w:t>є</w:t>
            </w:r>
            <w:r w:rsidRPr="0024327D">
              <w:rPr>
                <w:lang w:val="uk-UA"/>
              </w:rPr>
              <w:t xml:space="preserve">ться </w:t>
            </w:r>
            <w:r w:rsidR="00266F22" w:rsidRPr="0024327D">
              <w:rPr>
                <w:lang w:val="uk-UA"/>
              </w:rPr>
              <w:t xml:space="preserve">законодавство у сфері нагляду, </w:t>
            </w:r>
            <w:r w:rsidR="00C52880" w:rsidRPr="0024327D">
              <w:rPr>
                <w:lang w:val="uk-UA"/>
              </w:rPr>
              <w:t xml:space="preserve">що </w:t>
            </w:r>
            <w:r w:rsidR="00266F22" w:rsidRPr="0024327D">
              <w:rPr>
                <w:lang w:val="uk-UA"/>
              </w:rPr>
              <w:t>стосується банків</w:t>
            </w:r>
            <w:r w:rsidR="00CD4C68" w:rsidRPr="0024327D">
              <w:rPr>
                <w:lang w:val="uk-UA"/>
              </w:rPr>
              <w:t>-</w:t>
            </w:r>
            <w:r w:rsidR="003662CC" w:rsidRPr="0024327D">
              <w:rPr>
                <w:lang w:val="uk-UA"/>
              </w:rPr>
              <w:t>оригінаторів</w:t>
            </w:r>
            <w:r w:rsidR="00C52880" w:rsidRPr="0024327D">
              <w:rPr>
                <w:lang w:val="uk-UA"/>
              </w:rPr>
              <w:t>, а також правила, що регулюють випуск облігацій, проспектів тощо.</w:t>
            </w:r>
          </w:p>
          <w:p w14:paraId="77921B74" w14:textId="3E8DF3ED" w:rsidR="009B311A" w:rsidRPr="0024327D" w:rsidRDefault="00B8275E" w:rsidP="001D61B8">
            <w:pPr>
              <w:rPr>
                <w:lang w:val="uk-UA"/>
              </w:rPr>
            </w:pPr>
            <w:r w:rsidRPr="0024327D">
              <w:rPr>
                <w:lang w:val="uk-UA"/>
              </w:rPr>
              <w:t xml:space="preserve">Певні </w:t>
            </w:r>
            <w:r w:rsidR="00C52880" w:rsidRPr="0024327D">
              <w:rPr>
                <w:lang w:val="uk-UA"/>
              </w:rPr>
              <w:t xml:space="preserve">додаткові </w:t>
            </w:r>
            <w:r w:rsidR="007F2C45" w:rsidRPr="0024327D">
              <w:rPr>
                <w:lang w:val="uk-UA"/>
              </w:rPr>
              <w:t>особлив</w:t>
            </w:r>
            <w:r w:rsidR="004D4883" w:rsidRPr="0024327D">
              <w:rPr>
                <w:lang w:val="uk-UA"/>
              </w:rPr>
              <w:t>і</w:t>
            </w:r>
            <w:r w:rsidR="00C52880" w:rsidRPr="0024327D">
              <w:rPr>
                <w:lang w:val="uk-UA"/>
              </w:rPr>
              <w:t xml:space="preserve"> правила нагляду</w:t>
            </w:r>
            <w:r w:rsidRPr="0024327D">
              <w:rPr>
                <w:lang w:val="uk-UA"/>
              </w:rPr>
              <w:t xml:space="preserve"> можуть застосовуватись</w:t>
            </w:r>
            <w:r w:rsidR="00C52880" w:rsidRPr="0024327D">
              <w:rPr>
                <w:lang w:val="uk-UA"/>
              </w:rPr>
              <w:t xml:space="preserve">, якщо </w:t>
            </w:r>
            <w:r w:rsidRPr="0024327D">
              <w:rPr>
                <w:lang w:val="uk-UA"/>
              </w:rPr>
              <w:t xml:space="preserve">сек’юритизація </w:t>
            </w:r>
            <w:r w:rsidR="0061058B" w:rsidRPr="0024327D">
              <w:rPr>
                <w:lang w:val="uk-UA"/>
              </w:rPr>
              <w:t>має статус</w:t>
            </w:r>
            <w:r w:rsidR="00D55D7D" w:rsidRPr="0024327D">
              <w:rPr>
                <w:lang w:val="uk-UA"/>
              </w:rPr>
              <w:t xml:space="preserve"> </w:t>
            </w:r>
            <w:r w:rsidR="007718F6" w:rsidRPr="0024327D">
              <w:rPr>
                <w:lang w:val="uk-UA"/>
              </w:rPr>
              <w:t>“</w:t>
            </w:r>
            <w:r w:rsidR="00C52880" w:rsidRPr="0024327D">
              <w:rPr>
                <w:lang w:val="uk-UA"/>
              </w:rPr>
              <w:t>прост</w:t>
            </w:r>
            <w:r w:rsidR="00D55D7D" w:rsidRPr="0024327D">
              <w:rPr>
                <w:lang w:val="uk-UA"/>
              </w:rPr>
              <w:t>ої</w:t>
            </w:r>
            <w:r w:rsidR="00C52880" w:rsidRPr="0024327D">
              <w:rPr>
                <w:lang w:val="uk-UA"/>
              </w:rPr>
              <w:t>, прозор</w:t>
            </w:r>
            <w:r w:rsidR="00D55D7D" w:rsidRPr="0024327D">
              <w:rPr>
                <w:lang w:val="uk-UA"/>
              </w:rPr>
              <w:t>ої</w:t>
            </w:r>
            <w:r w:rsidR="00C52880" w:rsidRPr="0024327D">
              <w:rPr>
                <w:lang w:val="uk-UA"/>
              </w:rPr>
              <w:t xml:space="preserve"> та стандартизован</w:t>
            </w:r>
            <w:r w:rsidR="00D55D7D" w:rsidRPr="0024327D">
              <w:rPr>
                <w:lang w:val="uk-UA"/>
              </w:rPr>
              <w:t>ої</w:t>
            </w:r>
            <w:r w:rsidR="007718F6" w:rsidRPr="0024327D">
              <w:rPr>
                <w:lang w:val="uk-UA"/>
              </w:rPr>
              <w:t>”</w:t>
            </w:r>
            <w:r w:rsidR="00D55D7D" w:rsidRPr="0024327D">
              <w:rPr>
                <w:lang w:val="uk-UA"/>
              </w:rPr>
              <w:t xml:space="preserve"> сек'юритизації</w:t>
            </w:r>
            <w:r w:rsidR="00C52880" w:rsidRPr="0024327D">
              <w:rPr>
                <w:lang w:val="uk-UA"/>
              </w:rPr>
              <w:t xml:space="preserve"> згідно з </w:t>
            </w:r>
            <w:r w:rsidR="008A6446" w:rsidRPr="0024327D">
              <w:rPr>
                <w:lang w:val="uk-UA"/>
              </w:rPr>
              <w:t xml:space="preserve">Регламентом </w:t>
            </w:r>
            <w:r w:rsidR="001D61B8" w:rsidRPr="0024327D">
              <w:rPr>
                <w:lang w:val="uk-UA"/>
              </w:rPr>
              <w:t>STS</w:t>
            </w:r>
            <w:r w:rsidR="00577F88" w:rsidRPr="0024327D">
              <w:rPr>
                <w:rStyle w:val="af2"/>
                <w:lang w:val="uk-UA"/>
              </w:rPr>
              <w:footnoteReference w:id="6"/>
            </w:r>
            <w:r w:rsidR="009B311A" w:rsidRPr="0024327D">
              <w:rPr>
                <w:lang w:val="uk-UA"/>
              </w:rPr>
              <w:t xml:space="preserve"> </w:t>
            </w:r>
          </w:p>
        </w:tc>
      </w:tr>
      <w:tr w:rsidR="00875146" w:rsidRPr="0024327D" w14:paraId="397F8969" w14:textId="77777777" w:rsidTr="002B681C">
        <w:tc>
          <w:tcPr>
            <w:tcW w:w="0" w:type="auto"/>
          </w:tcPr>
          <w:p w14:paraId="5A8423AA" w14:textId="60D8DEDF" w:rsidR="009B311A" w:rsidRPr="0024327D" w:rsidRDefault="007F2C45" w:rsidP="00501D25">
            <w:pPr>
              <w:rPr>
                <w:b/>
                <w:lang w:val="uk-UA"/>
              </w:rPr>
            </w:pPr>
            <w:r w:rsidRPr="0024327D">
              <w:rPr>
                <w:b/>
                <w:lang w:val="uk-UA"/>
              </w:rPr>
              <w:t>Національне законодавство</w:t>
            </w:r>
          </w:p>
        </w:tc>
        <w:tc>
          <w:tcPr>
            <w:tcW w:w="0" w:type="auto"/>
          </w:tcPr>
          <w:p w14:paraId="1A59208E" w14:textId="282555E5" w:rsidR="009B311A" w:rsidRPr="0024327D" w:rsidRDefault="007F2C45" w:rsidP="00501D25">
            <w:pPr>
              <w:rPr>
                <w:lang w:val="uk-UA"/>
              </w:rPr>
            </w:pPr>
            <w:r w:rsidRPr="0024327D">
              <w:rPr>
                <w:lang w:val="uk-UA"/>
              </w:rPr>
              <w:t>Зазвичай включає:</w:t>
            </w:r>
          </w:p>
          <w:p w14:paraId="68429B5C" w14:textId="66D3A42F" w:rsidR="009B311A" w:rsidRPr="0024327D" w:rsidRDefault="007F2C45" w:rsidP="00501D25">
            <w:pPr>
              <w:pStyle w:val="a4"/>
              <w:numPr>
                <w:ilvl w:val="0"/>
                <w:numId w:val="2"/>
              </w:numPr>
              <w:rPr>
                <w:lang w:val="uk-UA"/>
              </w:rPr>
            </w:pPr>
            <w:r w:rsidRPr="0024327D">
              <w:rPr>
                <w:lang w:val="uk-UA"/>
              </w:rPr>
              <w:t>закон</w:t>
            </w:r>
            <w:r w:rsidR="009B311A" w:rsidRPr="0024327D">
              <w:rPr>
                <w:lang w:val="uk-UA"/>
              </w:rPr>
              <w:t xml:space="preserve"> </w:t>
            </w:r>
            <w:r w:rsidRPr="0024327D">
              <w:rPr>
                <w:lang w:val="uk-UA"/>
              </w:rPr>
              <w:t>про облігації</w:t>
            </w:r>
            <w:r w:rsidR="0061058B" w:rsidRPr="0024327D">
              <w:rPr>
                <w:lang w:val="uk-UA"/>
              </w:rPr>
              <w:t xml:space="preserve"> з покриттям</w:t>
            </w:r>
            <w:r w:rsidR="00583A2D" w:rsidRPr="0024327D">
              <w:rPr>
                <w:lang w:val="uk-UA"/>
              </w:rPr>
              <w:t>;</w:t>
            </w:r>
          </w:p>
          <w:p w14:paraId="5E4F05F7" w14:textId="659AC909" w:rsidR="009B311A" w:rsidRPr="0024327D" w:rsidRDefault="0061058B" w:rsidP="00501D25">
            <w:pPr>
              <w:pStyle w:val="a4"/>
              <w:numPr>
                <w:ilvl w:val="0"/>
                <w:numId w:val="2"/>
              </w:numPr>
              <w:rPr>
                <w:lang w:val="uk-UA"/>
              </w:rPr>
            </w:pPr>
            <w:r w:rsidRPr="0024327D">
              <w:rPr>
                <w:lang w:val="uk-UA"/>
              </w:rPr>
              <w:t xml:space="preserve">підзаконні нормативно-правові </w:t>
            </w:r>
            <w:r w:rsidR="007F2C45" w:rsidRPr="0024327D">
              <w:rPr>
                <w:lang w:val="uk-UA"/>
              </w:rPr>
              <w:t xml:space="preserve">акти, видані </w:t>
            </w:r>
            <w:r w:rsidR="0036321A" w:rsidRPr="0024327D">
              <w:rPr>
                <w:lang w:val="uk-UA"/>
              </w:rPr>
              <w:t>відповідним</w:t>
            </w:r>
            <w:r w:rsidR="008763AB" w:rsidRPr="0024327D">
              <w:rPr>
                <w:lang w:val="uk-UA"/>
              </w:rPr>
              <w:t>и</w:t>
            </w:r>
            <w:r w:rsidR="00644158" w:rsidRPr="0024327D">
              <w:rPr>
                <w:lang w:val="uk-UA"/>
              </w:rPr>
              <w:t xml:space="preserve"> </w:t>
            </w:r>
            <w:r w:rsidR="007F2C45" w:rsidRPr="0024327D">
              <w:rPr>
                <w:lang w:val="uk-UA"/>
              </w:rPr>
              <w:t>орган</w:t>
            </w:r>
            <w:r w:rsidR="008763AB" w:rsidRPr="0024327D">
              <w:rPr>
                <w:lang w:val="uk-UA"/>
              </w:rPr>
              <w:t>ами</w:t>
            </w:r>
            <w:r w:rsidR="007F2C45" w:rsidRPr="0024327D">
              <w:rPr>
                <w:lang w:val="uk-UA"/>
              </w:rPr>
              <w:t xml:space="preserve"> нагляду</w:t>
            </w:r>
            <w:r w:rsidR="00916F57" w:rsidRPr="0024327D">
              <w:rPr>
                <w:lang w:val="uk-UA"/>
              </w:rPr>
              <w:t>;</w:t>
            </w:r>
          </w:p>
          <w:p w14:paraId="18A4C400" w14:textId="29BAAFF5" w:rsidR="009B311A" w:rsidRPr="0024327D" w:rsidRDefault="007F2C45" w:rsidP="00501D25">
            <w:pPr>
              <w:pStyle w:val="a4"/>
              <w:numPr>
                <w:ilvl w:val="0"/>
                <w:numId w:val="2"/>
              </w:numPr>
              <w:rPr>
                <w:lang w:val="uk-UA"/>
              </w:rPr>
            </w:pPr>
            <w:r w:rsidRPr="0024327D">
              <w:rPr>
                <w:lang w:val="uk-UA"/>
              </w:rPr>
              <w:t xml:space="preserve">зміни та доповнення до </w:t>
            </w:r>
            <w:r w:rsidR="00E4247A" w:rsidRPr="0024327D">
              <w:rPr>
                <w:lang w:val="uk-UA"/>
              </w:rPr>
              <w:t xml:space="preserve">інших </w:t>
            </w:r>
            <w:r w:rsidR="00875146" w:rsidRPr="0024327D">
              <w:rPr>
                <w:lang w:val="uk-UA"/>
              </w:rPr>
              <w:t>актів зак</w:t>
            </w:r>
            <w:r w:rsidR="001B72CD" w:rsidRPr="0024327D">
              <w:rPr>
                <w:lang w:val="uk-UA"/>
              </w:rPr>
              <w:t>о</w:t>
            </w:r>
            <w:r w:rsidR="00875146" w:rsidRPr="0024327D">
              <w:rPr>
                <w:lang w:val="uk-UA"/>
              </w:rPr>
              <w:t>нодавства</w:t>
            </w:r>
            <w:r w:rsidR="00916F57" w:rsidRPr="0024327D">
              <w:rPr>
                <w:lang w:val="uk-UA"/>
              </w:rPr>
              <w:t>;</w:t>
            </w:r>
          </w:p>
          <w:p w14:paraId="040003BA" w14:textId="7F1B69B9" w:rsidR="009B311A" w:rsidRPr="0024327D" w:rsidRDefault="00D84275" w:rsidP="00916F57">
            <w:pPr>
              <w:pStyle w:val="a4"/>
              <w:numPr>
                <w:ilvl w:val="0"/>
                <w:numId w:val="2"/>
              </w:numPr>
              <w:rPr>
                <w:lang w:val="uk-UA"/>
              </w:rPr>
            </w:pPr>
            <w:r w:rsidRPr="0024327D">
              <w:rPr>
                <w:lang w:val="uk-UA"/>
              </w:rPr>
              <w:t>п</w:t>
            </w:r>
            <w:r w:rsidR="007F2C45" w:rsidRPr="0024327D">
              <w:rPr>
                <w:lang w:val="uk-UA"/>
              </w:rPr>
              <w:t xml:space="preserve">равила </w:t>
            </w:r>
            <w:r w:rsidR="00BA6473" w:rsidRPr="0024327D">
              <w:rPr>
                <w:lang w:val="uk-UA"/>
              </w:rPr>
              <w:t xml:space="preserve">щодо </w:t>
            </w:r>
            <w:r w:rsidR="00E937CE" w:rsidRPr="0024327D">
              <w:rPr>
                <w:lang w:val="uk-UA"/>
              </w:rPr>
              <w:t>захисту</w:t>
            </w:r>
            <w:r w:rsidR="00BA6473" w:rsidRPr="0024327D">
              <w:rPr>
                <w:lang w:val="uk-UA"/>
              </w:rPr>
              <w:t xml:space="preserve"> </w:t>
            </w:r>
            <w:r w:rsidR="006071DF" w:rsidRPr="0024327D">
              <w:rPr>
                <w:lang w:val="uk-UA"/>
              </w:rPr>
              <w:t>інвестор</w:t>
            </w:r>
            <w:r w:rsidR="00BA6473" w:rsidRPr="0024327D">
              <w:rPr>
                <w:lang w:val="uk-UA"/>
              </w:rPr>
              <w:t xml:space="preserve">ів </w:t>
            </w:r>
            <w:r w:rsidRPr="0024327D">
              <w:rPr>
                <w:lang w:val="uk-UA"/>
              </w:rPr>
              <w:t>у</w:t>
            </w:r>
            <w:r w:rsidR="00BA6473" w:rsidRPr="0024327D">
              <w:rPr>
                <w:lang w:val="uk-UA"/>
              </w:rPr>
              <w:t xml:space="preserve"> цінні папери</w:t>
            </w:r>
            <w:r w:rsidR="007F2C45" w:rsidRPr="0024327D">
              <w:rPr>
                <w:lang w:val="uk-UA"/>
              </w:rPr>
              <w:t xml:space="preserve">, </w:t>
            </w:r>
            <w:r w:rsidR="006071DF" w:rsidRPr="0024327D">
              <w:rPr>
                <w:lang w:val="uk-UA"/>
              </w:rPr>
              <w:t xml:space="preserve">що зазвичай </w:t>
            </w:r>
            <w:r w:rsidR="00E937CE" w:rsidRPr="0024327D">
              <w:rPr>
                <w:lang w:val="uk-UA"/>
              </w:rPr>
              <w:t xml:space="preserve">відповідають нормам </w:t>
            </w:r>
            <w:r w:rsidR="006071DF" w:rsidRPr="0024327D">
              <w:rPr>
                <w:lang w:val="uk-UA"/>
              </w:rPr>
              <w:t>Директив ЄС</w:t>
            </w:r>
            <w:r w:rsidR="00DB397D" w:rsidRPr="0024327D">
              <w:rPr>
                <w:lang w:val="uk-UA"/>
              </w:rPr>
              <w:t>.</w:t>
            </w:r>
            <w:r w:rsidR="009B311A" w:rsidRPr="0024327D">
              <w:rPr>
                <w:lang w:val="uk-UA"/>
              </w:rPr>
              <w:t xml:space="preserve"> </w:t>
            </w:r>
          </w:p>
        </w:tc>
        <w:tc>
          <w:tcPr>
            <w:tcW w:w="0" w:type="auto"/>
          </w:tcPr>
          <w:p w14:paraId="0F9BB43D" w14:textId="7408139D" w:rsidR="009B311A" w:rsidRPr="0024327D" w:rsidRDefault="00FE241F" w:rsidP="00501D25">
            <w:pPr>
              <w:rPr>
                <w:lang w:val="uk-UA"/>
              </w:rPr>
            </w:pPr>
            <w:r w:rsidRPr="0024327D">
              <w:rPr>
                <w:lang w:val="uk-UA"/>
              </w:rPr>
              <w:t>Особливості законодавства залежать від конкретної юрисдикції</w:t>
            </w:r>
            <w:r w:rsidR="009B311A" w:rsidRPr="0024327D">
              <w:rPr>
                <w:lang w:val="uk-UA"/>
              </w:rPr>
              <w:t>.</w:t>
            </w:r>
          </w:p>
          <w:p w14:paraId="635E4E71" w14:textId="59B3E3CE" w:rsidR="009B311A" w:rsidRPr="0024327D" w:rsidRDefault="004D4883" w:rsidP="00501D25">
            <w:pPr>
              <w:rPr>
                <w:lang w:val="uk-UA"/>
              </w:rPr>
            </w:pPr>
            <w:r w:rsidRPr="0024327D">
              <w:rPr>
                <w:lang w:val="uk-UA"/>
              </w:rPr>
              <w:t xml:space="preserve">В одних країнах це Закон </w:t>
            </w:r>
            <w:r w:rsidR="007718F6" w:rsidRPr="0024327D">
              <w:rPr>
                <w:lang w:val="uk-UA"/>
              </w:rPr>
              <w:t>“</w:t>
            </w:r>
            <w:r w:rsidRPr="0024327D">
              <w:rPr>
                <w:lang w:val="uk-UA"/>
              </w:rPr>
              <w:t>Про сек’юритизацію</w:t>
            </w:r>
            <w:r w:rsidR="007718F6" w:rsidRPr="0024327D">
              <w:rPr>
                <w:lang w:val="uk-UA"/>
              </w:rPr>
              <w:t>”</w:t>
            </w:r>
            <w:r w:rsidRPr="0024327D">
              <w:rPr>
                <w:lang w:val="uk-UA"/>
              </w:rPr>
              <w:t xml:space="preserve">, в інших – </w:t>
            </w:r>
            <w:r w:rsidR="00E937CE" w:rsidRPr="0024327D">
              <w:rPr>
                <w:lang w:val="uk-UA"/>
              </w:rPr>
              <w:t xml:space="preserve">окремі особливості в </w:t>
            </w:r>
            <w:r w:rsidR="004A7156" w:rsidRPr="0024327D">
              <w:rPr>
                <w:lang w:val="uk-UA"/>
              </w:rPr>
              <w:t>законодавстві</w:t>
            </w:r>
            <w:r w:rsidRPr="0024327D">
              <w:rPr>
                <w:lang w:val="uk-UA"/>
              </w:rPr>
              <w:t xml:space="preserve">, призначені полегшити сек’юритизацію </w:t>
            </w:r>
            <w:r w:rsidR="009B311A" w:rsidRPr="0024327D">
              <w:rPr>
                <w:lang w:val="uk-UA"/>
              </w:rPr>
              <w:t>(</w:t>
            </w:r>
            <w:r w:rsidRPr="0024327D">
              <w:rPr>
                <w:lang w:val="uk-UA"/>
              </w:rPr>
              <w:t xml:space="preserve">наприклад, </w:t>
            </w:r>
            <w:r w:rsidR="004A7156" w:rsidRPr="0024327D">
              <w:rPr>
                <w:lang w:val="uk-UA"/>
              </w:rPr>
              <w:t xml:space="preserve">особливі положення </w:t>
            </w:r>
            <w:r w:rsidRPr="0024327D">
              <w:rPr>
                <w:lang w:val="uk-UA"/>
              </w:rPr>
              <w:t>податкового кодексу</w:t>
            </w:r>
            <w:r w:rsidR="00CF2F7F" w:rsidRPr="0024327D">
              <w:rPr>
                <w:lang w:val="uk-UA"/>
              </w:rPr>
              <w:t xml:space="preserve">), </w:t>
            </w:r>
            <w:r w:rsidRPr="0024327D">
              <w:rPr>
                <w:lang w:val="uk-UA"/>
              </w:rPr>
              <w:t>а в деяких країнах</w:t>
            </w:r>
            <w:r w:rsidR="002E54D2" w:rsidRPr="0024327D">
              <w:rPr>
                <w:lang w:val="uk-UA"/>
              </w:rPr>
              <w:t xml:space="preserve"> необхідність у</w:t>
            </w:r>
            <w:r w:rsidRPr="0024327D">
              <w:rPr>
                <w:lang w:val="uk-UA"/>
              </w:rPr>
              <w:t xml:space="preserve"> </w:t>
            </w:r>
            <w:r w:rsidR="002E54D2" w:rsidRPr="0024327D">
              <w:rPr>
                <w:lang w:val="uk-UA"/>
              </w:rPr>
              <w:t xml:space="preserve">суттєвих особливих положеннях </w:t>
            </w:r>
            <w:r w:rsidR="005F0018" w:rsidRPr="0024327D">
              <w:rPr>
                <w:lang w:val="uk-UA"/>
              </w:rPr>
              <w:t>у</w:t>
            </w:r>
            <w:r w:rsidR="002E54D2" w:rsidRPr="0024327D">
              <w:rPr>
                <w:lang w:val="uk-UA"/>
              </w:rPr>
              <w:t xml:space="preserve"> законодавстві відсутня.</w:t>
            </w:r>
            <w:r w:rsidR="009B311A" w:rsidRPr="0024327D">
              <w:rPr>
                <w:lang w:val="uk-UA"/>
              </w:rPr>
              <w:t xml:space="preserve"> </w:t>
            </w:r>
          </w:p>
          <w:p w14:paraId="33F42D6D" w14:textId="77A8AC29" w:rsidR="009B311A" w:rsidRPr="0024327D" w:rsidRDefault="00E766FC" w:rsidP="00501D25">
            <w:pPr>
              <w:rPr>
                <w:lang w:val="uk-UA"/>
              </w:rPr>
            </w:pPr>
            <w:r w:rsidRPr="0024327D">
              <w:rPr>
                <w:lang w:val="uk-UA"/>
              </w:rPr>
              <w:lastRenderedPageBreak/>
              <w:t>Законодавство у сфері договірних зобов’язань</w:t>
            </w:r>
            <w:r w:rsidR="004D4883" w:rsidRPr="0024327D">
              <w:rPr>
                <w:lang w:val="uk-UA"/>
              </w:rPr>
              <w:t xml:space="preserve"> зазвичай є </w:t>
            </w:r>
            <w:r w:rsidRPr="0024327D">
              <w:rPr>
                <w:lang w:val="uk-UA"/>
              </w:rPr>
              <w:t>основою</w:t>
            </w:r>
            <w:r w:rsidR="004D4883" w:rsidRPr="0024327D">
              <w:rPr>
                <w:lang w:val="uk-UA"/>
              </w:rPr>
              <w:t xml:space="preserve"> для структурування</w:t>
            </w:r>
            <w:r w:rsidR="00916F57" w:rsidRPr="0024327D">
              <w:rPr>
                <w:lang w:val="uk-UA"/>
              </w:rPr>
              <w:t>.</w:t>
            </w:r>
          </w:p>
        </w:tc>
      </w:tr>
      <w:tr w:rsidR="00875146" w:rsidRPr="0024327D" w14:paraId="73B42E36" w14:textId="77777777" w:rsidTr="002B681C">
        <w:tc>
          <w:tcPr>
            <w:tcW w:w="0" w:type="auto"/>
          </w:tcPr>
          <w:p w14:paraId="6CC760AD" w14:textId="43B2042D" w:rsidR="009552E5" w:rsidRPr="0024327D" w:rsidRDefault="00881C25" w:rsidP="00CF2F7F">
            <w:pPr>
              <w:rPr>
                <w:b/>
                <w:lang w:val="uk-UA"/>
              </w:rPr>
            </w:pPr>
            <w:r w:rsidRPr="0024327D">
              <w:rPr>
                <w:b/>
                <w:lang w:val="uk-UA"/>
              </w:rPr>
              <w:lastRenderedPageBreak/>
              <w:t>Законодавство ЄС</w:t>
            </w:r>
          </w:p>
        </w:tc>
        <w:tc>
          <w:tcPr>
            <w:tcW w:w="0" w:type="auto"/>
          </w:tcPr>
          <w:p w14:paraId="37D4BD64" w14:textId="65372A94" w:rsidR="009B311A" w:rsidRPr="0024327D" w:rsidRDefault="00A04589" w:rsidP="00501D25">
            <w:pPr>
              <w:rPr>
                <w:lang w:val="uk-UA"/>
              </w:rPr>
            </w:pPr>
            <w:r w:rsidRPr="0024327D">
              <w:rPr>
                <w:lang w:val="uk-UA"/>
              </w:rPr>
              <w:t xml:space="preserve">Виняток </w:t>
            </w:r>
            <w:r w:rsidR="00E146E2" w:rsidRPr="0024327D">
              <w:rPr>
                <w:lang w:val="uk-UA"/>
              </w:rPr>
              <w:t xml:space="preserve">з застосування </w:t>
            </w:r>
            <w:r w:rsidR="003169E5" w:rsidRPr="0024327D">
              <w:rPr>
                <w:lang w:val="uk-UA"/>
              </w:rPr>
              <w:t xml:space="preserve">норм про </w:t>
            </w:r>
            <w:r w:rsidR="00E146E2" w:rsidRPr="0024327D">
              <w:rPr>
                <w:lang w:val="uk-UA"/>
              </w:rPr>
              <w:t xml:space="preserve">примусову </w:t>
            </w:r>
            <w:r w:rsidR="00CA2BFB" w:rsidRPr="0024327D">
              <w:rPr>
                <w:lang w:val="uk-UA"/>
              </w:rPr>
              <w:t xml:space="preserve">конвертацію </w:t>
            </w:r>
            <w:r w:rsidR="00E146E2" w:rsidRPr="0024327D">
              <w:rPr>
                <w:lang w:val="uk-UA"/>
              </w:rPr>
              <w:t>прав вимоги у капітал у випадку неплатоспроможності банку (bail-in)</w:t>
            </w:r>
            <w:r w:rsidR="003169E5" w:rsidRPr="0024327D">
              <w:rPr>
                <w:lang w:val="uk-UA"/>
              </w:rPr>
              <w:t>, передбачених</w:t>
            </w:r>
            <w:r w:rsidR="00373F95" w:rsidRPr="0024327D">
              <w:rPr>
                <w:lang w:val="uk-UA"/>
              </w:rPr>
              <w:t xml:space="preserve"> </w:t>
            </w:r>
            <w:r w:rsidR="00881C25" w:rsidRPr="0024327D">
              <w:rPr>
                <w:lang w:val="uk-UA"/>
              </w:rPr>
              <w:t>Директив</w:t>
            </w:r>
            <w:r w:rsidR="003169E5" w:rsidRPr="0024327D">
              <w:rPr>
                <w:lang w:val="uk-UA"/>
              </w:rPr>
              <w:t>ою</w:t>
            </w:r>
            <w:r w:rsidR="00881C25" w:rsidRPr="0024327D">
              <w:rPr>
                <w:lang w:val="uk-UA"/>
              </w:rPr>
              <w:t xml:space="preserve"> про санацію та ліквідацію банків</w:t>
            </w:r>
            <w:r w:rsidR="00AD1A46" w:rsidRPr="0024327D">
              <w:rPr>
                <w:lang w:val="uk-UA"/>
              </w:rPr>
              <w:t>.</w:t>
            </w:r>
            <w:r w:rsidR="00F810A1" w:rsidRPr="0024327D">
              <w:rPr>
                <w:rStyle w:val="af2"/>
                <w:lang w:val="uk-UA"/>
              </w:rPr>
              <w:footnoteReference w:id="7"/>
            </w:r>
          </w:p>
          <w:p w14:paraId="77727892" w14:textId="10695A51" w:rsidR="009B311A" w:rsidRPr="0024327D" w:rsidRDefault="00881C25" w:rsidP="00501D25">
            <w:pPr>
              <w:rPr>
                <w:lang w:val="uk-UA"/>
              </w:rPr>
            </w:pPr>
            <w:r w:rsidRPr="0024327D">
              <w:rPr>
                <w:lang w:val="uk-UA"/>
              </w:rPr>
              <w:t>Сприятлив</w:t>
            </w:r>
            <w:r w:rsidR="00801FAF" w:rsidRPr="0024327D">
              <w:rPr>
                <w:lang w:val="uk-UA"/>
              </w:rPr>
              <w:t xml:space="preserve">ий для інвесторів </w:t>
            </w:r>
            <w:r w:rsidR="005017D8" w:rsidRPr="0024327D">
              <w:rPr>
                <w:lang w:val="uk-UA"/>
              </w:rPr>
              <w:t>у</w:t>
            </w:r>
            <w:r w:rsidR="00700651" w:rsidRPr="0024327D">
              <w:rPr>
                <w:lang w:val="uk-UA"/>
              </w:rPr>
              <w:t xml:space="preserve"> цінні папери </w:t>
            </w:r>
            <w:r w:rsidR="00801FAF" w:rsidRPr="0024327D">
              <w:rPr>
                <w:lang w:val="uk-UA"/>
              </w:rPr>
              <w:t xml:space="preserve">режим </w:t>
            </w:r>
            <w:r w:rsidRPr="0024327D">
              <w:rPr>
                <w:lang w:val="uk-UA"/>
              </w:rPr>
              <w:t xml:space="preserve">відповідно до Директиви щодо облігацій </w:t>
            </w:r>
            <w:r w:rsidR="00D03534" w:rsidRPr="0024327D">
              <w:rPr>
                <w:lang w:val="uk-UA"/>
              </w:rPr>
              <w:t xml:space="preserve">з покриттям </w:t>
            </w:r>
            <w:r w:rsidRPr="0024327D">
              <w:rPr>
                <w:lang w:val="uk-UA"/>
              </w:rPr>
              <w:t>та інших директив та регламентів</w:t>
            </w:r>
            <w:r w:rsidR="009B311A" w:rsidRPr="0024327D">
              <w:rPr>
                <w:lang w:val="uk-UA"/>
              </w:rPr>
              <w:t>.</w:t>
            </w:r>
          </w:p>
          <w:p w14:paraId="7D8871AC" w14:textId="34BA9424" w:rsidR="009B311A" w:rsidRPr="0024327D" w:rsidRDefault="00881C25" w:rsidP="007C4934">
            <w:pPr>
              <w:rPr>
                <w:lang w:val="uk-UA"/>
              </w:rPr>
            </w:pPr>
            <w:r w:rsidRPr="0024327D">
              <w:rPr>
                <w:lang w:val="uk-UA"/>
              </w:rPr>
              <w:t xml:space="preserve">Очікується, що </w:t>
            </w:r>
            <w:r w:rsidR="00801FAF" w:rsidRPr="0024327D">
              <w:rPr>
                <w:lang w:val="uk-UA"/>
              </w:rPr>
              <w:t xml:space="preserve">у найближчому майбутньому законодавство країн, що не є членами ЄС, що стосується облігацій </w:t>
            </w:r>
            <w:r w:rsidR="007C4934" w:rsidRPr="0024327D">
              <w:rPr>
                <w:lang w:val="uk-UA"/>
              </w:rPr>
              <w:t xml:space="preserve"> з покриттям </w:t>
            </w:r>
            <w:r w:rsidR="00801FAF" w:rsidRPr="0024327D">
              <w:rPr>
                <w:lang w:val="uk-UA"/>
              </w:rPr>
              <w:t xml:space="preserve">і відповідає стандартам ЄС, отримає статус </w:t>
            </w:r>
            <w:r w:rsidR="00A16F44" w:rsidRPr="0024327D">
              <w:rPr>
                <w:lang w:val="uk-UA"/>
              </w:rPr>
              <w:t>“</w:t>
            </w:r>
            <w:r w:rsidR="00801FAF" w:rsidRPr="0024327D">
              <w:rPr>
                <w:lang w:val="uk-UA"/>
              </w:rPr>
              <w:t>еквівалентного</w:t>
            </w:r>
            <w:r w:rsidR="004B217F" w:rsidRPr="0024327D">
              <w:rPr>
                <w:lang w:val="uk-UA"/>
              </w:rPr>
              <w:t>”</w:t>
            </w:r>
            <w:r w:rsidR="00801FAF" w:rsidRPr="0024327D">
              <w:rPr>
                <w:lang w:val="uk-UA"/>
              </w:rPr>
              <w:t xml:space="preserve"> </w:t>
            </w:r>
            <w:r w:rsidR="00A120D7" w:rsidRPr="0024327D">
              <w:rPr>
                <w:lang w:val="uk-UA"/>
              </w:rPr>
              <w:t xml:space="preserve">для </w:t>
            </w:r>
            <w:r w:rsidR="00801FAF" w:rsidRPr="0024327D">
              <w:rPr>
                <w:lang w:val="uk-UA"/>
              </w:rPr>
              <w:t>інвесторів з ЄС</w:t>
            </w:r>
            <w:r w:rsidR="009B311A" w:rsidRPr="0024327D">
              <w:rPr>
                <w:lang w:val="uk-UA"/>
              </w:rPr>
              <w:t>.</w:t>
            </w:r>
          </w:p>
        </w:tc>
        <w:tc>
          <w:tcPr>
            <w:tcW w:w="0" w:type="auto"/>
          </w:tcPr>
          <w:p w14:paraId="767DBE67" w14:textId="74D20430" w:rsidR="009B311A" w:rsidRPr="0024327D" w:rsidRDefault="00A04589" w:rsidP="00501D25">
            <w:pPr>
              <w:rPr>
                <w:lang w:val="uk-UA"/>
              </w:rPr>
            </w:pPr>
            <w:r w:rsidRPr="0024327D">
              <w:rPr>
                <w:lang w:val="uk-UA"/>
              </w:rPr>
              <w:t xml:space="preserve">Виняток </w:t>
            </w:r>
            <w:r w:rsidR="00D03534" w:rsidRPr="0024327D">
              <w:rPr>
                <w:lang w:val="uk-UA"/>
              </w:rPr>
              <w:t>з застосування норм про примусову конвертацію прав вимоги у капітал у випадку неплатоспроможності банку (bail-in)</w:t>
            </w:r>
            <w:r w:rsidR="00947D9E" w:rsidRPr="0024327D">
              <w:rPr>
                <w:lang w:val="uk-UA"/>
              </w:rPr>
              <w:t>, передбачених</w:t>
            </w:r>
            <w:r w:rsidR="00373F95" w:rsidRPr="0024327D">
              <w:rPr>
                <w:lang w:val="uk-UA"/>
              </w:rPr>
              <w:t xml:space="preserve"> </w:t>
            </w:r>
            <w:r w:rsidR="00881C25" w:rsidRPr="0024327D">
              <w:rPr>
                <w:lang w:val="uk-UA"/>
              </w:rPr>
              <w:t>Директив</w:t>
            </w:r>
            <w:r w:rsidR="00947D9E" w:rsidRPr="0024327D">
              <w:rPr>
                <w:lang w:val="uk-UA"/>
              </w:rPr>
              <w:t>ою</w:t>
            </w:r>
            <w:r w:rsidR="00881C25" w:rsidRPr="0024327D">
              <w:rPr>
                <w:lang w:val="uk-UA"/>
              </w:rPr>
              <w:t xml:space="preserve"> про санацію та ліквідацію банків</w:t>
            </w:r>
            <w:r w:rsidR="00916F57" w:rsidRPr="0024327D">
              <w:rPr>
                <w:lang w:val="uk-UA"/>
              </w:rPr>
              <w:t>.</w:t>
            </w:r>
            <w:r w:rsidR="00DC425A" w:rsidRPr="0024327D">
              <w:rPr>
                <w:rStyle w:val="af2"/>
                <w:lang w:val="uk-UA"/>
              </w:rPr>
              <w:footnoteReference w:id="8"/>
            </w:r>
          </w:p>
          <w:p w14:paraId="50FE7D6A" w14:textId="37F7A0D8" w:rsidR="009B311A" w:rsidRPr="0024327D" w:rsidRDefault="00801FAF" w:rsidP="00501D25">
            <w:pPr>
              <w:rPr>
                <w:lang w:val="uk-UA"/>
              </w:rPr>
            </w:pPr>
            <w:r w:rsidRPr="0024327D">
              <w:rPr>
                <w:lang w:val="uk-UA"/>
              </w:rPr>
              <w:t xml:space="preserve">Менш сприятливий для інвесторів </w:t>
            </w:r>
            <w:r w:rsidR="00A04589" w:rsidRPr="0024327D">
              <w:rPr>
                <w:lang w:val="uk-UA"/>
              </w:rPr>
              <w:t>у</w:t>
            </w:r>
            <w:r w:rsidR="00947D9E" w:rsidRPr="0024327D">
              <w:rPr>
                <w:lang w:val="uk-UA"/>
              </w:rPr>
              <w:t xml:space="preserve"> цінні папери </w:t>
            </w:r>
            <w:r w:rsidRPr="0024327D">
              <w:rPr>
                <w:lang w:val="uk-UA"/>
              </w:rPr>
              <w:t>режим відповідно до директив</w:t>
            </w:r>
            <w:r w:rsidR="00916F57" w:rsidRPr="0024327D">
              <w:rPr>
                <w:lang w:val="uk-UA"/>
              </w:rPr>
              <w:t>.</w:t>
            </w:r>
          </w:p>
          <w:p w14:paraId="4E1E190F" w14:textId="59083B5C" w:rsidR="009B311A" w:rsidRPr="0024327D" w:rsidRDefault="00801FAF" w:rsidP="00910E8A">
            <w:pPr>
              <w:rPr>
                <w:lang w:val="uk-UA"/>
              </w:rPr>
            </w:pPr>
            <w:r w:rsidRPr="0024327D">
              <w:rPr>
                <w:lang w:val="uk-UA"/>
              </w:rPr>
              <w:t xml:space="preserve">Регламент </w:t>
            </w:r>
            <w:r w:rsidR="00A231F8" w:rsidRPr="0024327D">
              <w:rPr>
                <w:lang w:val="uk-UA"/>
              </w:rPr>
              <w:t xml:space="preserve">STS </w:t>
            </w:r>
            <w:r w:rsidRPr="0024327D">
              <w:rPr>
                <w:lang w:val="uk-UA"/>
              </w:rPr>
              <w:t xml:space="preserve">стосовно </w:t>
            </w:r>
            <w:r w:rsidR="00A16F44" w:rsidRPr="0024327D">
              <w:rPr>
                <w:lang w:val="uk-UA"/>
              </w:rPr>
              <w:t>“</w:t>
            </w:r>
            <w:r w:rsidRPr="0024327D">
              <w:rPr>
                <w:lang w:val="uk-UA"/>
              </w:rPr>
              <w:t>простих, прозорих та стандартизованих сек’юритизацій</w:t>
            </w:r>
            <w:r w:rsidR="00A16F44" w:rsidRPr="0024327D">
              <w:rPr>
                <w:lang w:val="uk-UA"/>
              </w:rPr>
              <w:t>”</w:t>
            </w:r>
            <w:r w:rsidR="009B311A" w:rsidRPr="0024327D">
              <w:rPr>
                <w:lang w:val="uk-UA"/>
              </w:rPr>
              <w:t xml:space="preserve"> </w:t>
            </w:r>
            <w:r w:rsidRPr="0024327D">
              <w:rPr>
                <w:lang w:val="uk-UA"/>
              </w:rPr>
              <w:t xml:space="preserve">прийнято </w:t>
            </w:r>
            <w:r w:rsidR="00F30CB1" w:rsidRPr="0024327D">
              <w:rPr>
                <w:lang w:val="uk-UA"/>
              </w:rPr>
              <w:t xml:space="preserve">як частину законодавства ЄС </w:t>
            </w:r>
            <w:r w:rsidRPr="0024327D">
              <w:rPr>
                <w:lang w:val="uk-UA"/>
              </w:rPr>
              <w:t>у січні 2018 року</w:t>
            </w:r>
            <w:r w:rsidR="009B311A" w:rsidRPr="0024327D">
              <w:rPr>
                <w:lang w:val="uk-UA"/>
              </w:rPr>
              <w:t>.</w:t>
            </w:r>
          </w:p>
        </w:tc>
      </w:tr>
      <w:tr w:rsidR="00875146" w:rsidRPr="0024327D" w14:paraId="45E3AD90" w14:textId="77777777" w:rsidTr="002B681C">
        <w:tc>
          <w:tcPr>
            <w:tcW w:w="0" w:type="auto"/>
          </w:tcPr>
          <w:p w14:paraId="625DBEAF" w14:textId="1BEB3007" w:rsidR="009B311A" w:rsidRPr="0024327D" w:rsidRDefault="00433EAD" w:rsidP="00501D25">
            <w:pPr>
              <w:rPr>
                <w:b/>
                <w:lang w:val="uk-UA"/>
              </w:rPr>
            </w:pPr>
            <w:r w:rsidRPr="0024327D">
              <w:rPr>
                <w:b/>
                <w:lang w:val="uk-UA"/>
              </w:rPr>
              <w:t xml:space="preserve">Режим </w:t>
            </w:r>
            <w:r w:rsidR="00CE266E" w:rsidRPr="0024327D">
              <w:rPr>
                <w:b/>
                <w:lang w:val="uk-UA"/>
              </w:rPr>
              <w:t xml:space="preserve">для </w:t>
            </w:r>
            <w:r w:rsidRPr="0024327D">
              <w:rPr>
                <w:b/>
                <w:lang w:val="uk-UA"/>
              </w:rPr>
              <w:t>інвесторів</w:t>
            </w:r>
          </w:p>
        </w:tc>
        <w:tc>
          <w:tcPr>
            <w:tcW w:w="0" w:type="auto"/>
          </w:tcPr>
          <w:p w14:paraId="41691D29" w14:textId="2BC47D0D" w:rsidR="009B311A" w:rsidRPr="0024327D" w:rsidRDefault="00336D64" w:rsidP="00501D25">
            <w:pPr>
              <w:rPr>
                <w:lang w:val="uk-UA"/>
              </w:rPr>
            </w:pPr>
            <w:r w:rsidRPr="0024327D">
              <w:rPr>
                <w:lang w:val="uk-UA"/>
              </w:rPr>
              <w:t xml:space="preserve">Нижчий </w:t>
            </w:r>
            <w:r w:rsidR="00433EAD" w:rsidRPr="0024327D">
              <w:rPr>
                <w:lang w:val="uk-UA"/>
              </w:rPr>
              <w:t xml:space="preserve">коефіцієнт </w:t>
            </w:r>
            <w:r w:rsidRPr="0024327D">
              <w:rPr>
                <w:lang w:val="uk-UA"/>
              </w:rPr>
              <w:t xml:space="preserve">кредитного ризику </w:t>
            </w:r>
            <w:r w:rsidR="00433EAD" w:rsidRPr="0024327D">
              <w:rPr>
                <w:lang w:val="uk-UA"/>
              </w:rPr>
              <w:t>для банків-інвесторів відповідно до Директиви про вимоги до капіталу</w:t>
            </w:r>
            <w:r w:rsidRPr="0024327D">
              <w:rPr>
                <w:lang w:val="uk-UA"/>
              </w:rPr>
              <w:t xml:space="preserve"> IV</w:t>
            </w:r>
            <w:r w:rsidR="00AD1A46" w:rsidRPr="0024327D">
              <w:rPr>
                <w:lang w:val="uk-UA"/>
              </w:rPr>
              <w:t>.</w:t>
            </w:r>
          </w:p>
          <w:p w14:paraId="789082B6" w14:textId="1C08F204" w:rsidR="009B311A" w:rsidRPr="0024327D" w:rsidRDefault="00336D64" w:rsidP="00501D25">
            <w:pPr>
              <w:rPr>
                <w:lang w:val="uk-UA"/>
              </w:rPr>
            </w:pPr>
            <w:r w:rsidRPr="0024327D">
              <w:rPr>
                <w:lang w:val="uk-UA"/>
              </w:rPr>
              <w:t xml:space="preserve">Нижчий </w:t>
            </w:r>
            <w:r w:rsidR="00433EAD" w:rsidRPr="0024327D">
              <w:rPr>
                <w:lang w:val="uk-UA"/>
              </w:rPr>
              <w:t xml:space="preserve">коефіцієнт </w:t>
            </w:r>
            <w:r w:rsidRPr="0024327D">
              <w:rPr>
                <w:lang w:val="uk-UA"/>
              </w:rPr>
              <w:t xml:space="preserve">кредитного ризику </w:t>
            </w:r>
            <w:r w:rsidR="00433EAD" w:rsidRPr="0024327D">
              <w:rPr>
                <w:lang w:val="uk-UA"/>
              </w:rPr>
              <w:t>для інвесторів-страхових компаній, звільнення від необхідності дотримання деяких показників концентрації відповідно до Директиви про платоспроможність</w:t>
            </w:r>
            <w:r w:rsidR="007A3717" w:rsidRPr="0024327D">
              <w:rPr>
                <w:lang w:val="uk-UA"/>
              </w:rPr>
              <w:t xml:space="preserve"> II</w:t>
            </w:r>
            <w:r w:rsidR="001B1024" w:rsidRPr="0024327D">
              <w:rPr>
                <w:lang w:val="uk-UA"/>
              </w:rPr>
              <w:t>.</w:t>
            </w:r>
          </w:p>
          <w:p w14:paraId="5AF371A2" w14:textId="6D9268C9" w:rsidR="009B311A" w:rsidRPr="0024327D" w:rsidRDefault="00433EAD" w:rsidP="00501D25">
            <w:pPr>
              <w:rPr>
                <w:lang w:val="uk-UA"/>
              </w:rPr>
            </w:pPr>
            <w:r w:rsidRPr="0024327D">
              <w:rPr>
                <w:lang w:val="uk-UA"/>
              </w:rPr>
              <w:t xml:space="preserve">Звільнення від необхідності дотримання деяких показників концентрації для інвестиційних фондів відповідно до Директиви </w:t>
            </w:r>
            <w:r w:rsidR="009B311A" w:rsidRPr="0024327D">
              <w:rPr>
                <w:lang w:val="uk-UA"/>
              </w:rPr>
              <w:t>UCITS</w:t>
            </w:r>
            <w:r w:rsidR="00AD1A46" w:rsidRPr="0024327D">
              <w:rPr>
                <w:lang w:val="uk-UA"/>
              </w:rPr>
              <w:t>.</w:t>
            </w:r>
            <w:r w:rsidR="00005AFC" w:rsidRPr="0024327D">
              <w:rPr>
                <w:rStyle w:val="af2"/>
                <w:lang w:val="uk-UA"/>
              </w:rPr>
              <w:footnoteReference w:id="9"/>
            </w:r>
          </w:p>
          <w:p w14:paraId="485B34E2" w14:textId="0BA2D13F" w:rsidR="009B311A" w:rsidRPr="0024327D" w:rsidRDefault="00A0605F" w:rsidP="00501D25">
            <w:pPr>
              <w:rPr>
                <w:lang w:val="uk-UA"/>
              </w:rPr>
            </w:pPr>
            <w:r w:rsidRPr="0024327D">
              <w:rPr>
                <w:lang w:val="uk-UA"/>
              </w:rPr>
              <w:t xml:space="preserve">Прийнятність </w:t>
            </w:r>
            <w:r w:rsidR="00270BD4" w:rsidRPr="0024327D">
              <w:rPr>
                <w:lang w:val="uk-UA"/>
              </w:rPr>
              <w:t xml:space="preserve">у якості </w:t>
            </w:r>
            <w:r w:rsidR="00C15DAD" w:rsidRPr="0024327D">
              <w:rPr>
                <w:lang w:val="uk-UA"/>
              </w:rPr>
              <w:t>різних рівнів забезпечення відповідно до правил, що стосуються Коефіцієнту короткострокової ліквідності</w:t>
            </w:r>
            <w:r w:rsidR="00181285" w:rsidRPr="0024327D">
              <w:rPr>
                <w:lang w:val="uk-UA"/>
              </w:rPr>
              <w:t>.</w:t>
            </w:r>
          </w:p>
          <w:p w14:paraId="6E08A48E" w14:textId="3FBD271C" w:rsidR="009B311A" w:rsidRPr="0024327D" w:rsidRDefault="00270BD4" w:rsidP="00501D25">
            <w:pPr>
              <w:rPr>
                <w:lang w:val="uk-UA"/>
              </w:rPr>
            </w:pPr>
            <w:r w:rsidRPr="0024327D">
              <w:rPr>
                <w:lang w:val="uk-UA"/>
              </w:rPr>
              <w:lastRenderedPageBreak/>
              <w:t xml:space="preserve">Прийнятність у якості </w:t>
            </w:r>
            <w:r w:rsidR="00C15DAD" w:rsidRPr="0024327D">
              <w:rPr>
                <w:lang w:val="uk-UA"/>
              </w:rPr>
              <w:t>забезпечення для операцій Європейського центрального банку на відкритому ринку</w:t>
            </w:r>
            <w:r w:rsidR="00117CF2" w:rsidRPr="0024327D">
              <w:rPr>
                <w:lang w:val="ru-RU"/>
              </w:rPr>
              <w:t xml:space="preserve"> (</w:t>
            </w:r>
            <w:r w:rsidR="00117CF2" w:rsidRPr="0024327D">
              <w:rPr>
                <w:lang w:val="uk-UA"/>
              </w:rPr>
              <w:t>ЄЦБ)</w:t>
            </w:r>
            <w:r w:rsidR="00C15DAD" w:rsidRPr="0024327D">
              <w:rPr>
                <w:lang w:val="uk-UA"/>
              </w:rPr>
              <w:t xml:space="preserve">. </w:t>
            </w:r>
          </w:p>
          <w:p w14:paraId="5C9DCF59" w14:textId="7854BB3E" w:rsidR="009B311A" w:rsidRPr="0024327D" w:rsidRDefault="00270BD4" w:rsidP="00501D25">
            <w:pPr>
              <w:rPr>
                <w:lang w:val="uk-UA"/>
              </w:rPr>
            </w:pPr>
            <w:r w:rsidRPr="0024327D">
              <w:rPr>
                <w:lang w:val="uk-UA"/>
              </w:rPr>
              <w:t xml:space="preserve">Прийнятність </w:t>
            </w:r>
            <w:r w:rsidR="00F87D15" w:rsidRPr="0024327D">
              <w:rPr>
                <w:lang w:val="uk-UA"/>
              </w:rPr>
              <w:t xml:space="preserve">у якості активів за </w:t>
            </w:r>
            <w:r w:rsidR="00C15DAD" w:rsidRPr="0024327D">
              <w:rPr>
                <w:lang w:val="uk-UA"/>
              </w:rPr>
              <w:t>програм</w:t>
            </w:r>
            <w:r w:rsidR="00F87D15" w:rsidRPr="0024327D">
              <w:rPr>
                <w:lang w:val="uk-UA"/>
              </w:rPr>
              <w:t>ою</w:t>
            </w:r>
            <w:r w:rsidR="00C15DAD" w:rsidRPr="0024327D">
              <w:rPr>
                <w:lang w:val="uk-UA"/>
              </w:rPr>
              <w:t xml:space="preserve"> </w:t>
            </w:r>
            <w:r w:rsidR="00A6612E" w:rsidRPr="0024327D">
              <w:rPr>
                <w:lang w:val="uk-UA"/>
              </w:rPr>
              <w:t xml:space="preserve">ЄЦБ з </w:t>
            </w:r>
            <w:r w:rsidR="00C15DAD" w:rsidRPr="0024327D">
              <w:rPr>
                <w:lang w:val="uk-UA"/>
              </w:rPr>
              <w:t>викупу</w:t>
            </w:r>
            <w:r w:rsidR="00B30D5F" w:rsidRPr="0024327D">
              <w:rPr>
                <w:lang w:val="uk-UA"/>
              </w:rPr>
              <w:t xml:space="preserve"> облігацій</w:t>
            </w:r>
            <w:r w:rsidR="00F87D15" w:rsidRPr="0024327D">
              <w:rPr>
                <w:lang w:val="uk-UA"/>
              </w:rPr>
              <w:t xml:space="preserve"> з покриттям (за умови дотримання додаткових </w:t>
            </w:r>
            <w:r w:rsidR="00C15DAD" w:rsidRPr="0024327D">
              <w:rPr>
                <w:lang w:val="uk-UA"/>
              </w:rPr>
              <w:t>критеріїв</w:t>
            </w:r>
            <w:r w:rsidR="00F87D15" w:rsidRPr="0024327D">
              <w:rPr>
                <w:lang w:val="uk-UA"/>
              </w:rPr>
              <w:t>)</w:t>
            </w:r>
            <w:r w:rsidR="00181285" w:rsidRPr="0024327D">
              <w:rPr>
                <w:lang w:val="uk-UA"/>
              </w:rPr>
              <w:t>.</w:t>
            </w:r>
          </w:p>
        </w:tc>
        <w:tc>
          <w:tcPr>
            <w:tcW w:w="0" w:type="auto"/>
          </w:tcPr>
          <w:p w14:paraId="2D287B99" w14:textId="3A31DE84" w:rsidR="009B311A" w:rsidRPr="0024327D" w:rsidRDefault="00433EAD" w:rsidP="00501D25">
            <w:pPr>
              <w:rPr>
                <w:lang w:val="uk-UA"/>
              </w:rPr>
            </w:pPr>
            <w:r w:rsidRPr="0024327D">
              <w:rPr>
                <w:lang w:val="uk-UA"/>
              </w:rPr>
              <w:lastRenderedPageBreak/>
              <w:t xml:space="preserve">Пруденційні нормативи для сек’юритизації, які відповідають </w:t>
            </w:r>
            <w:r w:rsidR="00E17A2C" w:rsidRPr="0024327D">
              <w:rPr>
                <w:lang w:val="uk-UA"/>
              </w:rPr>
              <w:t>Р</w:t>
            </w:r>
            <w:r w:rsidR="008A6446" w:rsidRPr="0024327D">
              <w:rPr>
                <w:lang w:val="uk-UA"/>
              </w:rPr>
              <w:t>егламенту</w:t>
            </w:r>
            <w:r w:rsidRPr="0024327D">
              <w:rPr>
                <w:lang w:val="uk-UA"/>
              </w:rPr>
              <w:t xml:space="preserve"> </w:t>
            </w:r>
            <w:r w:rsidR="009B311A" w:rsidRPr="0024327D">
              <w:rPr>
                <w:lang w:val="uk-UA"/>
              </w:rPr>
              <w:t>STS</w:t>
            </w:r>
            <w:r w:rsidRPr="0024327D">
              <w:rPr>
                <w:lang w:val="uk-UA"/>
              </w:rPr>
              <w:t>, є вигіднішими ніж ті що не відповідають</w:t>
            </w:r>
            <w:r w:rsidR="00E17A2C" w:rsidRPr="0024327D">
              <w:rPr>
                <w:lang w:val="uk-UA"/>
              </w:rPr>
              <w:t xml:space="preserve"> характеристиці</w:t>
            </w:r>
            <w:r w:rsidRPr="0024327D">
              <w:rPr>
                <w:lang w:val="uk-UA"/>
              </w:rPr>
              <w:t xml:space="preserve"> </w:t>
            </w:r>
            <w:r w:rsidR="009B311A" w:rsidRPr="0024327D">
              <w:rPr>
                <w:lang w:val="uk-UA"/>
              </w:rPr>
              <w:t xml:space="preserve">STS. </w:t>
            </w:r>
          </w:p>
          <w:p w14:paraId="051A7680" w14:textId="1F0911C9" w:rsidR="009B311A" w:rsidRPr="0024327D" w:rsidRDefault="00025E98" w:rsidP="004E2C66">
            <w:pPr>
              <w:rPr>
                <w:lang w:val="uk-UA"/>
              </w:rPr>
            </w:pPr>
            <w:r w:rsidRPr="0024327D">
              <w:rPr>
                <w:lang w:val="uk-UA"/>
              </w:rPr>
              <w:t>Прийнятність у якості</w:t>
            </w:r>
            <w:r w:rsidR="00433EAD" w:rsidRPr="0024327D">
              <w:rPr>
                <w:lang w:val="uk-UA"/>
              </w:rPr>
              <w:t xml:space="preserve"> забезпечення для операцій </w:t>
            </w:r>
            <w:r w:rsidR="00C15DAD" w:rsidRPr="0024327D">
              <w:rPr>
                <w:lang w:val="uk-UA"/>
              </w:rPr>
              <w:t xml:space="preserve">Європейського центрального банку </w:t>
            </w:r>
            <w:r w:rsidR="00433EAD" w:rsidRPr="0024327D">
              <w:rPr>
                <w:lang w:val="uk-UA"/>
              </w:rPr>
              <w:t>на відкритому ринку</w:t>
            </w:r>
            <w:r w:rsidR="00181285" w:rsidRPr="0024327D">
              <w:rPr>
                <w:lang w:val="uk-UA"/>
              </w:rPr>
              <w:t>.</w:t>
            </w:r>
          </w:p>
          <w:p w14:paraId="6340BEC6" w14:textId="43FA0FD1" w:rsidR="009B311A" w:rsidRPr="0024327D" w:rsidRDefault="00025E98" w:rsidP="004E2C66">
            <w:pPr>
              <w:rPr>
                <w:lang w:val="uk-UA"/>
              </w:rPr>
            </w:pPr>
            <w:r w:rsidRPr="0024327D">
              <w:rPr>
                <w:lang w:val="uk-UA"/>
              </w:rPr>
              <w:t xml:space="preserve">Прийнятність у якості активів за </w:t>
            </w:r>
            <w:r w:rsidR="00C15DAD" w:rsidRPr="0024327D">
              <w:rPr>
                <w:lang w:val="uk-UA"/>
              </w:rPr>
              <w:t>програм</w:t>
            </w:r>
            <w:r w:rsidRPr="0024327D">
              <w:rPr>
                <w:lang w:val="uk-UA"/>
              </w:rPr>
              <w:t>ою</w:t>
            </w:r>
            <w:r w:rsidR="00C15DAD" w:rsidRPr="0024327D">
              <w:rPr>
                <w:lang w:val="uk-UA"/>
              </w:rPr>
              <w:t xml:space="preserve"> </w:t>
            </w:r>
            <w:r w:rsidR="005C5F91" w:rsidRPr="0024327D">
              <w:rPr>
                <w:lang w:val="uk-UA"/>
              </w:rPr>
              <w:t xml:space="preserve">ЄЦБ з </w:t>
            </w:r>
            <w:r w:rsidR="00C15DAD" w:rsidRPr="0024327D">
              <w:rPr>
                <w:lang w:val="uk-UA"/>
              </w:rPr>
              <w:t>викупу</w:t>
            </w:r>
            <w:r w:rsidR="005C5F91" w:rsidRPr="0024327D">
              <w:rPr>
                <w:lang w:val="uk-UA"/>
              </w:rPr>
              <w:t xml:space="preserve"> облігацій, забезпечених активами</w:t>
            </w:r>
            <w:r w:rsidR="00D41944" w:rsidRPr="0024327D">
              <w:rPr>
                <w:lang w:val="uk-UA"/>
              </w:rPr>
              <w:t xml:space="preserve"> (за умови дотримання додаткових критеріїв).</w:t>
            </w:r>
          </w:p>
        </w:tc>
      </w:tr>
      <w:tr w:rsidR="00875146" w:rsidRPr="0024327D" w14:paraId="4F834425" w14:textId="77777777" w:rsidTr="002B681C">
        <w:tc>
          <w:tcPr>
            <w:tcW w:w="0" w:type="auto"/>
          </w:tcPr>
          <w:p w14:paraId="4A863BE9" w14:textId="629C32D3" w:rsidR="009B311A" w:rsidRPr="0024327D" w:rsidRDefault="00C15DAD" w:rsidP="00501D25">
            <w:pPr>
              <w:rPr>
                <w:b/>
                <w:lang w:val="uk-UA"/>
              </w:rPr>
            </w:pPr>
            <w:r w:rsidRPr="0024327D">
              <w:rPr>
                <w:b/>
                <w:lang w:val="uk-UA"/>
              </w:rPr>
              <w:t>Типові ставки та строки</w:t>
            </w:r>
          </w:p>
        </w:tc>
        <w:tc>
          <w:tcPr>
            <w:tcW w:w="0" w:type="auto"/>
          </w:tcPr>
          <w:p w14:paraId="1AB5483E" w14:textId="0EDE4F11" w:rsidR="009B311A" w:rsidRPr="0024327D" w:rsidRDefault="00C15DAD" w:rsidP="00501D25">
            <w:pPr>
              <w:rPr>
                <w:lang w:val="uk-UA"/>
              </w:rPr>
            </w:pPr>
            <w:r w:rsidRPr="0024327D">
              <w:rPr>
                <w:lang w:val="uk-UA"/>
              </w:rPr>
              <w:t>Фіксована ставка</w:t>
            </w:r>
            <w:r w:rsidR="00181285" w:rsidRPr="0024327D">
              <w:rPr>
                <w:lang w:val="uk-UA"/>
              </w:rPr>
              <w:t>.</w:t>
            </w:r>
          </w:p>
          <w:p w14:paraId="37A129E5" w14:textId="02464B67" w:rsidR="009B311A" w:rsidRPr="0024327D" w:rsidRDefault="009B311A" w:rsidP="00501D25">
            <w:pPr>
              <w:rPr>
                <w:lang w:val="uk-UA"/>
              </w:rPr>
            </w:pPr>
            <w:r w:rsidRPr="0024327D">
              <w:rPr>
                <w:lang w:val="uk-UA"/>
              </w:rPr>
              <w:t xml:space="preserve">3 – 20 </w:t>
            </w:r>
            <w:r w:rsidR="00C15DAD" w:rsidRPr="0024327D">
              <w:rPr>
                <w:lang w:val="uk-UA"/>
              </w:rPr>
              <w:t>років</w:t>
            </w:r>
            <w:r w:rsidR="00181285" w:rsidRPr="0024327D">
              <w:rPr>
                <w:lang w:val="uk-UA"/>
              </w:rPr>
              <w:t>.</w:t>
            </w:r>
          </w:p>
        </w:tc>
        <w:tc>
          <w:tcPr>
            <w:tcW w:w="0" w:type="auto"/>
          </w:tcPr>
          <w:p w14:paraId="3CD118F3" w14:textId="499E43AC" w:rsidR="009B311A" w:rsidRPr="0024327D" w:rsidRDefault="00C15DAD" w:rsidP="00501D25">
            <w:pPr>
              <w:rPr>
                <w:lang w:val="uk-UA"/>
              </w:rPr>
            </w:pPr>
            <w:r w:rsidRPr="0024327D">
              <w:rPr>
                <w:lang w:val="uk-UA"/>
              </w:rPr>
              <w:t>Плаваюча ставка</w:t>
            </w:r>
            <w:r w:rsidR="00181285" w:rsidRPr="0024327D">
              <w:rPr>
                <w:lang w:val="uk-UA"/>
              </w:rPr>
              <w:t>.</w:t>
            </w:r>
          </w:p>
          <w:p w14:paraId="3CB6E530" w14:textId="67850C44" w:rsidR="009B311A" w:rsidRPr="0024327D" w:rsidRDefault="009B311A" w:rsidP="00501D25">
            <w:pPr>
              <w:rPr>
                <w:lang w:val="uk-UA"/>
              </w:rPr>
            </w:pPr>
            <w:r w:rsidRPr="0024327D">
              <w:rPr>
                <w:lang w:val="uk-UA"/>
              </w:rPr>
              <w:t xml:space="preserve">1 – 5 </w:t>
            </w:r>
            <w:r w:rsidR="00C15DAD" w:rsidRPr="0024327D">
              <w:rPr>
                <w:lang w:val="uk-UA"/>
              </w:rPr>
              <w:t>років</w:t>
            </w:r>
            <w:r w:rsidR="00181285" w:rsidRPr="0024327D">
              <w:rPr>
                <w:lang w:val="uk-UA"/>
              </w:rPr>
              <w:t>.</w:t>
            </w:r>
          </w:p>
        </w:tc>
      </w:tr>
      <w:tr w:rsidR="00875146" w:rsidRPr="0024327D" w14:paraId="47055BBD" w14:textId="77777777" w:rsidTr="002B681C">
        <w:tc>
          <w:tcPr>
            <w:tcW w:w="0" w:type="auto"/>
          </w:tcPr>
          <w:p w14:paraId="79DA13E2" w14:textId="06F79A3D" w:rsidR="009B311A" w:rsidRPr="0024327D" w:rsidRDefault="00C15DAD" w:rsidP="00501D25">
            <w:pPr>
              <w:rPr>
                <w:b/>
                <w:lang w:val="uk-UA"/>
              </w:rPr>
            </w:pPr>
            <w:r w:rsidRPr="0024327D">
              <w:rPr>
                <w:b/>
                <w:lang w:val="uk-UA"/>
              </w:rPr>
              <w:t>Структура за</w:t>
            </w:r>
            <w:r w:rsidR="008632E6" w:rsidRPr="0024327D">
              <w:rPr>
                <w:b/>
                <w:lang w:val="uk-UA"/>
              </w:rPr>
              <w:t>лежно від графіку</w:t>
            </w:r>
            <w:r w:rsidRPr="0024327D">
              <w:rPr>
                <w:b/>
                <w:lang w:val="uk-UA"/>
              </w:rPr>
              <w:t xml:space="preserve"> погашення</w:t>
            </w:r>
          </w:p>
        </w:tc>
        <w:tc>
          <w:tcPr>
            <w:tcW w:w="0" w:type="auto"/>
          </w:tcPr>
          <w:p w14:paraId="3E39BA24" w14:textId="387BDA4B" w:rsidR="009B311A" w:rsidRPr="0024327D" w:rsidRDefault="00D41944" w:rsidP="00501D25">
            <w:pPr>
              <w:rPr>
                <w:lang w:val="uk-UA"/>
              </w:rPr>
            </w:pPr>
            <w:r w:rsidRPr="0024327D">
              <w:rPr>
                <w:lang w:val="uk-UA"/>
              </w:rPr>
              <w:t>П</w:t>
            </w:r>
            <w:r w:rsidR="00A47552" w:rsidRPr="0024327D">
              <w:rPr>
                <w:lang w:val="uk-UA"/>
              </w:rPr>
              <w:t>огашення</w:t>
            </w:r>
            <w:r w:rsidR="009B311A" w:rsidRPr="0024327D">
              <w:rPr>
                <w:lang w:val="uk-UA"/>
              </w:rPr>
              <w:t xml:space="preserve"> </w:t>
            </w:r>
            <w:r w:rsidRPr="0024327D">
              <w:rPr>
                <w:lang w:val="uk-UA"/>
              </w:rPr>
              <w:t>в кінці строку.</w:t>
            </w:r>
          </w:p>
          <w:p w14:paraId="47A6C66D" w14:textId="38C9F4B8" w:rsidR="009B311A" w:rsidRPr="0024327D" w:rsidRDefault="004E2C66" w:rsidP="00501D25">
            <w:pPr>
              <w:rPr>
                <w:lang w:val="uk-UA"/>
              </w:rPr>
            </w:pPr>
            <w:r w:rsidRPr="0024327D">
              <w:rPr>
                <w:lang w:val="uk-UA"/>
              </w:rPr>
              <w:t xml:space="preserve">У разі </w:t>
            </w:r>
            <w:r w:rsidR="00FA552C" w:rsidRPr="0024327D">
              <w:rPr>
                <w:lang w:val="uk-UA"/>
              </w:rPr>
              <w:t xml:space="preserve">дефолту </w:t>
            </w:r>
            <w:r w:rsidR="001732D3" w:rsidRPr="0024327D">
              <w:rPr>
                <w:lang w:val="uk-UA"/>
              </w:rPr>
              <w:t>е</w:t>
            </w:r>
            <w:r w:rsidRPr="0024327D">
              <w:rPr>
                <w:lang w:val="uk-UA"/>
              </w:rPr>
              <w:t>мітент</w:t>
            </w:r>
            <w:r w:rsidR="00FA552C" w:rsidRPr="0024327D">
              <w:rPr>
                <w:lang w:val="uk-UA"/>
              </w:rPr>
              <w:t>а</w:t>
            </w:r>
            <w:r w:rsidRPr="0024327D">
              <w:rPr>
                <w:lang w:val="uk-UA"/>
              </w:rPr>
              <w:t xml:space="preserve"> можливе </w:t>
            </w:r>
            <w:r w:rsidR="00E53C03" w:rsidRPr="0024327D">
              <w:rPr>
                <w:lang w:val="uk-UA"/>
              </w:rPr>
              <w:t xml:space="preserve">подовження строків для </w:t>
            </w:r>
            <w:r w:rsidRPr="0024327D">
              <w:rPr>
                <w:lang w:val="uk-UA"/>
              </w:rPr>
              <w:t>деяких форм облігацій</w:t>
            </w:r>
            <w:r w:rsidR="007C4934" w:rsidRPr="0024327D">
              <w:rPr>
                <w:lang w:val="uk-UA"/>
              </w:rPr>
              <w:t xml:space="preserve"> з покриттям</w:t>
            </w:r>
            <w:r w:rsidRPr="0024327D">
              <w:rPr>
                <w:lang w:val="uk-UA"/>
              </w:rPr>
              <w:t xml:space="preserve"> </w:t>
            </w:r>
            <w:r w:rsidR="009B311A" w:rsidRPr="0024327D">
              <w:rPr>
                <w:lang w:val="uk-UA"/>
              </w:rPr>
              <w:t>(</w:t>
            </w:r>
            <w:r w:rsidR="00A16F44" w:rsidRPr="0024327D">
              <w:rPr>
                <w:lang w:val="uk-UA"/>
              </w:rPr>
              <w:t>“</w:t>
            </w:r>
            <w:r w:rsidRPr="0024327D">
              <w:rPr>
                <w:lang w:val="uk-UA"/>
              </w:rPr>
              <w:t xml:space="preserve">облігації з </w:t>
            </w:r>
            <w:r w:rsidR="00A47552" w:rsidRPr="0024327D">
              <w:rPr>
                <w:lang w:val="uk-UA"/>
              </w:rPr>
              <w:t>гнучким графіком погашення</w:t>
            </w:r>
            <w:r w:rsidR="00472638" w:rsidRPr="0024327D">
              <w:rPr>
                <w:lang w:val="uk-UA"/>
              </w:rPr>
              <w:t>”</w:t>
            </w:r>
            <w:r w:rsidR="009B311A" w:rsidRPr="0024327D">
              <w:rPr>
                <w:lang w:val="uk-UA"/>
              </w:rPr>
              <w:t xml:space="preserve"> </w:t>
            </w:r>
            <w:r w:rsidRPr="0024327D">
              <w:rPr>
                <w:lang w:val="uk-UA"/>
              </w:rPr>
              <w:t xml:space="preserve">або </w:t>
            </w:r>
            <w:r w:rsidR="00A16F44" w:rsidRPr="0024327D">
              <w:rPr>
                <w:lang w:val="uk-UA"/>
              </w:rPr>
              <w:t>“</w:t>
            </w:r>
            <w:r w:rsidR="00A47552" w:rsidRPr="0024327D">
              <w:rPr>
                <w:lang w:val="uk-UA"/>
              </w:rPr>
              <w:t xml:space="preserve">облігації, графік погашення яких залежить від отримання надходжень від </w:t>
            </w:r>
            <w:r w:rsidR="00A206F0" w:rsidRPr="0024327D">
              <w:rPr>
                <w:lang w:val="uk-UA"/>
              </w:rPr>
              <w:t>покриття</w:t>
            </w:r>
            <w:r w:rsidR="00472638" w:rsidRPr="0024327D">
              <w:rPr>
                <w:lang w:val="uk-UA"/>
              </w:rPr>
              <w:t>”</w:t>
            </w:r>
            <w:r w:rsidR="009B311A" w:rsidRPr="0024327D">
              <w:rPr>
                <w:lang w:val="uk-UA"/>
              </w:rPr>
              <w:t xml:space="preserve">). </w:t>
            </w:r>
            <w:r w:rsidRPr="0024327D">
              <w:rPr>
                <w:lang w:val="uk-UA"/>
              </w:rPr>
              <w:t>Ці особливості все частіше з’являються у новіших програма</w:t>
            </w:r>
            <w:r w:rsidR="00E53C03" w:rsidRPr="0024327D">
              <w:rPr>
                <w:lang w:val="uk-UA"/>
              </w:rPr>
              <w:t>х</w:t>
            </w:r>
            <w:r w:rsidR="009B311A" w:rsidRPr="0024327D">
              <w:rPr>
                <w:lang w:val="uk-UA"/>
              </w:rPr>
              <w:t xml:space="preserve">. </w:t>
            </w:r>
          </w:p>
          <w:p w14:paraId="64172B26" w14:textId="435C36D4" w:rsidR="009B311A" w:rsidRPr="0024327D" w:rsidRDefault="00FA552C" w:rsidP="00501D25">
            <w:pPr>
              <w:rPr>
                <w:lang w:val="uk-UA"/>
              </w:rPr>
            </w:pPr>
            <w:r w:rsidRPr="0024327D">
              <w:rPr>
                <w:lang w:val="uk-UA"/>
              </w:rPr>
              <w:t>На практиці с</w:t>
            </w:r>
            <w:r w:rsidR="00E53C03" w:rsidRPr="0024327D">
              <w:rPr>
                <w:lang w:val="uk-UA"/>
              </w:rPr>
              <w:t xml:space="preserve">трок </w:t>
            </w:r>
            <w:r w:rsidR="004E0D0F" w:rsidRPr="0024327D">
              <w:rPr>
                <w:lang w:val="uk-UA"/>
              </w:rPr>
              <w:t xml:space="preserve">погашення </w:t>
            </w:r>
            <w:r w:rsidR="00E53C03" w:rsidRPr="0024327D">
              <w:rPr>
                <w:lang w:val="uk-UA"/>
              </w:rPr>
              <w:t xml:space="preserve">облігацій </w:t>
            </w:r>
            <w:r w:rsidR="00061312" w:rsidRPr="0024327D">
              <w:rPr>
                <w:lang w:val="uk-UA"/>
              </w:rPr>
              <w:t xml:space="preserve">з покриттям </w:t>
            </w:r>
            <w:r w:rsidR="00E53C03" w:rsidRPr="0024327D">
              <w:rPr>
                <w:lang w:val="uk-UA"/>
              </w:rPr>
              <w:t>ніколи не подовжувався</w:t>
            </w:r>
            <w:r w:rsidR="009B311A" w:rsidRPr="0024327D">
              <w:rPr>
                <w:lang w:val="uk-UA"/>
              </w:rPr>
              <w:t xml:space="preserve">. </w:t>
            </w:r>
          </w:p>
          <w:p w14:paraId="67DF2BB1" w14:textId="31CCDB31" w:rsidR="009B311A" w:rsidRPr="0024327D" w:rsidRDefault="00E53C03" w:rsidP="00181285">
            <w:pPr>
              <w:rPr>
                <w:lang w:val="uk-UA"/>
              </w:rPr>
            </w:pPr>
            <w:r w:rsidRPr="0024327D">
              <w:rPr>
                <w:lang w:val="uk-UA"/>
              </w:rPr>
              <w:t xml:space="preserve">У разі </w:t>
            </w:r>
            <w:r w:rsidR="00061312" w:rsidRPr="0024327D">
              <w:rPr>
                <w:lang w:val="uk-UA"/>
              </w:rPr>
              <w:t xml:space="preserve">порушень </w:t>
            </w:r>
            <w:r w:rsidR="00244188" w:rsidRPr="0024327D">
              <w:rPr>
                <w:lang w:val="uk-UA"/>
              </w:rPr>
              <w:t xml:space="preserve">платежів </w:t>
            </w:r>
            <w:r w:rsidR="00061312" w:rsidRPr="0024327D">
              <w:rPr>
                <w:lang w:val="uk-UA"/>
              </w:rPr>
              <w:t>у</w:t>
            </w:r>
            <w:r w:rsidR="00BC0223" w:rsidRPr="0024327D">
              <w:rPr>
                <w:lang w:val="uk-UA"/>
              </w:rPr>
              <w:t xml:space="preserve"> </w:t>
            </w:r>
            <w:r w:rsidR="008F560F" w:rsidRPr="0024327D">
              <w:rPr>
                <w:lang w:val="uk-UA"/>
              </w:rPr>
              <w:t>п</w:t>
            </w:r>
            <w:r w:rsidRPr="0024327D">
              <w:rPr>
                <w:lang w:val="uk-UA"/>
              </w:rPr>
              <w:t>ул</w:t>
            </w:r>
            <w:r w:rsidR="00061312" w:rsidRPr="0024327D">
              <w:rPr>
                <w:lang w:val="uk-UA"/>
              </w:rPr>
              <w:t>і</w:t>
            </w:r>
            <w:r w:rsidRPr="0024327D">
              <w:rPr>
                <w:lang w:val="uk-UA"/>
              </w:rPr>
              <w:t xml:space="preserve"> покриття </w:t>
            </w:r>
            <w:r w:rsidRPr="0024327D">
              <w:rPr>
                <w:b/>
                <w:bCs/>
                <w:lang w:val="uk-UA"/>
              </w:rPr>
              <w:t xml:space="preserve">та </w:t>
            </w:r>
            <w:r w:rsidR="00061312" w:rsidRPr="0024327D">
              <w:rPr>
                <w:lang w:val="uk-UA"/>
              </w:rPr>
              <w:t xml:space="preserve">дефолту </w:t>
            </w:r>
            <w:r w:rsidR="001732D3" w:rsidRPr="0024327D">
              <w:rPr>
                <w:lang w:val="uk-UA"/>
              </w:rPr>
              <w:t>е</w:t>
            </w:r>
            <w:r w:rsidRPr="0024327D">
              <w:rPr>
                <w:lang w:val="uk-UA"/>
              </w:rPr>
              <w:t xml:space="preserve">мітента можливе </w:t>
            </w:r>
            <w:r w:rsidR="00061312" w:rsidRPr="0024327D">
              <w:rPr>
                <w:lang w:val="uk-UA"/>
              </w:rPr>
              <w:t xml:space="preserve">дострокове </w:t>
            </w:r>
            <w:r w:rsidRPr="0024327D">
              <w:rPr>
                <w:lang w:val="uk-UA"/>
              </w:rPr>
              <w:t>погашення деяких облігацій</w:t>
            </w:r>
            <w:r w:rsidR="00061312" w:rsidRPr="0024327D">
              <w:rPr>
                <w:lang w:val="uk-UA"/>
              </w:rPr>
              <w:t xml:space="preserve"> з покриттям для уникнення </w:t>
            </w:r>
            <w:r w:rsidR="00BE5DA7" w:rsidRPr="0024327D">
              <w:rPr>
                <w:lang w:val="uk-UA"/>
              </w:rPr>
              <w:t xml:space="preserve">фактичної </w:t>
            </w:r>
            <w:r w:rsidR="00061312" w:rsidRPr="0024327D">
              <w:rPr>
                <w:lang w:val="uk-UA"/>
              </w:rPr>
              <w:t xml:space="preserve">субординації </w:t>
            </w:r>
            <w:r w:rsidR="00BE5DA7" w:rsidRPr="0024327D">
              <w:rPr>
                <w:lang w:val="uk-UA"/>
              </w:rPr>
              <w:t xml:space="preserve">окремих траншів з </w:t>
            </w:r>
            <w:r w:rsidR="00F45A43" w:rsidRPr="0024327D">
              <w:rPr>
                <w:lang w:val="uk-UA"/>
              </w:rPr>
              <w:t>пізнішим терміном погашення.</w:t>
            </w:r>
            <w:r w:rsidRPr="0024327D">
              <w:rPr>
                <w:lang w:val="uk-UA"/>
              </w:rPr>
              <w:t xml:space="preserve"> Ц</w:t>
            </w:r>
            <w:r w:rsidR="00AF760D" w:rsidRPr="0024327D">
              <w:rPr>
                <w:lang w:val="uk-UA"/>
              </w:rPr>
              <w:t>ього</w:t>
            </w:r>
            <w:r w:rsidRPr="0024327D">
              <w:rPr>
                <w:lang w:val="uk-UA"/>
              </w:rPr>
              <w:t xml:space="preserve"> також ніколи не траплялося</w:t>
            </w:r>
            <w:r w:rsidR="00F45A43" w:rsidRPr="0024327D">
              <w:rPr>
                <w:lang w:val="uk-UA"/>
              </w:rPr>
              <w:t xml:space="preserve"> на практиці</w:t>
            </w:r>
            <w:r w:rsidR="009B311A" w:rsidRPr="0024327D">
              <w:rPr>
                <w:lang w:val="uk-UA"/>
              </w:rPr>
              <w:t xml:space="preserve">. </w:t>
            </w:r>
          </w:p>
        </w:tc>
        <w:tc>
          <w:tcPr>
            <w:tcW w:w="0" w:type="auto"/>
          </w:tcPr>
          <w:p w14:paraId="779C0BCD" w14:textId="0F63457A" w:rsidR="009B311A" w:rsidRPr="0024327D" w:rsidRDefault="00E53C03" w:rsidP="00501D25">
            <w:pPr>
              <w:rPr>
                <w:lang w:val="uk-UA"/>
              </w:rPr>
            </w:pPr>
            <w:r w:rsidRPr="0024327D">
              <w:rPr>
                <w:lang w:val="uk-UA"/>
              </w:rPr>
              <w:t xml:space="preserve">Зазвичай </w:t>
            </w:r>
            <w:r w:rsidR="00FE79C1" w:rsidRPr="0024327D">
              <w:rPr>
                <w:lang w:val="uk-UA"/>
              </w:rPr>
              <w:t>це</w:t>
            </w:r>
            <w:r w:rsidR="00373F95" w:rsidRPr="0024327D">
              <w:rPr>
                <w:lang w:val="uk-UA"/>
              </w:rPr>
              <w:t xml:space="preserve"> </w:t>
            </w:r>
            <w:r w:rsidR="00A47552" w:rsidRPr="0024327D">
              <w:rPr>
                <w:lang w:val="uk-UA"/>
              </w:rPr>
              <w:t xml:space="preserve">облігації, графік погашення яких залежить від отримання надходжень від </w:t>
            </w:r>
            <w:r w:rsidR="00F45A43" w:rsidRPr="0024327D">
              <w:rPr>
                <w:lang w:val="uk-UA"/>
              </w:rPr>
              <w:t xml:space="preserve">відповідного пулу активів </w:t>
            </w:r>
            <w:r w:rsidRPr="0024327D">
              <w:rPr>
                <w:lang w:val="uk-UA"/>
              </w:rPr>
              <w:t>– облігації амортизуються паралельно з активами</w:t>
            </w:r>
            <w:r w:rsidR="00FE79C1" w:rsidRPr="0024327D">
              <w:rPr>
                <w:lang w:val="uk-UA"/>
              </w:rPr>
              <w:t xml:space="preserve">, включеними до </w:t>
            </w:r>
            <w:r w:rsidR="00F45A43" w:rsidRPr="0024327D">
              <w:rPr>
                <w:lang w:val="uk-UA"/>
              </w:rPr>
              <w:t>пулу</w:t>
            </w:r>
            <w:r w:rsidR="009B311A" w:rsidRPr="0024327D">
              <w:rPr>
                <w:lang w:val="uk-UA"/>
              </w:rPr>
              <w:t xml:space="preserve">. </w:t>
            </w:r>
          </w:p>
          <w:p w14:paraId="387DA3E5" w14:textId="6E6D0873" w:rsidR="009B311A" w:rsidRPr="0024327D" w:rsidRDefault="00E53C03" w:rsidP="00501D25">
            <w:pPr>
              <w:rPr>
                <w:lang w:val="uk-UA"/>
              </w:rPr>
            </w:pPr>
            <w:r w:rsidRPr="0024327D">
              <w:rPr>
                <w:lang w:val="uk-UA"/>
              </w:rPr>
              <w:t xml:space="preserve">Облігації </w:t>
            </w:r>
            <w:r w:rsidR="00F45A43" w:rsidRPr="0024327D">
              <w:rPr>
                <w:lang w:val="uk-UA"/>
              </w:rPr>
              <w:t>з вищим пріоритетом</w:t>
            </w:r>
            <w:r w:rsidR="009B311A" w:rsidRPr="0024327D">
              <w:rPr>
                <w:lang w:val="uk-UA"/>
              </w:rPr>
              <w:t xml:space="preserve"> (</w:t>
            </w:r>
            <w:r w:rsidRPr="0024327D">
              <w:rPr>
                <w:lang w:val="uk-UA"/>
              </w:rPr>
              <w:t xml:space="preserve">класу </w:t>
            </w:r>
            <w:r w:rsidR="009B311A" w:rsidRPr="0024327D">
              <w:rPr>
                <w:lang w:val="uk-UA"/>
              </w:rPr>
              <w:t>A)</w:t>
            </w:r>
            <w:r w:rsidRPr="0024327D">
              <w:rPr>
                <w:lang w:val="uk-UA"/>
              </w:rPr>
              <w:t xml:space="preserve">, як правило, амортизуються </w:t>
            </w:r>
            <w:r w:rsidR="00FE79C1" w:rsidRPr="0024327D">
              <w:rPr>
                <w:lang w:val="uk-UA"/>
              </w:rPr>
              <w:t>в першу чергу,</w:t>
            </w:r>
            <w:r w:rsidR="00373F95" w:rsidRPr="0024327D">
              <w:rPr>
                <w:lang w:val="uk-UA"/>
              </w:rPr>
              <w:t xml:space="preserve"> </w:t>
            </w:r>
            <w:r w:rsidR="00FE79C1" w:rsidRPr="0024327D">
              <w:rPr>
                <w:lang w:val="uk-UA"/>
              </w:rPr>
              <w:t xml:space="preserve">і лише після цього </w:t>
            </w:r>
            <w:r w:rsidRPr="0024327D">
              <w:rPr>
                <w:lang w:val="uk-UA"/>
              </w:rPr>
              <w:t xml:space="preserve">транші з </w:t>
            </w:r>
            <w:r w:rsidR="00FE79C1" w:rsidRPr="0024327D">
              <w:rPr>
                <w:lang w:val="uk-UA"/>
              </w:rPr>
              <w:t xml:space="preserve">нижчим </w:t>
            </w:r>
            <w:r w:rsidRPr="0024327D">
              <w:rPr>
                <w:lang w:val="uk-UA"/>
              </w:rPr>
              <w:t xml:space="preserve">пріоритетом (класу </w:t>
            </w:r>
            <w:r w:rsidR="009B311A" w:rsidRPr="0024327D">
              <w:rPr>
                <w:lang w:val="uk-UA"/>
              </w:rPr>
              <w:t xml:space="preserve">B), </w:t>
            </w:r>
            <w:r w:rsidRPr="0024327D">
              <w:rPr>
                <w:lang w:val="uk-UA"/>
              </w:rPr>
              <w:t xml:space="preserve">хоча облігації вищого пріоритету також можуть бути поділені на транші за чергою погашення (наприклад, </w:t>
            </w:r>
            <w:r w:rsidR="003612FA" w:rsidRPr="0024327D">
              <w:rPr>
                <w:lang w:val="uk-UA"/>
              </w:rPr>
              <w:t xml:space="preserve">погашення </w:t>
            </w:r>
            <w:r w:rsidRPr="0024327D">
              <w:rPr>
                <w:lang w:val="uk-UA"/>
              </w:rPr>
              <w:t>облігаці</w:t>
            </w:r>
            <w:r w:rsidR="003612FA" w:rsidRPr="0024327D">
              <w:rPr>
                <w:lang w:val="uk-UA"/>
              </w:rPr>
              <w:t>й</w:t>
            </w:r>
            <w:r w:rsidRPr="0024327D">
              <w:rPr>
                <w:lang w:val="uk-UA"/>
              </w:rPr>
              <w:t xml:space="preserve"> класу </w:t>
            </w:r>
            <w:r w:rsidR="009B311A" w:rsidRPr="0024327D">
              <w:rPr>
                <w:lang w:val="uk-UA"/>
              </w:rPr>
              <w:t xml:space="preserve">A-1 </w:t>
            </w:r>
            <w:r w:rsidR="003612FA" w:rsidRPr="0024327D">
              <w:rPr>
                <w:lang w:val="uk-UA"/>
              </w:rPr>
              <w:t xml:space="preserve">відбувається до погашення облігацій класу </w:t>
            </w:r>
            <w:r w:rsidR="009B311A" w:rsidRPr="0024327D">
              <w:rPr>
                <w:lang w:val="uk-UA"/>
              </w:rPr>
              <w:t>A-2</w:t>
            </w:r>
            <w:r w:rsidR="003612FA" w:rsidRPr="0024327D">
              <w:rPr>
                <w:lang w:val="uk-UA"/>
              </w:rPr>
              <w:t xml:space="preserve">, але облігації обох класів у всіх відношеннях є рівними і мають пріоритет щодо траншу В у частині </w:t>
            </w:r>
            <w:r w:rsidR="00AD0771" w:rsidRPr="0024327D">
              <w:rPr>
                <w:lang w:val="uk-UA"/>
              </w:rPr>
              <w:t xml:space="preserve">умов </w:t>
            </w:r>
            <w:r w:rsidR="003612FA" w:rsidRPr="0024327D">
              <w:rPr>
                <w:lang w:val="uk-UA"/>
              </w:rPr>
              <w:t>кредитування</w:t>
            </w:r>
            <w:r w:rsidR="009B311A" w:rsidRPr="0024327D">
              <w:rPr>
                <w:lang w:val="uk-UA"/>
              </w:rPr>
              <w:t xml:space="preserve">). </w:t>
            </w:r>
          </w:p>
        </w:tc>
      </w:tr>
      <w:tr w:rsidR="00875146" w:rsidRPr="0024327D" w14:paraId="66590E0D" w14:textId="77777777" w:rsidTr="002B681C">
        <w:tc>
          <w:tcPr>
            <w:tcW w:w="0" w:type="auto"/>
          </w:tcPr>
          <w:p w14:paraId="339D2971" w14:textId="05830243" w:rsidR="009B311A" w:rsidRPr="0024327D" w:rsidRDefault="003612FA" w:rsidP="00501D25">
            <w:pPr>
              <w:rPr>
                <w:b/>
                <w:lang w:val="uk-UA"/>
              </w:rPr>
            </w:pPr>
            <w:r w:rsidRPr="0024327D">
              <w:rPr>
                <w:b/>
                <w:lang w:val="uk-UA"/>
              </w:rPr>
              <w:t xml:space="preserve">Ефективність в умовах глобальної фінансової кризи </w:t>
            </w:r>
            <w:r w:rsidR="00181285" w:rsidRPr="0024327D">
              <w:rPr>
                <w:b/>
                <w:lang w:val="uk-UA"/>
              </w:rPr>
              <w:t>–</w:t>
            </w:r>
            <w:r w:rsidR="009B311A" w:rsidRPr="0024327D">
              <w:rPr>
                <w:b/>
                <w:lang w:val="uk-UA"/>
              </w:rPr>
              <w:t xml:space="preserve"> </w:t>
            </w:r>
            <w:r w:rsidR="008223FF" w:rsidRPr="0024327D">
              <w:rPr>
                <w:b/>
                <w:lang w:val="uk-UA"/>
              </w:rPr>
              <w:t>погашення</w:t>
            </w:r>
          </w:p>
        </w:tc>
        <w:tc>
          <w:tcPr>
            <w:tcW w:w="0" w:type="auto"/>
          </w:tcPr>
          <w:p w14:paraId="2F4BAE57" w14:textId="1CAE2F46" w:rsidR="009B311A" w:rsidRPr="0024327D" w:rsidRDefault="003612FA" w:rsidP="00501D25">
            <w:pPr>
              <w:rPr>
                <w:lang w:val="uk-UA"/>
              </w:rPr>
            </w:pPr>
            <w:r w:rsidRPr="0024327D">
              <w:rPr>
                <w:lang w:val="uk-UA"/>
              </w:rPr>
              <w:t>Відсутність дефолтів</w:t>
            </w:r>
            <w:r w:rsidR="00181285" w:rsidRPr="0024327D">
              <w:rPr>
                <w:lang w:val="uk-UA"/>
              </w:rPr>
              <w:t>.</w:t>
            </w:r>
          </w:p>
          <w:p w14:paraId="056C14BA" w14:textId="5B8E8D36" w:rsidR="009B311A" w:rsidRPr="0024327D" w:rsidRDefault="003612FA" w:rsidP="00501D25">
            <w:pPr>
              <w:rPr>
                <w:lang w:val="uk-UA"/>
              </w:rPr>
            </w:pPr>
            <w:r w:rsidRPr="0024327D">
              <w:rPr>
                <w:lang w:val="uk-UA"/>
              </w:rPr>
              <w:t xml:space="preserve">Зниження </w:t>
            </w:r>
            <w:r w:rsidR="008B7F0C" w:rsidRPr="0024327D">
              <w:rPr>
                <w:lang w:val="uk-UA"/>
              </w:rPr>
              <w:t xml:space="preserve">кредитного </w:t>
            </w:r>
            <w:r w:rsidRPr="0024327D">
              <w:rPr>
                <w:lang w:val="uk-UA"/>
              </w:rPr>
              <w:t>рейтингу зазвичай відбувається через зниження суверенних кредит</w:t>
            </w:r>
            <w:r w:rsidR="008B7F0C" w:rsidRPr="0024327D">
              <w:rPr>
                <w:lang w:val="uk-UA"/>
              </w:rPr>
              <w:t>них рейтингів</w:t>
            </w:r>
            <w:r w:rsidR="00181285" w:rsidRPr="0024327D">
              <w:rPr>
                <w:lang w:val="uk-UA"/>
              </w:rPr>
              <w:t>.</w:t>
            </w:r>
          </w:p>
        </w:tc>
        <w:tc>
          <w:tcPr>
            <w:tcW w:w="0" w:type="auto"/>
          </w:tcPr>
          <w:p w14:paraId="1E63E43C" w14:textId="640675CD" w:rsidR="009B311A" w:rsidRPr="0024327D" w:rsidRDefault="003612FA" w:rsidP="00501D25">
            <w:pPr>
              <w:rPr>
                <w:lang w:val="uk-UA"/>
              </w:rPr>
            </w:pPr>
            <w:r w:rsidRPr="0024327D">
              <w:rPr>
                <w:lang w:val="uk-UA"/>
              </w:rPr>
              <w:t>Змішана</w:t>
            </w:r>
            <w:r w:rsidR="00181285" w:rsidRPr="0024327D">
              <w:rPr>
                <w:lang w:val="uk-UA"/>
              </w:rPr>
              <w:t>.</w:t>
            </w:r>
          </w:p>
          <w:p w14:paraId="7937A244" w14:textId="435007B7" w:rsidR="009B311A" w:rsidRPr="0024327D" w:rsidRDefault="005B70D7" w:rsidP="00501D25">
            <w:pPr>
              <w:rPr>
                <w:lang w:val="uk-UA"/>
              </w:rPr>
            </w:pPr>
            <w:r w:rsidRPr="0024327D">
              <w:rPr>
                <w:lang w:val="uk-UA"/>
              </w:rPr>
              <w:t>За с</w:t>
            </w:r>
            <w:r w:rsidR="00D24AB8" w:rsidRPr="0024327D">
              <w:rPr>
                <w:lang w:val="uk-UA"/>
              </w:rPr>
              <w:t>ек’юритизації, забезпечен</w:t>
            </w:r>
            <w:r w:rsidRPr="0024327D">
              <w:rPr>
                <w:lang w:val="uk-UA"/>
              </w:rPr>
              <w:t>ими</w:t>
            </w:r>
            <w:r w:rsidR="00D24AB8" w:rsidRPr="0024327D">
              <w:rPr>
                <w:lang w:val="uk-UA"/>
              </w:rPr>
              <w:t xml:space="preserve"> </w:t>
            </w:r>
            <w:r w:rsidR="00A16F44" w:rsidRPr="0024327D">
              <w:rPr>
                <w:lang w:val="uk-UA"/>
              </w:rPr>
              <w:t>“</w:t>
            </w:r>
            <w:r w:rsidR="00D24AB8" w:rsidRPr="0024327D">
              <w:rPr>
                <w:lang w:val="uk-UA"/>
              </w:rPr>
              <w:t>першокласними</w:t>
            </w:r>
            <w:r w:rsidR="00472638" w:rsidRPr="0024327D">
              <w:rPr>
                <w:lang w:val="uk-UA"/>
              </w:rPr>
              <w:t>”</w:t>
            </w:r>
            <w:r w:rsidR="00D24AB8" w:rsidRPr="0024327D">
              <w:rPr>
                <w:lang w:val="uk-UA"/>
              </w:rPr>
              <w:t xml:space="preserve"> активами, у Європі </w:t>
            </w:r>
            <w:r w:rsidRPr="0024327D">
              <w:rPr>
                <w:lang w:val="uk-UA"/>
              </w:rPr>
              <w:t xml:space="preserve">були </w:t>
            </w:r>
            <w:r w:rsidR="00D24AB8" w:rsidRPr="0024327D">
              <w:rPr>
                <w:lang w:val="uk-UA"/>
              </w:rPr>
              <w:t>високі</w:t>
            </w:r>
            <w:r w:rsidRPr="0024327D">
              <w:rPr>
                <w:lang w:val="uk-UA"/>
              </w:rPr>
              <w:t xml:space="preserve"> показники виконання зобов’язань</w:t>
            </w:r>
            <w:r w:rsidR="00181285" w:rsidRPr="0024327D">
              <w:rPr>
                <w:lang w:val="uk-UA"/>
              </w:rPr>
              <w:t>.</w:t>
            </w:r>
          </w:p>
        </w:tc>
      </w:tr>
      <w:tr w:rsidR="00875146" w:rsidRPr="0024327D" w14:paraId="26EE7094" w14:textId="77777777" w:rsidTr="002B681C">
        <w:tc>
          <w:tcPr>
            <w:tcW w:w="0" w:type="auto"/>
          </w:tcPr>
          <w:p w14:paraId="017CF29A" w14:textId="49A489ED" w:rsidR="009B311A" w:rsidRPr="0024327D" w:rsidRDefault="00D24AB8" w:rsidP="00501D25">
            <w:pPr>
              <w:rPr>
                <w:b/>
                <w:lang w:val="uk-UA"/>
              </w:rPr>
            </w:pPr>
            <w:r w:rsidRPr="0024327D">
              <w:rPr>
                <w:b/>
                <w:lang w:val="uk-UA"/>
              </w:rPr>
              <w:t xml:space="preserve">Ефективність в умовах глобальної фінансової кризи </w:t>
            </w:r>
            <w:r w:rsidR="009B311A" w:rsidRPr="0024327D">
              <w:rPr>
                <w:b/>
                <w:lang w:val="uk-UA"/>
              </w:rPr>
              <w:t xml:space="preserve">– </w:t>
            </w:r>
            <w:r w:rsidRPr="0024327D">
              <w:rPr>
                <w:b/>
                <w:lang w:val="uk-UA"/>
              </w:rPr>
              <w:t xml:space="preserve">ліквідність </w:t>
            </w:r>
          </w:p>
        </w:tc>
        <w:tc>
          <w:tcPr>
            <w:tcW w:w="0" w:type="auto"/>
          </w:tcPr>
          <w:p w14:paraId="3173A44F" w14:textId="7044C2FF" w:rsidR="009B311A" w:rsidRPr="0024327D" w:rsidRDefault="008223FF" w:rsidP="00501D25">
            <w:pPr>
              <w:rPr>
                <w:lang w:val="uk-UA"/>
              </w:rPr>
            </w:pPr>
            <w:r w:rsidRPr="0024327D">
              <w:rPr>
                <w:lang w:val="uk-UA"/>
              </w:rPr>
              <w:t xml:space="preserve">Дуже </w:t>
            </w:r>
            <w:r w:rsidR="00DD0E9B" w:rsidRPr="0024327D">
              <w:rPr>
                <w:lang w:val="uk-UA"/>
              </w:rPr>
              <w:t>добра</w:t>
            </w:r>
            <w:r w:rsidR="009B311A" w:rsidRPr="0024327D">
              <w:rPr>
                <w:lang w:val="uk-UA"/>
              </w:rPr>
              <w:t xml:space="preserve">. </w:t>
            </w:r>
          </w:p>
          <w:p w14:paraId="3C73448A" w14:textId="782B4D68" w:rsidR="009B311A" w:rsidRPr="0024327D" w:rsidRDefault="00DD0E9B" w:rsidP="00501D25">
            <w:pPr>
              <w:rPr>
                <w:lang w:val="uk-UA"/>
              </w:rPr>
            </w:pPr>
            <w:r w:rsidRPr="0024327D">
              <w:rPr>
                <w:lang w:val="uk-UA"/>
              </w:rPr>
              <w:t>Здебільшого через наявність бази інвесторів з</w:t>
            </w:r>
            <w:r w:rsidR="00407E16" w:rsidRPr="0024327D">
              <w:rPr>
                <w:lang w:val="uk-UA"/>
              </w:rPr>
              <w:t xml:space="preserve"> власним інвестиційним капіталом.</w:t>
            </w:r>
          </w:p>
        </w:tc>
        <w:tc>
          <w:tcPr>
            <w:tcW w:w="0" w:type="auto"/>
          </w:tcPr>
          <w:p w14:paraId="2D193F4F" w14:textId="30FE10E7" w:rsidR="009B311A" w:rsidRPr="0024327D" w:rsidRDefault="00DD0E9B" w:rsidP="00501D25">
            <w:pPr>
              <w:rPr>
                <w:lang w:val="uk-UA"/>
              </w:rPr>
            </w:pPr>
            <w:r w:rsidRPr="0024327D">
              <w:rPr>
                <w:lang w:val="uk-UA"/>
              </w:rPr>
              <w:t>Погана</w:t>
            </w:r>
            <w:r w:rsidR="009B311A" w:rsidRPr="0024327D">
              <w:rPr>
                <w:lang w:val="uk-UA"/>
              </w:rPr>
              <w:t>.</w:t>
            </w:r>
          </w:p>
          <w:p w14:paraId="3C9E7B56" w14:textId="1CD8DEED" w:rsidR="009B311A" w:rsidRPr="0024327D" w:rsidRDefault="00DD0E9B" w:rsidP="00501D25">
            <w:pPr>
              <w:rPr>
                <w:lang w:val="uk-UA"/>
              </w:rPr>
            </w:pPr>
            <w:r w:rsidRPr="0024327D">
              <w:rPr>
                <w:lang w:val="uk-UA"/>
              </w:rPr>
              <w:t>Багато інвесторів, які використовують залучені кошти, були змушені кардинально зменшити залучення цього класу активів</w:t>
            </w:r>
            <w:r w:rsidR="00181285" w:rsidRPr="0024327D">
              <w:rPr>
                <w:lang w:val="uk-UA"/>
              </w:rPr>
              <w:t>.</w:t>
            </w:r>
          </w:p>
        </w:tc>
      </w:tr>
      <w:tr w:rsidR="00875146" w:rsidRPr="0024327D" w14:paraId="694978FB" w14:textId="77777777" w:rsidTr="002B681C">
        <w:tc>
          <w:tcPr>
            <w:tcW w:w="0" w:type="auto"/>
          </w:tcPr>
          <w:p w14:paraId="2461AB8B" w14:textId="217BDD94" w:rsidR="009B311A" w:rsidRPr="0024327D" w:rsidRDefault="002E578B" w:rsidP="00501D25">
            <w:pPr>
              <w:rPr>
                <w:b/>
                <w:lang w:val="uk-UA"/>
              </w:rPr>
            </w:pPr>
            <w:r w:rsidRPr="0024327D">
              <w:rPr>
                <w:b/>
                <w:lang w:val="uk-UA"/>
              </w:rPr>
              <w:lastRenderedPageBreak/>
              <w:t xml:space="preserve">Вплив на </w:t>
            </w:r>
            <w:r w:rsidR="004F6570" w:rsidRPr="0024327D">
              <w:rPr>
                <w:b/>
                <w:lang w:val="uk-UA"/>
              </w:rPr>
              <w:t xml:space="preserve">капітал </w:t>
            </w:r>
            <w:r w:rsidR="00643B4F" w:rsidRPr="0024327D">
              <w:rPr>
                <w:b/>
                <w:lang w:val="uk-UA"/>
              </w:rPr>
              <w:t>е</w:t>
            </w:r>
            <w:r w:rsidR="004F6570" w:rsidRPr="0024327D">
              <w:rPr>
                <w:b/>
                <w:lang w:val="uk-UA"/>
              </w:rPr>
              <w:t>мітента</w:t>
            </w:r>
            <w:r w:rsidR="00D901EB" w:rsidRPr="0024327D">
              <w:rPr>
                <w:b/>
                <w:lang w:val="uk-UA"/>
              </w:rPr>
              <w:t xml:space="preserve"> (</w:t>
            </w:r>
            <w:r w:rsidR="00602285" w:rsidRPr="0024327D">
              <w:rPr>
                <w:b/>
                <w:lang w:val="uk-UA"/>
              </w:rPr>
              <w:t>оригінатора)</w:t>
            </w:r>
          </w:p>
        </w:tc>
        <w:tc>
          <w:tcPr>
            <w:tcW w:w="0" w:type="auto"/>
          </w:tcPr>
          <w:p w14:paraId="51FEBBCD" w14:textId="140D4260" w:rsidR="009B311A" w:rsidRPr="0024327D" w:rsidRDefault="002E578B" w:rsidP="00501D25">
            <w:pPr>
              <w:rPr>
                <w:lang w:val="uk-UA"/>
              </w:rPr>
            </w:pPr>
            <w:r w:rsidRPr="0024327D">
              <w:rPr>
                <w:lang w:val="uk-UA"/>
              </w:rPr>
              <w:t xml:space="preserve">Не впливає на </w:t>
            </w:r>
            <w:r w:rsidR="00631BAC" w:rsidRPr="0024327D">
              <w:rPr>
                <w:lang w:val="uk-UA"/>
              </w:rPr>
              <w:t xml:space="preserve">показники </w:t>
            </w:r>
            <w:r w:rsidRPr="0024327D">
              <w:rPr>
                <w:lang w:val="uk-UA"/>
              </w:rPr>
              <w:t>капіталу.</w:t>
            </w:r>
          </w:p>
        </w:tc>
        <w:tc>
          <w:tcPr>
            <w:tcW w:w="0" w:type="auto"/>
          </w:tcPr>
          <w:p w14:paraId="34778C2D" w14:textId="0AD95D21" w:rsidR="009B311A" w:rsidRPr="0024327D" w:rsidRDefault="00C97F79" w:rsidP="00501D25">
            <w:pPr>
              <w:rPr>
                <w:lang w:val="uk-UA"/>
              </w:rPr>
            </w:pPr>
            <w:r w:rsidRPr="0024327D">
              <w:rPr>
                <w:lang w:val="uk-UA"/>
              </w:rPr>
              <w:t xml:space="preserve">Тиск на </w:t>
            </w:r>
            <w:r w:rsidR="0070151E" w:rsidRPr="0024327D">
              <w:rPr>
                <w:lang w:val="uk-UA"/>
              </w:rPr>
              <w:t xml:space="preserve">регулятивний </w:t>
            </w:r>
            <w:r w:rsidR="00DD0E9B" w:rsidRPr="0024327D">
              <w:rPr>
                <w:lang w:val="uk-UA"/>
              </w:rPr>
              <w:t xml:space="preserve">капітал </w:t>
            </w:r>
            <w:r w:rsidR="002E578B" w:rsidRPr="0024327D">
              <w:rPr>
                <w:lang w:val="uk-UA"/>
              </w:rPr>
              <w:t xml:space="preserve">зі сторони </w:t>
            </w:r>
            <w:r w:rsidR="00DD0E9B" w:rsidRPr="0024327D">
              <w:rPr>
                <w:lang w:val="uk-UA"/>
              </w:rPr>
              <w:t>активів</w:t>
            </w:r>
            <w:r w:rsidR="002E578B" w:rsidRPr="0024327D">
              <w:rPr>
                <w:lang w:val="uk-UA"/>
              </w:rPr>
              <w:t xml:space="preserve">, що передаються до </w:t>
            </w:r>
            <w:r w:rsidR="00631BAC" w:rsidRPr="0024327D">
              <w:rPr>
                <w:lang w:val="uk-UA"/>
              </w:rPr>
              <w:t>пулу</w:t>
            </w:r>
            <w:r w:rsidR="002E578B" w:rsidRPr="0024327D">
              <w:rPr>
                <w:lang w:val="uk-UA"/>
              </w:rPr>
              <w:t>,</w:t>
            </w:r>
            <w:r w:rsidR="00DD0E9B" w:rsidRPr="0024327D">
              <w:rPr>
                <w:lang w:val="uk-UA"/>
              </w:rPr>
              <w:t xml:space="preserve"> може бути</w:t>
            </w:r>
            <w:r w:rsidR="002E578B" w:rsidRPr="0024327D">
              <w:rPr>
                <w:lang w:val="uk-UA"/>
              </w:rPr>
              <w:t xml:space="preserve"> зменшений</w:t>
            </w:r>
            <w:r w:rsidR="00E42999" w:rsidRPr="0024327D">
              <w:rPr>
                <w:lang w:val="uk-UA"/>
              </w:rPr>
              <w:t xml:space="preserve"> в тій мірі, в якій</w:t>
            </w:r>
            <w:r w:rsidR="00DD0E9B" w:rsidRPr="0024327D">
              <w:rPr>
                <w:lang w:val="uk-UA"/>
              </w:rPr>
              <w:t xml:space="preserve"> ризик </w:t>
            </w:r>
            <w:r w:rsidR="002E578B" w:rsidRPr="0024327D">
              <w:rPr>
                <w:lang w:val="uk-UA"/>
              </w:rPr>
              <w:t xml:space="preserve">за такими активами </w:t>
            </w:r>
            <w:r w:rsidR="00DD0E9B" w:rsidRPr="0024327D">
              <w:rPr>
                <w:lang w:val="uk-UA"/>
              </w:rPr>
              <w:t>передається третій стороні</w:t>
            </w:r>
            <w:r w:rsidR="005075D9" w:rsidRPr="0024327D">
              <w:rPr>
                <w:lang w:val="uk-UA"/>
              </w:rPr>
              <w:t xml:space="preserve"> (інвесторам)</w:t>
            </w:r>
            <w:r w:rsidR="00181285" w:rsidRPr="0024327D">
              <w:rPr>
                <w:lang w:val="uk-UA"/>
              </w:rPr>
              <w:t>.</w:t>
            </w:r>
          </w:p>
        </w:tc>
      </w:tr>
      <w:tr w:rsidR="00875146" w:rsidRPr="0024327D" w14:paraId="04866AD3" w14:textId="77777777" w:rsidTr="002B681C">
        <w:tc>
          <w:tcPr>
            <w:tcW w:w="0" w:type="auto"/>
          </w:tcPr>
          <w:p w14:paraId="42B31ED5" w14:textId="749124B6" w:rsidR="009B311A" w:rsidRPr="0024327D" w:rsidRDefault="005075D9" w:rsidP="00501D25">
            <w:pPr>
              <w:rPr>
                <w:b/>
                <w:lang w:val="uk-UA"/>
              </w:rPr>
            </w:pPr>
            <w:r w:rsidRPr="0024327D">
              <w:rPr>
                <w:b/>
                <w:lang w:val="uk-UA"/>
              </w:rPr>
              <w:t xml:space="preserve">Співвідношення між </w:t>
            </w:r>
            <w:r w:rsidR="00944E1D" w:rsidRPr="0024327D">
              <w:rPr>
                <w:b/>
                <w:lang w:val="uk-UA"/>
              </w:rPr>
              <w:t>кредиторами</w:t>
            </w:r>
          </w:p>
        </w:tc>
        <w:tc>
          <w:tcPr>
            <w:tcW w:w="0" w:type="auto"/>
          </w:tcPr>
          <w:p w14:paraId="2B14B10B" w14:textId="7F3A5406" w:rsidR="008E5B22" w:rsidRPr="0024327D" w:rsidRDefault="008E5B22" w:rsidP="008E5B22">
            <w:pPr>
              <w:rPr>
                <w:lang w:val="uk-UA"/>
              </w:rPr>
            </w:pPr>
            <w:r w:rsidRPr="0024327D">
              <w:rPr>
                <w:lang w:val="uk-UA"/>
              </w:rPr>
              <w:t xml:space="preserve">Зазвичай </w:t>
            </w:r>
            <w:r w:rsidR="00442674" w:rsidRPr="0024327D">
              <w:rPr>
                <w:lang w:val="uk-UA"/>
              </w:rPr>
              <w:t xml:space="preserve">протягом строку дії </w:t>
            </w:r>
            <w:r w:rsidRPr="0024327D">
              <w:rPr>
                <w:lang w:val="uk-UA"/>
              </w:rPr>
              <w:t xml:space="preserve">однієї програми випускаються різні облігації </w:t>
            </w:r>
            <w:r w:rsidR="00E073B2" w:rsidRPr="0024327D">
              <w:rPr>
                <w:lang w:val="uk-UA"/>
              </w:rPr>
              <w:t xml:space="preserve">з покриттям </w:t>
            </w:r>
            <w:r w:rsidRPr="0024327D">
              <w:rPr>
                <w:lang w:val="uk-UA"/>
              </w:rPr>
              <w:t xml:space="preserve">з рівними умовами, забезпечені одним і тим </w:t>
            </w:r>
            <w:r w:rsidR="00EE3CF8" w:rsidRPr="0024327D">
              <w:rPr>
                <w:lang w:val="uk-UA"/>
              </w:rPr>
              <w:t>саме</w:t>
            </w:r>
            <w:r w:rsidRPr="0024327D">
              <w:rPr>
                <w:lang w:val="uk-UA"/>
              </w:rPr>
              <w:t xml:space="preserve"> пулом активів.</w:t>
            </w:r>
          </w:p>
          <w:p w14:paraId="1E060D84" w14:textId="615DF89C" w:rsidR="009B311A" w:rsidRPr="0024327D" w:rsidRDefault="008E5B22" w:rsidP="00181285">
            <w:pPr>
              <w:rPr>
                <w:lang w:val="uk-UA"/>
              </w:rPr>
            </w:pPr>
            <w:r w:rsidRPr="0024327D">
              <w:rPr>
                <w:lang w:val="uk-UA"/>
              </w:rPr>
              <w:t xml:space="preserve">Усі облігації </w:t>
            </w:r>
            <w:r w:rsidR="00E073B2" w:rsidRPr="0024327D">
              <w:rPr>
                <w:lang w:val="uk-UA"/>
              </w:rPr>
              <w:t xml:space="preserve">з покриттям </w:t>
            </w:r>
            <w:r w:rsidRPr="0024327D">
              <w:rPr>
                <w:lang w:val="uk-UA"/>
              </w:rPr>
              <w:t xml:space="preserve">мають однаковий рейтинг. В угодах між кредиторами </w:t>
            </w:r>
            <w:r w:rsidR="00EE3CF8" w:rsidRPr="0024327D">
              <w:rPr>
                <w:lang w:val="uk-UA"/>
              </w:rPr>
              <w:t xml:space="preserve">передбачаються </w:t>
            </w:r>
            <w:r w:rsidRPr="0024327D">
              <w:rPr>
                <w:lang w:val="uk-UA"/>
              </w:rPr>
              <w:t xml:space="preserve">заходи, що гарантують відсутність ризику </w:t>
            </w:r>
            <w:r w:rsidR="00472638" w:rsidRPr="0024327D">
              <w:rPr>
                <w:lang w:val="uk-UA"/>
              </w:rPr>
              <w:t>“</w:t>
            </w:r>
            <w:r w:rsidRPr="0024327D">
              <w:rPr>
                <w:lang w:val="uk-UA"/>
              </w:rPr>
              <w:t xml:space="preserve">підпорядкування </w:t>
            </w:r>
            <w:r w:rsidR="00EE3CF8" w:rsidRPr="0024327D">
              <w:rPr>
                <w:lang w:val="uk-UA"/>
              </w:rPr>
              <w:t xml:space="preserve">за </w:t>
            </w:r>
            <w:r w:rsidR="00EA2A32" w:rsidRPr="0024327D">
              <w:rPr>
                <w:lang w:val="uk-UA"/>
              </w:rPr>
              <w:t>строками</w:t>
            </w:r>
            <w:r w:rsidR="00472638" w:rsidRPr="0024327D">
              <w:rPr>
                <w:lang w:val="uk-UA"/>
              </w:rPr>
              <w:t>”</w:t>
            </w:r>
            <w:r w:rsidRPr="0024327D">
              <w:rPr>
                <w:lang w:val="uk-UA"/>
              </w:rPr>
              <w:t xml:space="preserve"> (</w:t>
            </w:r>
            <w:r w:rsidR="00CA1C34" w:rsidRPr="0024327D">
              <w:rPr>
                <w:lang w:val="uk-UA"/>
              </w:rPr>
              <w:t xml:space="preserve">коли </w:t>
            </w:r>
            <w:r w:rsidRPr="0024327D">
              <w:rPr>
                <w:lang w:val="uk-UA"/>
              </w:rPr>
              <w:t xml:space="preserve">облігації з </w:t>
            </w:r>
            <w:r w:rsidR="00EE3CF8" w:rsidRPr="0024327D">
              <w:rPr>
                <w:lang w:val="uk-UA"/>
              </w:rPr>
              <w:t xml:space="preserve">довшими строками погашення </w:t>
            </w:r>
            <w:r w:rsidR="00645A85" w:rsidRPr="0024327D">
              <w:rPr>
                <w:lang w:val="uk-UA"/>
              </w:rPr>
              <w:t xml:space="preserve">є фактично субординованими по відношенню до </w:t>
            </w:r>
            <w:r w:rsidR="00EE3CF8" w:rsidRPr="0024327D">
              <w:rPr>
                <w:lang w:val="uk-UA"/>
              </w:rPr>
              <w:t>облігацій з коротшими строками погашення</w:t>
            </w:r>
            <w:r w:rsidRPr="0024327D">
              <w:rPr>
                <w:lang w:val="uk-UA"/>
              </w:rPr>
              <w:t>).</w:t>
            </w:r>
          </w:p>
        </w:tc>
        <w:tc>
          <w:tcPr>
            <w:tcW w:w="0" w:type="auto"/>
          </w:tcPr>
          <w:p w14:paraId="69415180" w14:textId="6F75639E" w:rsidR="009B311A" w:rsidRPr="0024327D" w:rsidRDefault="00EE3CF8" w:rsidP="00501D25">
            <w:pPr>
              <w:rPr>
                <w:lang w:val="uk-UA"/>
              </w:rPr>
            </w:pPr>
            <w:r w:rsidRPr="0024327D">
              <w:rPr>
                <w:lang w:val="uk-UA"/>
              </w:rPr>
              <w:t xml:space="preserve">Облігації зазвичай поділяються на транші за </w:t>
            </w:r>
            <w:r w:rsidR="00CA1C34" w:rsidRPr="0024327D">
              <w:rPr>
                <w:lang w:val="uk-UA"/>
              </w:rPr>
              <w:t xml:space="preserve">черговістю погашення </w:t>
            </w:r>
            <w:r w:rsidRPr="0024327D">
              <w:rPr>
                <w:lang w:val="uk-UA"/>
              </w:rPr>
              <w:t xml:space="preserve">(облігації класу А </w:t>
            </w:r>
            <w:r w:rsidR="00F14014" w:rsidRPr="0024327D">
              <w:rPr>
                <w:lang w:val="uk-UA"/>
              </w:rPr>
              <w:t>мають вищий пріоритет, ніж облігації класу В та ніж облігації класу С</w:t>
            </w:r>
            <w:r w:rsidR="009B311A" w:rsidRPr="0024327D">
              <w:rPr>
                <w:lang w:val="uk-UA"/>
              </w:rPr>
              <w:t xml:space="preserve">). </w:t>
            </w:r>
          </w:p>
          <w:p w14:paraId="09E07F75" w14:textId="4F904611" w:rsidR="009B311A" w:rsidRPr="0024327D" w:rsidRDefault="00F14014" w:rsidP="00501D25">
            <w:pPr>
              <w:rPr>
                <w:lang w:val="uk-UA"/>
              </w:rPr>
            </w:pPr>
            <w:r w:rsidRPr="0024327D">
              <w:rPr>
                <w:lang w:val="uk-UA"/>
              </w:rPr>
              <w:t>За транш</w:t>
            </w:r>
            <w:r w:rsidR="0059681E" w:rsidRPr="0024327D">
              <w:rPr>
                <w:lang w:val="uk-UA"/>
              </w:rPr>
              <w:t>ами</w:t>
            </w:r>
            <w:r w:rsidRPr="0024327D">
              <w:rPr>
                <w:lang w:val="uk-UA"/>
              </w:rPr>
              <w:t xml:space="preserve"> з нижчим пріоритетом сплачується більший купонний дохід; вони мають </w:t>
            </w:r>
            <w:r w:rsidR="0059681E" w:rsidRPr="0024327D">
              <w:rPr>
                <w:lang w:val="uk-UA"/>
              </w:rPr>
              <w:t xml:space="preserve">нижчий </w:t>
            </w:r>
            <w:r w:rsidRPr="0024327D">
              <w:rPr>
                <w:lang w:val="uk-UA"/>
              </w:rPr>
              <w:t>кредитний рейтинг та довші строки погашення</w:t>
            </w:r>
            <w:r w:rsidR="009B311A" w:rsidRPr="0024327D">
              <w:rPr>
                <w:lang w:val="uk-UA"/>
              </w:rPr>
              <w:t xml:space="preserve">. </w:t>
            </w:r>
          </w:p>
        </w:tc>
      </w:tr>
    </w:tbl>
    <w:p w14:paraId="33BCC06C" w14:textId="6D17683D" w:rsidR="00C117ED" w:rsidRPr="0024327D" w:rsidRDefault="00DA32CB" w:rsidP="000E107C">
      <w:pPr>
        <w:pStyle w:val="2"/>
        <w:rPr>
          <w:lang w:val="uk-UA"/>
        </w:rPr>
      </w:pPr>
      <w:bookmarkStart w:id="21" w:name="_Toc27153425"/>
      <w:bookmarkStart w:id="22" w:name="_Toc95480970"/>
      <w:r w:rsidRPr="0024327D">
        <w:rPr>
          <w:lang w:val="uk-UA"/>
        </w:rPr>
        <w:t>Відмінність між</w:t>
      </w:r>
      <w:r w:rsidR="0038505C" w:rsidRPr="0024327D">
        <w:rPr>
          <w:lang w:val="uk-UA"/>
        </w:rPr>
        <w:t xml:space="preserve"> </w:t>
      </w:r>
      <w:r w:rsidR="00563325" w:rsidRPr="0024327D">
        <w:rPr>
          <w:lang w:val="uk-UA"/>
        </w:rPr>
        <w:t>облігаціями</w:t>
      </w:r>
      <w:r w:rsidR="00645A85" w:rsidRPr="0024327D">
        <w:rPr>
          <w:lang w:val="uk-UA"/>
        </w:rPr>
        <w:t xml:space="preserve"> з покриттям</w:t>
      </w:r>
      <w:r w:rsidR="00563325" w:rsidRPr="0024327D">
        <w:rPr>
          <w:lang w:val="uk-UA"/>
        </w:rPr>
        <w:t>, що</w:t>
      </w:r>
      <w:r w:rsidR="001A7CA7" w:rsidRPr="0024327D">
        <w:rPr>
          <w:lang w:val="uk-UA"/>
        </w:rPr>
        <w:t xml:space="preserve"> дають подвійне право вимоги</w:t>
      </w:r>
      <w:r w:rsidR="00FB76B4" w:rsidRPr="0024327D">
        <w:rPr>
          <w:lang w:val="uk-UA"/>
        </w:rPr>
        <w:t>,</w:t>
      </w:r>
      <w:r w:rsidR="00B50871" w:rsidRPr="0024327D">
        <w:rPr>
          <w:lang w:val="uk-UA"/>
        </w:rPr>
        <w:t xml:space="preserve"> </w:t>
      </w:r>
      <w:r w:rsidR="00563325" w:rsidRPr="0024327D">
        <w:rPr>
          <w:lang w:val="uk-UA"/>
        </w:rPr>
        <w:t xml:space="preserve">та сек’юритизацією, що за характером є </w:t>
      </w:r>
      <w:r w:rsidR="00472638" w:rsidRPr="0024327D">
        <w:rPr>
          <w:lang w:val="uk-UA"/>
        </w:rPr>
        <w:t>“</w:t>
      </w:r>
      <w:r w:rsidR="0038505C" w:rsidRPr="0024327D">
        <w:rPr>
          <w:lang w:val="uk-UA"/>
        </w:rPr>
        <w:t>передачею ризиків</w:t>
      </w:r>
      <w:r w:rsidR="00472638" w:rsidRPr="0024327D">
        <w:rPr>
          <w:lang w:val="uk-UA"/>
        </w:rPr>
        <w:t>”</w:t>
      </w:r>
      <w:bookmarkEnd w:id="21"/>
      <w:bookmarkEnd w:id="22"/>
    </w:p>
    <w:p w14:paraId="6B2EC9AC" w14:textId="674C0DE6" w:rsidR="00DD296D" w:rsidRPr="0024327D" w:rsidRDefault="00181160" w:rsidP="00614F63">
      <w:pPr>
        <w:rPr>
          <w:lang w:val="uk-UA"/>
        </w:rPr>
      </w:pPr>
      <w:r w:rsidRPr="0024327D">
        <w:rPr>
          <w:lang w:val="uk-UA"/>
        </w:rPr>
        <w:t>Ключов</w:t>
      </w:r>
      <w:r w:rsidR="00937BB9" w:rsidRPr="0024327D">
        <w:rPr>
          <w:lang w:val="uk-UA"/>
        </w:rPr>
        <w:t>а</w:t>
      </w:r>
      <w:r w:rsidRPr="0024327D">
        <w:rPr>
          <w:lang w:val="uk-UA"/>
        </w:rPr>
        <w:t xml:space="preserve"> відмінніст</w:t>
      </w:r>
      <w:r w:rsidR="00937BB9" w:rsidRPr="0024327D">
        <w:rPr>
          <w:lang w:val="uk-UA"/>
        </w:rPr>
        <w:t>ь</w:t>
      </w:r>
      <w:r w:rsidRPr="0024327D">
        <w:rPr>
          <w:lang w:val="uk-UA"/>
        </w:rPr>
        <w:t xml:space="preserve"> між продуктами, на як</w:t>
      </w:r>
      <w:r w:rsidR="00937BB9" w:rsidRPr="0024327D">
        <w:rPr>
          <w:lang w:val="uk-UA"/>
        </w:rPr>
        <w:t>ій</w:t>
      </w:r>
      <w:r w:rsidRPr="0024327D">
        <w:rPr>
          <w:lang w:val="uk-UA"/>
        </w:rPr>
        <w:t xml:space="preserve"> слід </w:t>
      </w:r>
      <w:r w:rsidR="00937BB9" w:rsidRPr="0024327D">
        <w:rPr>
          <w:lang w:val="uk-UA"/>
        </w:rPr>
        <w:t xml:space="preserve">акцентувати </w:t>
      </w:r>
      <w:r w:rsidRPr="0024327D">
        <w:rPr>
          <w:lang w:val="uk-UA"/>
        </w:rPr>
        <w:t xml:space="preserve">увагу, </w:t>
      </w:r>
      <w:r w:rsidR="00937BB9" w:rsidRPr="0024327D">
        <w:rPr>
          <w:lang w:val="uk-UA"/>
        </w:rPr>
        <w:t>полягає у тому</w:t>
      </w:r>
      <w:r w:rsidRPr="0024327D">
        <w:rPr>
          <w:lang w:val="uk-UA"/>
        </w:rPr>
        <w:t xml:space="preserve">, що облігації </w:t>
      </w:r>
      <w:r w:rsidR="006E26A2" w:rsidRPr="0024327D">
        <w:rPr>
          <w:lang w:val="uk-UA"/>
        </w:rPr>
        <w:t xml:space="preserve">з покриттям </w:t>
      </w:r>
      <w:r w:rsidRPr="0024327D">
        <w:rPr>
          <w:lang w:val="uk-UA"/>
        </w:rPr>
        <w:t xml:space="preserve">на відміну від сек’юритизації </w:t>
      </w:r>
      <w:r w:rsidR="00937BB9" w:rsidRPr="0024327D">
        <w:rPr>
          <w:lang w:val="uk-UA"/>
        </w:rPr>
        <w:t xml:space="preserve">не </w:t>
      </w:r>
      <w:r w:rsidR="006E26A2" w:rsidRPr="0024327D">
        <w:rPr>
          <w:lang w:val="uk-UA"/>
        </w:rPr>
        <w:t xml:space="preserve">передбачають </w:t>
      </w:r>
      <w:r w:rsidR="002F3FB1" w:rsidRPr="0024327D">
        <w:rPr>
          <w:lang w:val="uk-UA"/>
        </w:rPr>
        <w:t xml:space="preserve">передачу </w:t>
      </w:r>
      <w:r w:rsidRPr="0024327D">
        <w:rPr>
          <w:lang w:val="uk-UA"/>
        </w:rPr>
        <w:t>ризик</w:t>
      </w:r>
      <w:r w:rsidR="002F3FB1" w:rsidRPr="0024327D">
        <w:rPr>
          <w:lang w:val="uk-UA"/>
        </w:rPr>
        <w:t>у активів</w:t>
      </w:r>
      <w:r w:rsidRPr="0024327D">
        <w:rPr>
          <w:lang w:val="uk-UA"/>
        </w:rPr>
        <w:t xml:space="preserve"> з балансу </w:t>
      </w:r>
      <w:r w:rsidR="00AE5178" w:rsidRPr="0024327D">
        <w:rPr>
          <w:lang w:val="uk-UA"/>
        </w:rPr>
        <w:t>оригінатора</w:t>
      </w:r>
      <w:r w:rsidRPr="0024327D">
        <w:rPr>
          <w:lang w:val="uk-UA"/>
        </w:rPr>
        <w:t xml:space="preserve">. Це має наслідки з точки зору </w:t>
      </w:r>
      <w:r w:rsidR="0005735E" w:rsidRPr="0024327D">
        <w:rPr>
          <w:lang w:val="uk-UA"/>
        </w:rPr>
        <w:t>оригінатора</w:t>
      </w:r>
      <w:r w:rsidRPr="0024327D">
        <w:rPr>
          <w:lang w:val="uk-UA"/>
        </w:rPr>
        <w:t>, інвестора та клієнтів,</w:t>
      </w:r>
      <w:r w:rsidR="00DA32CB" w:rsidRPr="0024327D">
        <w:rPr>
          <w:lang w:val="uk-UA"/>
        </w:rPr>
        <w:t xml:space="preserve"> чия</w:t>
      </w:r>
      <w:r w:rsidRPr="0024327D">
        <w:rPr>
          <w:lang w:val="uk-UA"/>
        </w:rPr>
        <w:t xml:space="preserve"> заборгованість в</w:t>
      </w:r>
      <w:r w:rsidR="00DA32CB" w:rsidRPr="0024327D">
        <w:rPr>
          <w:lang w:val="uk-UA"/>
        </w:rPr>
        <w:t>ходить до складу пулу</w:t>
      </w:r>
      <w:r w:rsidR="00DD296D" w:rsidRPr="0024327D">
        <w:rPr>
          <w:lang w:val="uk-UA"/>
        </w:rPr>
        <w:t xml:space="preserve">. </w:t>
      </w:r>
    </w:p>
    <w:p w14:paraId="7CFBAE89" w14:textId="7CA5E36C" w:rsidR="00C117ED" w:rsidRPr="0024327D" w:rsidRDefault="00DA3283" w:rsidP="000E107C">
      <w:pPr>
        <w:pStyle w:val="3"/>
        <w:rPr>
          <w:lang w:val="uk-UA"/>
        </w:rPr>
      </w:pPr>
      <w:bookmarkStart w:id="23" w:name="_Toc27153426"/>
      <w:bookmarkStart w:id="24" w:name="_Toc95480971"/>
      <w:r w:rsidRPr="0024327D">
        <w:rPr>
          <w:lang w:val="uk-UA"/>
        </w:rPr>
        <w:t>Оригінатор</w:t>
      </w:r>
      <w:bookmarkEnd w:id="23"/>
      <w:bookmarkEnd w:id="24"/>
    </w:p>
    <w:p w14:paraId="0F4E511D" w14:textId="106F5DBB" w:rsidR="0038505C" w:rsidRPr="0024327D" w:rsidRDefault="0038505C" w:rsidP="00614F63">
      <w:pPr>
        <w:rPr>
          <w:lang w:val="uk-UA"/>
        </w:rPr>
      </w:pPr>
      <w:r w:rsidRPr="0024327D">
        <w:rPr>
          <w:lang w:val="uk-UA"/>
        </w:rPr>
        <w:t xml:space="preserve">Передача частини </w:t>
      </w:r>
      <w:r w:rsidR="00177482" w:rsidRPr="0024327D">
        <w:rPr>
          <w:lang w:val="uk-UA"/>
        </w:rPr>
        <w:t>(</w:t>
      </w:r>
      <w:r w:rsidR="00B16FDB" w:rsidRPr="0024327D">
        <w:rPr>
          <w:lang w:val="uk-UA"/>
        </w:rPr>
        <w:t>з урахуванням вимог щодо збереження ризику)</w:t>
      </w:r>
      <w:r w:rsidR="00177482" w:rsidRPr="0024327D">
        <w:rPr>
          <w:lang w:val="uk-UA"/>
        </w:rPr>
        <w:t xml:space="preserve"> </w:t>
      </w:r>
      <w:r w:rsidRPr="0024327D">
        <w:rPr>
          <w:lang w:val="uk-UA"/>
        </w:rPr>
        <w:t>кредитн</w:t>
      </w:r>
      <w:r w:rsidR="00B16FDB" w:rsidRPr="0024327D">
        <w:rPr>
          <w:lang w:val="uk-UA"/>
        </w:rPr>
        <w:t>ого</w:t>
      </w:r>
      <w:r w:rsidRPr="0024327D">
        <w:rPr>
          <w:lang w:val="uk-UA"/>
        </w:rPr>
        <w:t xml:space="preserve"> ризик</w:t>
      </w:r>
      <w:r w:rsidR="00B16FDB" w:rsidRPr="0024327D">
        <w:rPr>
          <w:lang w:val="uk-UA"/>
        </w:rPr>
        <w:t>у активів</w:t>
      </w:r>
      <w:r w:rsidRPr="0024327D">
        <w:rPr>
          <w:lang w:val="uk-UA"/>
        </w:rPr>
        <w:t xml:space="preserve"> дозволяє використовувати сек'юритизацію як інструмент управління ризиками</w:t>
      </w:r>
      <w:r w:rsidRPr="0024327D">
        <w:rPr>
          <w:rStyle w:val="af2"/>
          <w:lang w:val="uk-UA"/>
        </w:rPr>
        <w:footnoteReference w:id="10"/>
      </w:r>
      <w:r w:rsidRPr="0024327D">
        <w:rPr>
          <w:lang w:val="uk-UA"/>
        </w:rPr>
        <w:t xml:space="preserve">, наприклад, для зменшення </w:t>
      </w:r>
      <w:r w:rsidR="00246BBD" w:rsidRPr="0024327D">
        <w:rPr>
          <w:lang w:val="uk-UA"/>
        </w:rPr>
        <w:t xml:space="preserve">показників кредитного </w:t>
      </w:r>
      <w:r w:rsidRPr="0024327D">
        <w:rPr>
          <w:lang w:val="uk-UA"/>
        </w:rPr>
        <w:t>ризик</w:t>
      </w:r>
      <w:r w:rsidR="00246BBD" w:rsidRPr="0024327D">
        <w:rPr>
          <w:lang w:val="uk-UA"/>
        </w:rPr>
        <w:t>у</w:t>
      </w:r>
      <w:r w:rsidRPr="0024327D">
        <w:rPr>
          <w:lang w:val="uk-UA"/>
        </w:rPr>
        <w:t xml:space="preserve"> </w:t>
      </w:r>
      <w:r w:rsidR="00246BBD" w:rsidRPr="0024327D">
        <w:rPr>
          <w:lang w:val="uk-UA"/>
        </w:rPr>
        <w:t xml:space="preserve">на </w:t>
      </w:r>
      <w:r w:rsidRPr="0024327D">
        <w:rPr>
          <w:lang w:val="uk-UA"/>
        </w:rPr>
        <w:t>окрем</w:t>
      </w:r>
      <w:r w:rsidR="00246BBD" w:rsidRPr="0024327D">
        <w:rPr>
          <w:lang w:val="uk-UA"/>
        </w:rPr>
        <w:t>ого</w:t>
      </w:r>
      <w:r w:rsidR="005D5A42" w:rsidRPr="0024327D">
        <w:rPr>
          <w:lang w:val="uk-UA"/>
        </w:rPr>
        <w:t xml:space="preserve"> </w:t>
      </w:r>
      <w:r w:rsidRPr="0024327D">
        <w:rPr>
          <w:lang w:val="uk-UA"/>
        </w:rPr>
        <w:t>позичальник</w:t>
      </w:r>
      <w:r w:rsidR="005D5A42" w:rsidRPr="0024327D">
        <w:rPr>
          <w:lang w:val="uk-UA"/>
        </w:rPr>
        <w:t>а</w:t>
      </w:r>
      <w:r w:rsidRPr="0024327D">
        <w:rPr>
          <w:lang w:val="uk-UA"/>
        </w:rPr>
        <w:t xml:space="preserve"> або для зменшення </w:t>
      </w:r>
      <w:r w:rsidR="007959E1" w:rsidRPr="0024327D">
        <w:rPr>
          <w:lang w:val="uk-UA"/>
        </w:rPr>
        <w:t xml:space="preserve">вимог до </w:t>
      </w:r>
      <w:r w:rsidRPr="0024327D">
        <w:rPr>
          <w:lang w:val="uk-UA"/>
        </w:rPr>
        <w:t>капіталу</w:t>
      </w:r>
      <w:r w:rsidR="007959E1" w:rsidRPr="0024327D">
        <w:rPr>
          <w:lang w:val="uk-UA"/>
        </w:rPr>
        <w:t>.</w:t>
      </w:r>
      <w:r w:rsidRPr="0024327D">
        <w:rPr>
          <w:lang w:val="uk-UA"/>
        </w:rPr>
        <w:t xml:space="preserve"> Якщо передача ризику </w:t>
      </w:r>
      <w:r w:rsidR="007959E1" w:rsidRPr="0024327D">
        <w:rPr>
          <w:lang w:val="uk-UA"/>
        </w:rPr>
        <w:t xml:space="preserve">відповідає </w:t>
      </w:r>
      <w:r w:rsidR="00650C17" w:rsidRPr="0024327D">
        <w:rPr>
          <w:lang w:val="uk-UA"/>
        </w:rPr>
        <w:t>вимогам</w:t>
      </w:r>
      <w:r w:rsidRPr="0024327D">
        <w:rPr>
          <w:lang w:val="uk-UA"/>
        </w:rPr>
        <w:t xml:space="preserve">, </w:t>
      </w:r>
      <w:r w:rsidR="001D2CA6" w:rsidRPr="0024327D">
        <w:rPr>
          <w:lang w:val="uk-UA"/>
        </w:rPr>
        <w:t xml:space="preserve">оригінатор </w:t>
      </w:r>
      <w:r w:rsidRPr="0024327D">
        <w:rPr>
          <w:lang w:val="uk-UA"/>
        </w:rPr>
        <w:t xml:space="preserve">матиме право зменшити </w:t>
      </w:r>
      <w:r w:rsidR="00656FA4" w:rsidRPr="0024327D">
        <w:rPr>
          <w:lang w:val="uk-UA"/>
        </w:rPr>
        <w:t xml:space="preserve">тиск на </w:t>
      </w:r>
      <w:r w:rsidR="00650C17" w:rsidRPr="0024327D">
        <w:rPr>
          <w:lang w:val="uk-UA"/>
        </w:rPr>
        <w:t xml:space="preserve">регулятивний </w:t>
      </w:r>
      <w:r w:rsidRPr="0024327D">
        <w:rPr>
          <w:lang w:val="uk-UA"/>
        </w:rPr>
        <w:t xml:space="preserve">капітал, </w:t>
      </w:r>
      <w:r w:rsidR="00031D42" w:rsidRPr="0024327D">
        <w:rPr>
          <w:lang w:val="uk-UA"/>
        </w:rPr>
        <w:t>який відповідає переданим активам.</w:t>
      </w:r>
    </w:p>
    <w:p w14:paraId="343F4269" w14:textId="5E8A95B5" w:rsidR="001A554E" w:rsidRPr="0024327D" w:rsidRDefault="0038505C" w:rsidP="004C37C0">
      <w:pPr>
        <w:rPr>
          <w:lang w:val="uk-UA"/>
        </w:rPr>
      </w:pPr>
      <w:r w:rsidRPr="0024327D">
        <w:rPr>
          <w:lang w:val="uk-UA"/>
        </w:rPr>
        <w:t xml:space="preserve">Передача всіх ризиків, пов’язаних з активами, може виявитися проблематичною з точки зору пруденційного регулювання, оскільки це зменшить стимули для належного управління ризиками </w:t>
      </w:r>
      <w:r w:rsidRPr="0024327D">
        <w:rPr>
          <w:lang w:val="uk-UA"/>
        </w:rPr>
        <w:lastRenderedPageBreak/>
        <w:t>при створенні активів</w:t>
      </w:r>
      <w:r w:rsidR="00031D42" w:rsidRPr="0024327D">
        <w:rPr>
          <w:lang w:val="uk-UA"/>
        </w:rPr>
        <w:t xml:space="preserve"> (початковій видачі кредитів)</w:t>
      </w:r>
      <w:r w:rsidRPr="0024327D">
        <w:rPr>
          <w:lang w:val="uk-UA"/>
        </w:rPr>
        <w:t xml:space="preserve">, що будуть предметом сек’юритизації. У більшості випадків </w:t>
      </w:r>
      <w:r w:rsidR="00947037" w:rsidRPr="0024327D">
        <w:rPr>
          <w:lang w:val="uk-UA"/>
        </w:rPr>
        <w:t xml:space="preserve">законодавство </w:t>
      </w:r>
      <w:r w:rsidRPr="0024327D">
        <w:rPr>
          <w:lang w:val="uk-UA"/>
        </w:rPr>
        <w:t>обмежу</w:t>
      </w:r>
      <w:r w:rsidR="00F8160A" w:rsidRPr="0024327D">
        <w:rPr>
          <w:lang w:val="uk-UA"/>
        </w:rPr>
        <w:t>є</w:t>
      </w:r>
      <w:r w:rsidRPr="0024327D">
        <w:rPr>
          <w:lang w:val="uk-UA"/>
        </w:rPr>
        <w:t xml:space="preserve"> ризик, який може бути переданий, вимагаючи від</w:t>
      </w:r>
      <w:r w:rsidR="00BC5095" w:rsidRPr="0024327D">
        <w:rPr>
          <w:lang w:val="uk-UA"/>
        </w:rPr>
        <w:t xml:space="preserve"> </w:t>
      </w:r>
      <w:r w:rsidR="00AB2B5E" w:rsidRPr="0024327D">
        <w:rPr>
          <w:lang w:val="uk-UA"/>
        </w:rPr>
        <w:t xml:space="preserve">оригінатора </w:t>
      </w:r>
      <w:r w:rsidR="00E4488D" w:rsidRPr="0024327D">
        <w:rPr>
          <w:lang w:val="uk-UA"/>
        </w:rPr>
        <w:t xml:space="preserve">зберігати </w:t>
      </w:r>
      <w:r w:rsidR="00BC5095" w:rsidRPr="0024327D">
        <w:rPr>
          <w:lang w:val="uk-UA"/>
        </w:rPr>
        <w:t>ризик</w:t>
      </w:r>
      <w:r w:rsidR="00E4488D" w:rsidRPr="0024327D">
        <w:rPr>
          <w:lang w:val="uk-UA"/>
        </w:rPr>
        <w:t xml:space="preserve"> за як мінімум 5% включених до забезпечення активів, при чому в найбільш субординованому транші</w:t>
      </w:r>
      <w:r w:rsidR="001A554E" w:rsidRPr="0024327D">
        <w:rPr>
          <w:lang w:val="uk-UA"/>
        </w:rPr>
        <w:t>.</w:t>
      </w:r>
      <w:r w:rsidR="00DC425A" w:rsidRPr="0024327D">
        <w:rPr>
          <w:rStyle w:val="af2"/>
          <w:lang w:val="uk-UA"/>
        </w:rPr>
        <w:footnoteReference w:id="11"/>
      </w:r>
      <w:r w:rsidR="001A554E" w:rsidRPr="0024327D">
        <w:rPr>
          <w:lang w:val="uk-UA"/>
        </w:rPr>
        <w:t xml:space="preserve"> </w:t>
      </w:r>
    </w:p>
    <w:p w14:paraId="79E38ACF" w14:textId="49E51EE9" w:rsidR="00DD296D" w:rsidRPr="0024327D" w:rsidRDefault="004C37C0" w:rsidP="000E107C">
      <w:pPr>
        <w:pStyle w:val="3"/>
        <w:rPr>
          <w:lang w:val="uk-UA"/>
        </w:rPr>
      </w:pPr>
      <w:bookmarkStart w:id="25" w:name="_Toc95480972"/>
      <w:r w:rsidRPr="0024327D">
        <w:rPr>
          <w:lang w:val="uk-UA"/>
        </w:rPr>
        <w:t>Інвестор</w:t>
      </w:r>
      <w:bookmarkEnd w:id="25"/>
    </w:p>
    <w:p w14:paraId="2A2B8F0A" w14:textId="2008F28A" w:rsidR="004C37C0" w:rsidRPr="0024327D" w:rsidRDefault="009B7192" w:rsidP="00614F63">
      <w:pPr>
        <w:rPr>
          <w:lang w:val="uk-UA"/>
        </w:rPr>
      </w:pPr>
      <w:r w:rsidRPr="0024327D">
        <w:rPr>
          <w:lang w:val="uk-UA"/>
        </w:rPr>
        <w:t xml:space="preserve">Хоча </w:t>
      </w:r>
      <w:r w:rsidR="008E6FFB" w:rsidRPr="0024327D">
        <w:rPr>
          <w:lang w:val="uk-UA"/>
        </w:rPr>
        <w:t>залежно від</w:t>
      </w:r>
      <w:r w:rsidRPr="0024327D">
        <w:rPr>
          <w:lang w:val="uk-UA"/>
        </w:rPr>
        <w:t xml:space="preserve"> структурування та застосовн</w:t>
      </w:r>
      <w:r w:rsidR="008E6FFB" w:rsidRPr="0024327D">
        <w:rPr>
          <w:lang w:val="uk-UA"/>
        </w:rPr>
        <w:t>их</w:t>
      </w:r>
      <w:r w:rsidRPr="0024327D">
        <w:rPr>
          <w:lang w:val="uk-UA"/>
        </w:rPr>
        <w:t xml:space="preserve"> </w:t>
      </w:r>
      <w:r w:rsidR="008E6FFB" w:rsidRPr="0024327D">
        <w:rPr>
          <w:lang w:val="uk-UA"/>
        </w:rPr>
        <w:t>запобіжників</w:t>
      </w:r>
      <w:r w:rsidR="009D4537" w:rsidRPr="0024327D">
        <w:rPr>
          <w:lang w:val="uk-UA"/>
        </w:rPr>
        <w:t xml:space="preserve"> облігації, випущені внаслідок сек’юритизації</w:t>
      </w:r>
      <w:r w:rsidR="00EB14DA" w:rsidRPr="0024327D">
        <w:rPr>
          <w:lang w:val="uk-UA"/>
        </w:rPr>
        <w:t>,</w:t>
      </w:r>
      <w:r w:rsidR="009D4537" w:rsidRPr="0024327D">
        <w:rPr>
          <w:lang w:val="uk-UA"/>
        </w:rPr>
        <w:t xml:space="preserve"> можуть бути такі ж безпечні, як і облігації з покриттям,</w:t>
      </w:r>
      <w:r w:rsidR="00A02A40" w:rsidRPr="0024327D">
        <w:rPr>
          <w:lang w:val="uk-UA"/>
        </w:rPr>
        <w:t xml:space="preserve"> </w:t>
      </w:r>
      <w:r w:rsidR="004C37C0" w:rsidRPr="0024327D">
        <w:rPr>
          <w:lang w:val="uk-UA"/>
        </w:rPr>
        <w:t xml:space="preserve">відсутність передачі ризику </w:t>
      </w:r>
      <w:r w:rsidR="00A02A40" w:rsidRPr="0024327D">
        <w:rPr>
          <w:lang w:val="uk-UA"/>
        </w:rPr>
        <w:t xml:space="preserve">за </w:t>
      </w:r>
      <w:r w:rsidR="00645A85" w:rsidRPr="0024327D">
        <w:rPr>
          <w:lang w:val="uk-UA"/>
        </w:rPr>
        <w:t>облігаціями з покриттям</w:t>
      </w:r>
      <w:r w:rsidR="00597DCA" w:rsidRPr="0024327D">
        <w:rPr>
          <w:lang w:val="uk-UA"/>
        </w:rPr>
        <w:t>, зазвичай,</w:t>
      </w:r>
      <w:r w:rsidR="004C37C0" w:rsidRPr="0024327D">
        <w:rPr>
          <w:lang w:val="uk-UA"/>
        </w:rPr>
        <w:t xml:space="preserve"> </w:t>
      </w:r>
      <w:r w:rsidR="0069264C" w:rsidRPr="0024327D">
        <w:rPr>
          <w:lang w:val="uk-UA"/>
        </w:rPr>
        <w:t xml:space="preserve">роблять </w:t>
      </w:r>
      <w:r w:rsidR="00A02A40" w:rsidRPr="0024327D">
        <w:rPr>
          <w:lang w:val="uk-UA"/>
        </w:rPr>
        <w:t xml:space="preserve">цей </w:t>
      </w:r>
      <w:r w:rsidR="00EA2A32" w:rsidRPr="0024327D">
        <w:rPr>
          <w:lang w:val="uk-UA"/>
        </w:rPr>
        <w:t>інструмент</w:t>
      </w:r>
      <w:r w:rsidR="004C37C0" w:rsidRPr="0024327D">
        <w:rPr>
          <w:lang w:val="uk-UA"/>
        </w:rPr>
        <w:t xml:space="preserve"> </w:t>
      </w:r>
      <w:r w:rsidR="00A02A40" w:rsidRPr="0024327D">
        <w:rPr>
          <w:lang w:val="uk-UA"/>
        </w:rPr>
        <w:t xml:space="preserve"> </w:t>
      </w:r>
      <w:r w:rsidR="004C37C0" w:rsidRPr="0024327D">
        <w:rPr>
          <w:lang w:val="uk-UA"/>
        </w:rPr>
        <w:t xml:space="preserve">безпечнішим, ніж сек'юритизація. Це, як правило, відображається </w:t>
      </w:r>
      <w:r w:rsidR="00A02A40" w:rsidRPr="0024327D">
        <w:rPr>
          <w:lang w:val="uk-UA"/>
        </w:rPr>
        <w:t xml:space="preserve">у меншій </w:t>
      </w:r>
      <w:r w:rsidR="00E6026B" w:rsidRPr="0024327D">
        <w:rPr>
          <w:lang w:val="uk-UA"/>
        </w:rPr>
        <w:t xml:space="preserve">дохідності </w:t>
      </w:r>
      <w:r w:rsidR="004C37C0" w:rsidRPr="0024327D">
        <w:rPr>
          <w:lang w:val="uk-UA"/>
        </w:rPr>
        <w:t>облігацій</w:t>
      </w:r>
      <w:r w:rsidR="00E6026B" w:rsidRPr="0024327D">
        <w:rPr>
          <w:lang w:val="uk-UA"/>
        </w:rPr>
        <w:t xml:space="preserve"> з покриттям</w:t>
      </w:r>
      <w:r w:rsidR="004C37C0" w:rsidRPr="0024327D">
        <w:rPr>
          <w:lang w:val="uk-UA"/>
        </w:rPr>
        <w:t xml:space="preserve">, кращому пруденційному </w:t>
      </w:r>
      <w:r w:rsidR="009E058D" w:rsidRPr="0024327D">
        <w:rPr>
          <w:lang w:val="uk-UA"/>
        </w:rPr>
        <w:t xml:space="preserve">статусі облігацій з покриттям </w:t>
      </w:r>
      <w:r w:rsidR="004C37C0" w:rsidRPr="0024327D">
        <w:rPr>
          <w:lang w:val="uk-UA"/>
        </w:rPr>
        <w:t>для інвесторів</w:t>
      </w:r>
      <w:r w:rsidR="009E058D" w:rsidRPr="0024327D">
        <w:rPr>
          <w:lang w:val="uk-UA"/>
        </w:rPr>
        <w:t>, які є регульованими фінансовими установами,</w:t>
      </w:r>
      <w:r w:rsidR="004C37C0" w:rsidRPr="0024327D">
        <w:rPr>
          <w:lang w:val="uk-UA"/>
        </w:rPr>
        <w:t xml:space="preserve"> та </w:t>
      </w:r>
      <w:r w:rsidR="000E1BBF" w:rsidRPr="0024327D">
        <w:rPr>
          <w:lang w:val="uk-UA"/>
        </w:rPr>
        <w:t xml:space="preserve">ширшому колі </w:t>
      </w:r>
      <w:r w:rsidR="004C37C0" w:rsidRPr="0024327D">
        <w:rPr>
          <w:lang w:val="uk-UA"/>
        </w:rPr>
        <w:t xml:space="preserve">інвесторів, готових </w:t>
      </w:r>
      <w:r w:rsidR="009E058D" w:rsidRPr="0024327D">
        <w:rPr>
          <w:lang w:val="uk-UA"/>
        </w:rPr>
        <w:t xml:space="preserve">інвестувати </w:t>
      </w:r>
      <w:r w:rsidR="00203838" w:rsidRPr="0024327D">
        <w:rPr>
          <w:lang w:val="uk-UA"/>
        </w:rPr>
        <w:t xml:space="preserve">в </w:t>
      </w:r>
      <w:r w:rsidR="004C37C0" w:rsidRPr="0024327D">
        <w:rPr>
          <w:lang w:val="uk-UA"/>
        </w:rPr>
        <w:t>облігації</w:t>
      </w:r>
      <w:r w:rsidR="009E058D" w:rsidRPr="0024327D">
        <w:rPr>
          <w:lang w:val="uk-UA"/>
        </w:rPr>
        <w:t xml:space="preserve"> з покриттям</w:t>
      </w:r>
      <w:r w:rsidR="004C37C0" w:rsidRPr="0024327D">
        <w:rPr>
          <w:lang w:val="uk-UA"/>
        </w:rPr>
        <w:t>.</w:t>
      </w:r>
    </w:p>
    <w:p w14:paraId="2AD71B5B" w14:textId="60853F2E" w:rsidR="001A554E" w:rsidRPr="0024327D" w:rsidRDefault="001E3CDC" w:rsidP="00A02A40">
      <w:pPr>
        <w:rPr>
          <w:lang w:val="uk-UA"/>
        </w:rPr>
      </w:pPr>
      <w:r w:rsidRPr="0024327D">
        <w:rPr>
          <w:lang w:val="uk-UA"/>
        </w:rPr>
        <w:t>Перевірка</w:t>
      </w:r>
      <w:r w:rsidR="002A561F" w:rsidRPr="0024327D">
        <w:rPr>
          <w:lang w:val="uk-UA"/>
        </w:rPr>
        <w:t xml:space="preserve">, що проводиться окремим інвестором </w:t>
      </w:r>
      <w:r w:rsidR="00FE1A83" w:rsidRPr="0024327D">
        <w:rPr>
          <w:lang w:val="uk-UA"/>
        </w:rPr>
        <w:t>щодо активів, які входять до пулу покриття</w:t>
      </w:r>
      <w:r w:rsidR="00A02A40" w:rsidRPr="0024327D">
        <w:rPr>
          <w:lang w:val="uk-UA"/>
        </w:rPr>
        <w:t>, як правило, менш</w:t>
      </w:r>
      <w:r w:rsidR="004A72B3" w:rsidRPr="0024327D">
        <w:rPr>
          <w:lang w:val="uk-UA"/>
        </w:rPr>
        <w:t>а</w:t>
      </w:r>
      <w:r w:rsidR="00A02A40" w:rsidRPr="0024327D">
        <w:rPr>
          <w:lang w:val="uk-UA"/>
        </w:rPr>
        <w:t xml:space="preserve"> за обсягом при облігаціях </w:t>
      </w:r>
      <w:r w:rsidR="007F1802" w:rsidRPr="0024327D">
        <w:rPr>
          <w:lang w:val="uk-UA"/>
        </w:rPr>
        <w:t xml:space="preserve">з покриттям </w:t>
      </w:r>
      <w:r w:rsidR="00A02A40" w:rsidRPr="0024327D">
        <w:rPr>
          <w:lang w:val="uk-UA"/>
        </w:rPr>
        <w:t xml:space="preserve">через </w:t>
      </w:r>
      <w:r w:rsidR="007F1802" w:rsidRPr="0024327D">
        <w:rPr>
          <w:lang w:val="uk-UA"/>
        </w:rPr>
        <w:t>те, що ризик за активами в пулі не передається на інвестора.</w:t>
      </w:r>
      <w:r w:rsidR="00A02A40" w:rsidRPr="0024327D">
        <w:rPr>
          <w:lang w:val="uk-UA"/>
        </w:rPr>
        <w:t xml:space="preserve"> </w:t>
      </w:r>
      <w:r w:rsidR="004A72B3" w:rsidRPr="0024327D">
        <w:rPr>
          <w:lang w:val="uk-UA"/>
        </w:rPr>
        <w:t>У</w:t>
      </w:r>
      <w:r w:rsidR="009F69F6" w:rsidRPr="0024327D">
        <w:rPr>
          <w:lang w:val="uk-UA"/>
        </w:rPr>
        <w:t xml:space="preserve"> структурах сек’юритизації і</w:t>
      </w:r>
      <w:r w:rsidR="00A02A40" w:rsidRPr="0024327D">
        <w:rPr>
          <w:lang w:val="uk-UA"/>
        </w:rPr>
        <w:t xml:space="preserve">нвестори зазвичай проводять більш поглиблене кредитне моделювання сек'юритизованих активів та аналіз </w:t>
      </w:r>
      <w:r w:rsidR="00090D75" w:rsidRPr="0024327D">
        <w:rPr>
          <w:lang w:val="uk-UA"/>
        </w:rPr>
        <w:t xml:space="preserve">минулих </w:t>
      </w:r>
      <w:r w:rsidR="00A02A40" w:rsidRPr="0024327D">
        <w:rPr>
          <w:lang w:val="uk-UA"/>
        </w:rPr>
        <w:t>показників класу активів</w:t>
      </w:r>
      <w:r w:rsidR="00EB68C5" w:rsidRPr="0024327D">
        <w:rPr>
          <w:lang w:val="uk-UA"/>
        </w:rPr>
        <w:t xml:space="preserve">, зважаючи на </w:t>
      </w:r>
      <w:r w:rsidR="00DF6642" w:rsidRPr="0024327D">
        <w:rPr>
          <w:lang w:val="uk-UA"/>
        </w:rPr>
        <w:t>те, що їм передається ризик та відсутнє право вимоги до оригінатора</w:t>
      </w:r>
      <w:r w:rsidR="001A554E" w:rsidRPr="0024327D">
        <w:rPr>
          <w:lang w:val="uk-UA"/>
        </w:rPr>
        <w:t>.</w:t>
      </w:r>
      <w:r w:rsidR="00DC425A" w:rsidRPr="0024327D">
        <w:rPr>
          <w:rStyle w:val="af2"/>
          <w:lang w:val="uk-UA"/>
        </w:rPr>
        <w:footnoteReference w:id="12"/>
      </w:r>
      <w:r w:rsidR="001A554E" w:rsidRPr="0024327D">
        <w:rPr>
          <w:lang w:val="uk-UA"/>
        </w:rPr>
        <w:t xml:space="preserve"> </w:t>
      </w:r>
    </w:p>
    <w:p w14:paraId="19412D68" w14:textId="52018EFC" w:rsidR="00DD296D" w:rsidRPr="0024327D" w:rsidRDefault="00820CAD" w:rsidP="000E107C">
      <w:pPr>
        <w:pStyle w:val="3"/>
        <w:rPr>
          <w:lang w:val="uk-UA"/>
        </w:rPr>
      </w:pPr>
      <w:bookmarkStart w:id="26" w:name="_Toc27153428"/>
      <w:bookmarkStart w:id="27" w:name="_Toc95480973"/>
      <w:r w:rsidRPr="0024327D">
        <w:rPr>
          <w:lang w:val="uk-UA"/>
        </w:rPr>
        <w:t xml:space="preserve">Клієнти, </w:t>
      </w:r>
      <w:r w:rsidR="00D76305" w:rsidRPr="0024327D">
        <w:rPr>
          <w:lang w:val="uk-UA"/>
        </w:rPr>
        <w:t xml:space="preserve">чия заборгованість </w:t>
      </w:r>
      <w:r w:rsidRPr="0024327D">
        <w:rPr>
          <w:lang w:val="uk-UA"/>
        </w:rPr>
        <w:t>включен</w:t>
      </w:r>
      <w:r w:rsidR="00D76305" w:rsidRPr="0024327D">
        <w:rPr>
          <w:lang w:val="uk-UA"/>
        </w:rPr>
        <w:t>а</w:t>
      </w:r>
      <w:r w:rsidRPr="0024327D">
        <w:rPr>
          <w:lang w:val="uk-UA"/>
        </w:rPr>
        <w:t xml:space="preserve"> до складу пулу</w:t>
      </w:r>
      <w:bookmarkEnd w:id="26"/>
      <w:bookmarkEnd w:id="27"/>
    </w:p>
    <w:p w14:paraId="4E39229E" w14:textId="059E3353" w:rsidR="004C37C0" w:rsidRPr="0024327D" w:rsidRDefault="00595C99" w:rsidP="00614F63">
      <w:pPr>
        <w:rPr>
          <w:lang w:val="uk-UA"/>
        </w:rPr>
      </w:pPr>
      <w:r w:rsidRPr="0024327D">
        <w:rPr>
          <w:lang w:val="uk-UA"/>
        </w:rPr>
        <w:t>У випадку облігацій з покриттям</w:t>
      </w:r>
      <w:r w:rsidR="000E4262" w:rsidRPr="0024327D">
        <w:rPr>
          <w:lang w:val="uk-UA"/>
        </w:rPr>
        <w:t xml:space="preserve"> активи</w:t>
      </w:r>
      <w:r w:rsidR="004C37C0" w:rsidRPr="0024327D">
        <w:rPr>
          <w:lang w:val="uk-UA"/>
        </w:rPr>
        <w:t xml:space="preserve">, які включені до пулу </w:t>
      </w:r>
      <w:r w:rsidR="000D4300" w:rsidRPr="0024327D">
        <w:rPr>
          <w:lang w:val="uk-UA"/>
        </w:rPr>
        <w:t xml:space="preserve">покриття </w:t>
      </w:r>
      <w:r w:rsidR="004C37C0" w:rsidRPr="0024327D">
        <w:rPr>
          <w:lang w:val="uk-UA"/>
        </w:rPr>
        <w:t>та згодом потрапля</w:t>
      </w:r>
      <w:r w:rsidR="00C26A7E" w:rsidRPr="0024327D">
        <w:rPr>
          <w:lang w:val="uk-UA"/>
        </w:rPr>
        <w:t>ю</w:t>
      </w:r>
      <w:r w:rsidR="004C37C0" w:rsidRPr="0024327D">
        <w:rPr>
          <w:lang w:val="uk-UA"/>
        </w:rPr>
        <w:t xml:space="preserve">ть до категорії простроченої заборгованості (або стають непридатними для включення до пулу </w:t>
      </w:r>
      <w:r w:rsidR="003355A2" w:rsidRPr="0024327D">
        <w:rPr>
          <w:lang w:val="uk-UA"/>
        </w:rPr>
        <w:t>за іншими критеріями</w:t>
      </w:r>
      <w:r w:rsidR="004C37C0" w:rsidRPr="0024327D">
        <w:rPr>
          <w:lang w:val="uk-UA"/>
        </w:rPr>
        <w:t xml:space="preserve">), як правило, вилучаються з пулу та замінюються альтернативними, </w:t>
      </w:r>
      <w:r w:rsidR="00820CAD" w:rsidRPr="0024327D">
        <w:rPr>
          <w:lang w:val="uk-UA"/>
        </w:rPr>
        <w:t xml:space="preserve">працюючими </w:t>
      </w:r>
      <w:r w:rsidR="004C37C0" w:rsidRPr="0024327D">
        <w:rPr>
          <w:lang w:val="uk-UA"/>
        </w:rPr>
        <w:t xml:space="preserve">та придатними активами. </w:t>
      </w:r>
      <w:r w:rsidR="003355A2" w:rsidRPr="0024327D">
        <w:rPr>
          <w:lang w:val="uk-UA"/>
        </w:rPr>
        <w:t xml:space="preserve">Оскільки такі виключені кредити </w:t>
      </w:r>
      <w:r w:rsidR="00FF3BCD" w:rsidRPr="0024327D">
        <w:rPr>
          <w:lang w:val="uk-UA"/>
        </w:rPr>
        <w:t>повертаються до емітента, який в подальшому використовує свої звичайні практики та стандарти</w:t>
      </w:r>
      <w:r w:rsidR="00BC160A" w:rsidRPr="0024327D">
        <w:rPr>
          <w:lang w:val="uk-UA"/>
        </w:rPr>
        <w:t>, як і до інших активів з простроченою заборгованістю, ц</w:t>
      </w:r>
      <w:r w:rsidR="004C37C0" w:rsidRPr="0024327D">
        <w:rPr>
          <w:lang w:val="uk-UA"/>
        </w:rPr>
        <w:t xml:space="preserve">е </w:t>
      </w:r>
      <w:r w:rsidR="00BC160A" w:rsidRPr="0024327D">
        <w:rPr>
          <w:lang w:val="uk-UA"/>
        </w:rPr>
        <w:t xml:space="preserve">на практиці забезпечує </w:t>
      </w:r>
      <w:r w:rsidR="00C26A7E" w:rsidRPr="0024327D">
        <w:rPr>
          <w:lang w:val="uk-UA"/>
        </w:rPr>
        <w:t xml:space="preserve">однакове </w:t>
      </w:r>
      <w:r w:rsidR="004C37C0" w:rsidRPr="0024327D">
        <w:rPr>
          <w:lang w:val="uk-UA"/>
        </w:rPr>
        <w:t>ставлення до цих позичальників</w:t>
      </w:r>
      <w:r w:rsidR="00C26A7E" w:rsidRPr="0024327D">
        <w:rPr>
          <w:lang w:val="uk-UA"/>
        </w:rPr>
        <w:t xml:space="preserve"> та </w:t>
      </w:r>
      <w:r w:rsidR="004C37C0" w:rsidRPr="0024327D">
        <w:rPr>
          <w:lang w:val="uk-UA"/>
        </w:rPr>
        <w:t>до позичальників</w:t>
      </w:r>
      <w:r w:rsidR="00BC160A" w:rsidRPr="0024327D">
        <w:rPr>
          <w:lang w:val="uk-UA"/>
        </w:rPr>
        <w:t>, заборгованість яких не була включена до пулу</w:t>
      </w:r>
      <w:r w:rsidR="0031266C" w:rsidRPr="0024327D">
        <w:rPr>
          <w:lang w:val="uk-UA"/>
        </w:rPr>
        <w:t xml:space="preserve"> покриття</w:t>
      </w:r>
      <w:r w:rsidR="00BC160A" w:rsidRPr="0024327D">
        <w:rPr>
          <w:lang w:val="uk-UA"/>
        </w:rPr>
        <w:t>.</w:t>
      </w:r>
      <w:r w:rsidR="004C37C0" w:rsidRPr="0024327D">
        <w:rPr>
          <w:lang w:val="uk-UA"/>
        </w:rPr>
        <w:t xml:space="preserve"> </w:t>
      </w:r>
      <w:r w:rsidR="00DE6711" w:rsidRPr="0024327D">
        <w:rPr>
          <w:lang w:val="uk-UA"/>
        </w:rPr>
        <w:t xml:space="preserve">Натомість </w:t>
      </w:r>
      <w:r w:rsidR="004C37C0" w:rsidRPr="0024327D">
        <w:rPr>
          <w:lang w:val="uk-UA"/>
        </w:rPr>
        <w:t>при сек'юритизації, оскільки відбулася передача кредитного ризику за активом</w:t>
      </w:r>
      <w:r w:rsidR="00EA2BB5" w:rsidRPr="0024327D">
        <w:rPr>
          <w:lang w:val="uk-UA"/>
        </w:rPr>
        <w:t xml:space="preserve"> та прострочення платежів за активом не спричиняє його заміну, такий актив залишається в пулі</w:t>
      </w:r>
      <w:r w:rsidR="00CA3237" w:rsidRPr="0024327D">
        <w:rPr>
          <w:lang w:val="uk-UA"/>
        </w:rPr>
        <w:t xml:space="preserve">, </w:t>
      </w:r>
      <w:r w:rsidR="005D5A42" w:rsidRPr="0024327D">
        <w:rPr>
          <w:lang w:val="uk-UA"/>
        </w:rPr>
        <w:t xml:space="preserve">при </w:t>
      </w:r>
      <w:r w:rsidR="004C37C0" w:rsidRPr="0024327D">
        <w:rPr>
          <w:lang w:val="uk-UA"/>
        </w:rPr>
        <w:t xml:space="preserve">управлінні </w:t>
      </w:r>
      <w:r w:rsidR="00CA3237" w:rsidRPr="0024327D">
        <w:rPr>
          <w:lang w:val="uk-UA"/>
        </w:rPr>
        <w:t xml:space="preserve">яким враховуються </w:t>
      </w:r>
      <w:r w:rsidR="004C37C0" w:rsidRPr="0024327D">
        <w:rPr>
          <w:lang w:val="uk-UA"/>
        </w:rPr>
        <w:t>економічн</w:t>
      </w:r>
      <w:r w:rsidR="00CA3237" w:rsidRPr="0024327D">
        <w:rPr>
          <w:lang w:val="uk-UA"/>
        </w:rPr>
        <w:t>і</w:t>
      </w:r>
      <w:r w:rsidR="004C37C0" w:rsidRPr="0024327D">
        <w:rPr>
          <w:lang w:val="uk-UA"/>
        </w:rPr>
        <w:t xml:space="preserve"> інтерес</w:t>
      </w:r>
      <w:r w:rsidR="00CA3237" w:rsidRPr="0024327D">
        <w:rPr>
          <w:lang w:val="uk-UA"/>
        </w:rPr>
        <w:t>и</w:t>
      </w:r>
      <w:r w:rsidR="004C37C0" w:rsidRPr="0024327D">
        <w:rPr>
          <w:lang w:val="uk-UA"/>
        </w:rPr>
        <w:t xml:space="preserve"> інвесторів</w:t>
      </w:r>
      <w:r w:rsidR="00EE63C4" w:rsidRPr="0024327D">
        <w:rPr>
          <w:lang w:val="uk-UA"/>
        </w:rPr>
        <w:t xml:space="preserve"> </w:t>
      </w:r>
      <w:r w:rsidR="004C37C0" w:rsidRPr="0024327D">
        <w:rPr>
          <w:lang w:val="uk-UA"/>
        </w:rPr>
        <w:t>в облігаці</w:t>
      </w:r>
      <w:r w:rsidR="00DC5B79" w:rsidRPr="0024327D">
        <w:rPr>
          <w:lang w:val="uk-UA"/>
        </w:rPr>
        <w:t>ї</w:t>
      </w:r>
      <w:r w:rsidR="004C37C0" w:rsidRPr="0024327D">
        <w:rPr>
          <w:rStyle w:val="af2"/>
          <w:lang w:val="uk-UA"/>
        </w:rPr>
        <w:footnoteReference w:id="13"/>
      </w:r>
      <w:r w:rsidR="004C37C0" w:rsidRPr="0024327D">
        <w:rPr>
          <w:lang w:val="uk-UA"/>
        </w:rPr>
        <w:t xml:space="preserve">. </w:t>
      </w:r>
      <w:r w:rsidR="00CA3237" w:rsidRPr="0024327D">
        <w:rPr>
          <w:lang w:val="uk-UA"/>
        </w:rPr>
        <w:t>З урахуванням цього н</w:t>
      </w:r>
      <w:r w:rsidR="004C37C0" w:rsidRPr="0024327D">
        <w:rPr>
          <w:lang w:val="uk-UA"/>
        </w:rPr>
        <w:t>еобхідн</w:t>
      </w:r>
      <w:r w:rsidR="00BB7E92" w:rsidRPr="0024327D">
        <w:rPr>
          <w:lang w:val="uk-UA"/>
        </w:rPr>
        <w:t xml:space="preserve">ими є </w:t>
      </w:r>
      <w:r w:rsidR="00820CAD" w:rsidRPr="0024327D">
        <w:rPr>
          <w:lang w:val="uk-UA"/>
        </w:rPr>
        <w:t>механізми</w:t>
      </w:r>
      <w:r w:rsidR="004C37C0" w:rsidRPr="0024327D">
        <w:rPr>
          <w:lang w:val="uk-UA"/>
        </w:rPr>
        <w:t>, які забезпечуватимуть</w:t>
      </w:r>
      <w:r w:rsidR="005D5A42" w:rsidRPr="0024327D">
        <w:rPr>
          <w:lang w:val="uk-UA"/>
        </w:rPr>
        <w:t xml:space="preserve"> те</w:t>
      </w:r>
      <w:r w:rsidR="004C37C0" w:rsidRPr="0024327D">
        <w:rPr>
          <w:lang w:val="uk-UA"/>
        </w:rPr>
        <w:t xml:space="preserve">, </w:t>
      </w:r>
      <w:r w:rsidR="005D5A42" w:rsidRPr="0024327D">
        <w:rPr>
          <w:lang w:val="uk-UA"/>
        </w:rPr>
        <w:t xml:space="preserve">що </w:t>
      </w:r>
      <w:r w:rsidR="00BB7E92" w:rsidRPr="0024327D">
        <w:rPr>
          <w:lang w:val="uk-UA"/>
        </w:rPr>
        <w:t xml:space="preserve">позиція </w:t>
      </w:r>
      <w:r w:rsidR="004C37C0" w:rsidRPr="0024327D">
        <w:rPr>
          <w:lang w:val="uk-UA"/>
        </w:rPr>
        <w:t>позичальник</w:t>
      </w:r>
      <w:r w:rsidR="00BB7E92" w:rsidRPr="0024327D">
        <w:rPr>
          <w:lang w:val="uk-UA"/>
        </w:rPr>
        <w:t>ів</w:t>
      </w:r>
      <w:r w:rsidR="00D33887" w:rsidRPr="0024327D">
        <w:rPr>
          <w:lang w:val="uk-UA"/>
        </w:rPr>
        <w:t>, включених до пулу сек’юритизованих активів,</w:t>
      </w:r>
      <w:r w:rsidR="004C37C0" w:rsidRPr="0024327D">
        <w:rPr>
          <w:lang w:val="uk-UA"/>
        </w:rPr>
        <w:t xml:space="preserve"> не </w:t>
      </w:r>
      <w:r w:rsidR="00BB7E92" w:rsidRPr="0024327D">
        <w:rPr>
          <w:lang w:val="uk-UA"/>
        </w:rPr>
        <w:t>погіршуватиметься у порівнянн</w:t>
      </w:r>
      <w:r w:rsidR="00D33887" w:rsidRPr="0024327D">
        <w:rPr>
          <w:lang w:val="uk-UA"/>
        </w:rPr>
        <w:t xml:space="preserve">і з позицією позичальників, </w:t>
      </w:r>
      <w:r w:rsidR="00F815B3" w:rsidRPr="0024327D">
        <w:rPr>
          <w:lang w:val="uk-UA"/>
        </w:rPr>
        <w:t>заборгованість яких не була включена до пулу.</w:t>
      </w:r>
    </w:p>
    <w:p w14:paraId="2BC998F6" w14:textId="035E09EB" w:rsidR="00C26436" w:rsidRPr="0024327D" w:rsidRDefault="00A02A40" w:rsidP="000E107C">
      <w:pPr>
        <w:pStyle w:val="2"/>
        <w:rPr>
          <w:lang w:val="uk-UA"/>
        </w:rPr>
      </w:pPr>
      <w:bookmarkStart w:id="28" w:name="_Toc6942233"/>
      <w:bookmarkStart w:id="29" w:name="_Toc5081021"/>
      <w:bookmarkStart w:id="30" w:name="_Toc27153429"/>
      <w:bookmarkStart w:id="31" w:name="_Toc95480974"/>
      <w:r w:rsidRPr="0024327D">
        <w:rPr>
          <w:lang w:val="uk-UA"/>
        </w:rPr>
        <w:t>Альтернативні форми сек’юритизації</w:t>
      </w:r>
      <w:bookmarkEnd w:id="28"/>
      <w:bookmarkEnd w:id="29"/>
      <w:bookmarkEnd w:id="30"/>
      <w:bookmarkEnd w:id="31"/>
      <w:r w:rsidR="00C26436" w:rsidRPr="0024327D">
        <w:rPr>
          <w:lang w:val="uk-UA"/>
        </w:rPr>
        <w:t xml:space="preserve"> </w:t>
      </w:r>
    </w:p>
    <w:p w14:paraId="2EB7E9EB" w14:textId="4523DCDA" w:rsidR="00A02A40" w:rsidRPr="0024327D" w:rsidRDefault="00A02A40" w:rsidP="00501D25">
      <w:pPr>
        <w:rPr>
          <w:lang w:val="uk-UA"/>
        </w:rPr>
      </w:pPr>
      <w:r w:rsidRPr="0024327D">
        <w:rPr>
          <w:lang w:val="uk-UA"/>
        </w:rPr>
        <w:t xml:space="preserve">Усі вищезазначені коментарі стосуються </w:t>
      </w:r>
      <w:r w:rsidR="00DC5B79" w:rsidRPr="0024327D">
        <w:rPr>
          <w:lang w:val="uk-UA"/>
        </w:rPr>
        <w:t>“</w:t>
      </w:r>
      <w:r w:rsidRPr="0024327D">
        <w:rPr>
          <w:lang w:val="uk-UA"/>
        </w:rPr>
        <w:t>традиційних</w:t>
      </w:r>
      <w:r w:rsidR="00DC5B79" w:rsidRPr="0024327D">
        <w:rPr>
          <w:lang w:val="uk-UA"/>
        </w:rPr>
        <w:t>”</w:t>
      </w:r>
      <w:r w:rsidRPr="0024327D">
        <w:rPr>
          <w:lang w:val="uk-UA"/>
        </w:rPr>
        <w:t xml:space="preserve"> сек'юритизацій, при яких активи переходять до компанії спеціального призначення, яка оплачує ці активи </w:t>
      </w:r>
      <w:r w:rsidR="00820CAD" w:rsidRPr="0024327D">
        <w:rPr>
          <w:lang w:val="uk-UA"/>
        </w:rPr>
        <w:t>за рахунок</w:t>
      </w:r>
      <w:r w:rsidRPr="0024327D">
        <w:rPr>
          <w:lang w:val="uk-UA"/>
        </w:rPr>
        <w:t xml:space="preserve"> </w:t>
      </w:r>
      <w:r w:rsidR="007C4934" w:rsidRPr="0024327D">
        <w:rPr>
          <w:lang w:val="uk-UA"/>
        </w:rPr>
        <w:t xml:space="preserve">здійснення емісії </w:t>
      </w:r>
      <w:r w:rsidRPr="0024327D">
        <w:rPr>
          <w:lang w:val="uk-UA"/>
        </w:rPr>
        <w:t xml:space="preserve">облігацій. Подібну технологію мають деякі споріднені структури, з яких варто </w:t>
      </w:r>
      <w:r w:rsidR="00820CAD" w:rsidRPr="0024327D">
        <w:rPr>
          <w:lang w:val="uk-UA"/>
        </w:rPr>
        <w:t>окремо зазначити</w:t>
      </w:r>
      <w:r w:rsidRPr="0024327D">
        <w:rPr>
          <w:lang w:val="uk-UA"/>
        </w:rPr>
        <w:t xml:space="preserve"> дві</w:t>
      </w:r>
      <w:r w:rsidR="003C55BC" w:rsidRPr="0024327D">
        <w:rPr>
          <w:lang w:val="uk-UA"/>
        </w:rPr>
        <w:t xml:space="preserve">. </w:t>
      </w:r>
      <w:r w:rsidR="00853836" w:rsidRPr="0024327D">
        <w:rPr>
          <w:lang w:val="uk-UA"/>
        </w:rPr>
        <w:t xml:space="preserve">З </w:t>
      </w:r>
      <w:r w:rsidR="00820CAD" w:rsidRPr="0024327D">
        <w:rPr>
          <w:lang w:val="uk-UA"/>
        </w:rPr>
        <w:t xml:space="preserve"> цих двох структур</w:t>
      </w:r>
      <w:r w:rsidR="003C55BC" w:rsidRPr="0024327D">
        <w:rPr>
          <w:lang w:val="uk-UA"/>
        </w:rPr>
        <w:t xml:space="preserve"> найближчим часом </w:t>
      </w:r>
      <w:r w:rsidR="00820CAD" w:rsidRPr="0024327D">
        <w:rPr>
          <w:lang w:val="uk-UA"/>
        </w:rPr>
        <w:t xml:space="preserve">в Україні </w:t>
      </w:r>
      <w:r w:rsidR="00F3000D" w:rsidRPr="0024327D">
        <w:rPr>
          <w:lang w:val="uk-UA"/>
        </w:rPr>
        <w:t xml:space="preserve">не буде </w:t>
      </w:r>
      <w:r w:rsidR="008F1572" w:rsidRPr="0024327D">
        <w:rPr>
          <w:lang w:val="uk-UA"/>
        </w:rPr>
        <w:t xml:space="preserve">значної </w:t>
      </w:r>
      <w:r w:rsidR="003C55BC" w:rsidRPr="0024327D">
        <w:rPr>
          <w:lang w:val="uk-UA"/>
        </w:rPr>
        <w:t>зацікавлен</w:t>
      </w:r>
      <w:r w:rsidR="008F1572" w:rsidRPr="0024327D">
        <w:rPr>
          <w:lang w:val="uk-UA"/>
        </w:rPr>
        <w:t>ості</w:t>
      </w:r>
      <w:r w:rsidR="00373F95" w:rsidRPr="0024327D">
        <w:rPr>
          <w:lang w:val="uk-UA"/>
        </w:rPr>
        <w:t xml:space="preserve"> </w:t>
      </w:r>
      <w:r w:rsidR="008F1572" w:rsidRPr="0024327D">
        <w:rPr>
          <w:lang w:val="uk-UA"/>
        </w:rPr>
        <w:t xml:space="preserve">в </w:t>
      </w:r>
      <w:r w:rsidR="003C55BC" w:rsidRPr="0024327D">
        <w:rPr>
          <w:lang w:val="uk-UA"/>
        </w:rPr>
        <w:t>застосуванн</w:t>
      </w:r>
      <w:r w:rsidR="008F1572" w:rsidRPr="0024327D">
        <w:rPr>
          <w:lang w:val="uk-UA"/>
        </w:rPr>
        <w:t>і</w:t>
      </w:r>
      <w:r w:rsidR="003C55BC" w:rsidRPr="0024327D">
        <w:rPr>
          <w:lang w:val="uk-UA"/>
        </w:rPr>
        <w:t xml:space="preserve"> синтетичної сек’юритизації, </w:t>
      </w:r>
      <w:r w:rsidR="008F1572" w:rsidRPr="0024327D">
        <w:rPr>
          <w:lang w:val="uk-UA"/>
        </w:rPr>
        <w:t xml:space="preserve">натомість </w:t>
      </w:r>
      <w:r w:rsidRPr="0024327D">
        <w:rPr>
          <w:lang w:val="uk-UA"/>
        </w:rPr>
        <w:t xml:space="preserve">певний потенційний економічний інтерес до </w:t>
      </w:r>
      <w:r w:rsidR="00ED625E" w:rsidRPr="0024327D">
        <w:rPr>
          <w:lang w:val="uk-UA"/>
        </w:rPr>
        <w:t xml:space="preserve">сек’юритизації </w:t>
      </w:r>
      <w:r w:rsidR="003C55BC" w:rsidRPr="0024327D">
        <w:rPr>
          <w:lang w:val="uk-UA"/>
        </w:rPr>
        <w:t>майбутн</w:t>
      </w:r>
      <w:r w:rsidR="00ED625E" w:rsidRPr="0024327D">
        <w:rPr>
          <w:lang w:val="uk-UA"/>
        </w:rPr>
        <w:t>іх</w:t>
      </w:r>
      <w:r w:rsidR="003C55BC" w:rsidRPr="0024327D">
        <w:rPr>
          <w:lang w:val="uk-UA"/>
        </w:rPr>
        <w:t xml:space="preserve"> надходжен</w:t>
      </w:r>
      <w:r w:rsidR="00ED625E" w:rsidRPr="0024327D">
        <w:rPr>
          <w:lang w:val="uk-UA"/>
        </w:rPr>
        <w:t>ь</w:t>
      </w:r>
      <w:r w:rsidR="008F1572" w:rsidRPr="0024327D">
        <w:rPr>
          <w:lang w:val="uk-UA"/>
        </w:rPr>
        <w:t xml:space="preserve"> вже </w:t>
      </w:r>
      <w:r w:rsidR="0025245D" w:rsidRPr="0024327D">
        <w:rPr>
          <w:lang w:val="uk-UA"/>
        </w:rPr>
        <w:t>було виявлено</w:t>
      </w:r>
      <w:r w:rsidR="003C55BC" w:rsidRPr="0024327D">
        <w:rPr>
          <w:lang w:val="uk-UA"/>
        </w:rPr>
        <w:t xml:space="preserve">, наприклад, коли йдеться про </w:t>
      </w:r>
      <w:r w:rsidRPr="0024327D">
        <w:rPr>
          <w:lang w:val="uk-UA"/>
        </w:rPr>
        <w:t>фінансуванн</w:t>
      </w:r>
      <w:r w:rsidR="003C55BC" w:rsidRPr="0024327D">
        <w:rPr>
          <w:lang w:val="uk-UA"/>
        </w:rPr>
        <w:t>я</w:t>
      </w:r>
      <w:r w:rsidRPr="0024327D">
        <w:rPr>
          <w:lang w:val="uk-UA"/>
        </w:rPr>
        <w:t xml:space="preserve"> </w:t>
      </w:r>
      <w:r w:rsidR="003C55BC" w:rsidRPr="0024327D">
        <w:rPr>
          <w:lang w:val="uk-UA"/>
        </w:rPr>
        <w:t>підприємств</w:t>
      </w:r>
      <w:r w:rsidR="0025245D" w:rsidRPr="0024327D">
        <w:rPr>
          <w:lang w:val="uk-UA"/>
        </w:rPr>
        <w:t>, що надають комунальні послуги</w:t>
      </w:r>
      <w:r w:rsidR="00F815B3" w:rsidRPr="0024327D">
        <w:rPr>
          <w:lang w:val="uk-UA"/>
        </w:rPr>
        <w:t xml:space="preserve">, </w:t>
      </w:r>
      <w:r w:rsidR="00871162" w:rsidRPr="0024327D">
        <w:rPr>
          <w:lang w:val="uk-UA"/>
        </w:rPr>
        <w:t xml:space="preserve">та </w:t>
      </w:r>
      <w:r w:rsidR="00F815B3" w:rsidRPr="0024327D">
        <w:rPr>
          <w:lang w:val="uk-UA"/>
        </w:rPr>
        <w:t xml:space="preserve">надходжень </w:t>
      </w:r>
      <w:r w:rsidR="002839F8" w:rsidRPr="0024327D">
        <w:rPr>
          <w:lang w:val="uk-UA"/>
        </w:rPr>
        <w:t>у сфері аграрної діяльності</w:t>
      </w:r>
      <w:r w:rsidR="003C55BC" w:rsidRPr="0024327D">
        <w:rPr>
          <w:lang w:val="uk-UA"/>
        </w:rPr>
        <w:t xml:space="preserve">. </w:t>
      </w:r>
      <w:r w:rsidR="00E06229" w:rsidRPr="0024327D">
        <w:rPr>
          <w:lang w:val="uk-UA"/>
        </w:rPr>
        <w:t xml:space="preserve">Оскільки сек’юритизація </w:t>
      </w:r>
      <w:r w:rsidR="00E06229" w:rsidRPr="0024327D">
        <w:rPr>
          <w:lang w:val="uk-UA"/>
        </w:rPr>
        <w:lastRenderedPageBreak/>
        <w:t>майбутніх надходжень історично використовувалася для фінансування інфраструктури, цей інструмент може бути особливо актуальним для післявоєнної України.</w:t>
      </w:r>
    </w:p>
    <w:p w14:paraId="7A3C2807" w14:textId="16A57C3F" w:rsidR="008B628C" w:rsidRPr="0024327D" w:rsidRDefault="0096569A" w:rsidP="000E107C">
      <w:pPr>
        <w:pStyle w:val="3"/>
        <w:rPr>
          <w:lang w:val="uk-UA"/>
        </w:rPr>
      </w:pPr>
      <w:bookmarkStart w:id="32" w:name="_Toc95480975"/>
      <w:r w:rsidRPr="0024327D">
        <w:rPr>
          <w:lang w:val="uk-UA"/>
        </w:rPr>
        <w:t>Синтетичні сек’юритизації</w:t>
      </w:r>
      <w:bookmarkEnd w:id="32"/>
      <w:r w:rsidR="008B628C" w:rsidRPr="0024327D">
        <w:rPr>
          <w:lang w:val="uk-UA"/>
        </w:rPr>
        <w:t xml:space="preserve"> </w:t>
      </w:r>
    </w:p>
    <w:p w14:paraId="16A23DEB" w14:textId="0788984D" w:rsidR="0096569A" w:rsidRPr="0024327D" w:rsidRDefault="0096569A" w:rsidP="00501D25">
      <w:pPr>
        <w:rPr>
          <w:lang w:val="uk-UA"/>
        </w:rPr>
      </w:pPr>
      <w:r w:rsidRPr="0024327D">
        <w:rPr>
          <w:lang w:val="uk-UA"/>
        </w:rPr>
        <w:t xml:space="preserve">Метою синтетичної сек'юритизації є лише передача ризику, пов'язаного з активами. Синтетична сек'юритизація не </w:t>
      </w:r>
      <w:r w:rsidR="002839F8" w:rsidRPr="0024327D">
        <w:rPr>
          <w:lang w:val="uk-UA"/>
        </w:rPr>
        <w:t xml:space="preserve">передбачає </w:t>
      </w:r>
      <w:r w:rsidRPr="0024327D">
        <w:rPr>
          <w:lang w:val="uk-UA"/>
        </w:rPr>
        <w:t>залучення коштів для власника активів.</w:t>
      </w:r>
    </w:p>
    <w:p w14:paraId="3FFD3311" w14:textId="1F85AA5A" w:rsidR="008B628C" w:rsidRPr="0024327D" w:rsidRDefault="005671B3" w:rsidP="00501D25">
      <w:pPr>
        <w:rPr>
          <w:lang w:val="uk-UA"/>
        </w:rPr>
      </w:pPr>
      <w:r w:rsidRPr="0024327D">
        <w:rPr>
          <w:lang w:val="uk-UA"/>
        </w:rPr>
        <w:t>Як</w:t>
      </w:r>
      <w:r w:rsidR="0096569A" w:rsidRPr="0024327D">
        <w:rPr>
          <w:lang w:val="uk-UA"/>
        </w:rPr>
        <w:t xml:space="preserve"> правило, при синтетичній сек'юритизації кредитний ризик, пов’язаний з активами, переходить до інвесторів через компанію спеціального призначення. Синтетична сек'юритизація</w:t>
      </w:r>
      <w:r w:rsidR="00B429D6" w:rsidRPr="0024327D">
        <w:rPr>
          <w:lang w:val="uk-UA"/>
        </w:rPr>
        <w:t xml:space="preserve">, </w:t>
      </w:r>
      <w:r w:rsidR="00381DA3" w:rsidRPr="0024327D">
        <w:rPr>
          <w:lang w:val="uk-UA"/>
        </w:rPr>
        <w:t>зазвичай,</w:t>
      </w:r>
      <w:r w:rsidR="0096569A" w:rsidRPr="0024327D">
        <w:rPr>
          <w:lang w:val="uk-UA"/>
        </w:rPr>
        <w:t xml:space="preserve"> передбачає договір про кредитн</w:t>
      </w:r>
      <w:r w:rsidR="00127EDA" w:rsidRPr="0024327D">
        <w:rPr>
          <w:lang w:val="uk-UA"/>
        </w:rPr>
        <w:t xml:space="preserve">ий </w:t>
      </w:r>
      <w:r w:rsidR="0096569A" w:rsidRPr="0024327D">
        <w:rPr>
          <w:lang w:val="uk-UA"/>
        </w:rPr>
        <w:t>дефолтний своп, за яким контрагент за свопом погоджується покрити збитки, понесені власником активів</w:t>
      </w:r>
      <w:r w:rsidR="00127EDA" w:rsidRPr="0024327D">
        <w:rPr>
          <w:lang w:val="uk-UA"/>
        </w:rPr>
        <w:t xml:space="preserve">, що включені до </w:t>
      </w:r>
      <w:r w:rsidR="00404328" w:rsidRPr="0024327D">
        <w:rPr>
          <w:lang w:val="uk-UA"/>
        </w:rPr>
        <w:t xml:space="preserve">пулу сек’юритизації </w:t>
      </w:r>
      <w:r w:rsidR="0096569A" w:rsidRPr="0024327D">
        <w:rPr>
          <w:lang w:val="uk-UA"/>
        </w:rPr>
        <w:t xml:space="preserve">(як правило, </w:t>
      </w:r>
      <w:r w:rsidR="001732D3" w:rsidRPr="0024327D">
        <w:rPr>
          <w:lang w:val="uk-UA"/>
        </w:rPr>
        <w:t>о</w:t>
      </w:r>
      <w:r w:rsidR="00A20526" w:rsidRPr="0024327D">
        <w:rPr>
          <w:lang w:val="uk-UA"/>
        </w:rPr>
        <w:t>ригінатором</w:t>
      </w:r>
      <w:r w:rsidR="0096569A" w:rsidRPr="0024327D">
        <w:rPr>
          <w:lang w:val="uk-UA"/>
        </w:rPr>
        <w:t xml:space="preserve">), якщо </w:t>
      </w:r>
      <w:r w:rsidR="00E15EAD" w:rsidRPr="0024327D">
        <w:rPr>
          <w:lang w:val="uk-UA"/>
        </w:rPr>
        <w:t>відбулось</w:t>
      </w:r>
      <w:r w:rsidRPr="0024327D">
        <w:rPr>
          <w:lang w:val="uk-UA"/>
        </w:rPr>
        <w:t xml:space="preserve"> невиконання кредитних зобов’язань</w:t>
      </w:r>
      <w:r w:rsidR="0096569A" w:rsidRPr="0024327D">
        <w:rPr>
          <w:lang w:val="uk-UA"/>
        </w:rPr>
        <w:t xml:space="preserve"> (як правило, не</w:t>
      </w:r>
      <w:r w:rsidRPr="0024327D">
        <w:rPr>
          <w:lang w:val="uk-UA"/>
        </w:rPr>
        <w:t>здійснення платежу</w:t>
      </w:r>
      <w:r w:rsidR="0096569A" w:rsidRPr="0024327D">
        <w:rPr>
          <w:lang w:val="uk-UA"/>
        </w:rPr>
        <w:t xml:space="preserve">) </w:t>
      </w:r>
      <w:r w:rsidRPr="0024327D">
        <w:rPr>
          <w:lang w:val="uk-UA"/>
        </w:rPr>
        <w:t>щодо активів</w:t>
      </w:r>
      <w:r w:rsidR="005079F5" w:rsidRPr="0024327D">
        <w:rPr>
          <w:lang w:val="uk-UA"/>
        </w:rPr>
        <w:t xml:space="preserve">, включених до </w:t>
      </w:r>
      <w:r w:rsidR="00404328" w:rsidRPr="0024327D">
        <w:rPr>
          <w:lang w:val="uk-UA"/>
        </w:rPr>
        <w:t>пулу сек’юритизації</w:t>
      </w:r>
      <w:r w:rsidR="0096569A" w:rsidRPr="0024327D">
        <w:rPr>
          <w:lang w:val="uk-UA"/>
        </w:rPr>
        <w:t xml:space="preserve">. </w:t>
      </w:r>
      <w:r w:rsidRPr="0024327D">
        <w:rPr>
          <w:lang w:val="uk-UA"/>
        </w:rPr>
        <w:t xml:space="preserve">У свою чергу </w:t>
      </w:r>
      <w:r w:rsidR="0096569A" w:rsidRPr="0024327D">
        <w:rPr>
          <w:lang w:val="uk-UA"/>
        </w:rPr>
        <w:t xml:space="preserve">власник активів погоджується </w:t>
      </w:r>
      <w:r w:rsidR="00404328" w:rsidRPr="0024327D">
        <w:rPr>
          <w:lang w:val="uk-UA"/>
        </w:rPr>
        <w:t xml:space="preserve">виплачувати </w:t>
      </w:r>
      <w:r w:rsidR="0096569A" w:rsidRPr="0024327D">
        <w:rPr>
          <w:lang w:val="uk-UA"/>
        </w:rPr>
        <w:t>премі</w:t>
      </w:r>
      <w:r w:rsidRPr="0024327D">
        <w:rPr>
          <w:lang w:val="uk-UA"/>
        </w:rPr>
        <w:t>ю</w:t>
      </w:r>
      <w:r w:rsidR="0096569A" w:rsidRPr="0024327D">
        <w:rPr>
          <w:lang w:val="uk-UA"/>
        </w:rPr>
        <w:t xml:space="preserve"> контрагент</w:t>
      </w:r>
      <w:r w:rsidRPr="0024327D">
        <w:rPr>
          <w:lang w:val="uk-UA"/>
        </w:rPr>
        <w:t xml:space="preserve">у за свопом, орієнтуючись на </w:t>
      </w:r>
      <w:r w:rsidR="00862425" w:rsidRPr="0024327D">
        <w:rPr>
          <w:lang w:val="uk-UA"/>
        </w:rPr>
        <w:t xml:space="preserve">прогнозовану </w:t>
      </w:r>
      <w:r w:rsidRPr="0024327D">
        <w:rPr>
          <w:lang w:val="uk-UA"/>
        </w:rPr>
        <w:t>ймовірність випадків невиконання кредитних зобов’язань</w:t>
      </w:r>
      <w:r w:rsidR="008B628C" w:rsidRPr="0024327D">
        <w:rPr>
          <w:lang w:val="uk-UA"/>
        </w:rPr>
        <w:t>.</w:t>
      </w:r>
      <w:r w:rsidR="00F071C6" w:rsidRPr="0024327D">
        <w:rPr>
          <w:rStyle w:val="af2"/>
          <w:lang w:val="uk-UA"/>
        </w:rPr>
        <w:t xml:space="preserve"> </w:t>
      </w:r>
      <w:r w:rsidR="00F071C6" w:rsidRPr="0024327D">
        <w:rPr>
          <w:rStyle w:val="af2"/>
          <w:lang w:val="uk-UA"/>
        </w:rPr>
        <w:footnoteReference w:id="14"/>
      </w:r>
      <w:r w:rsidR="008B628C" w:rsidRPr="0024327D">
        <w:rPr>
          <w:lang w:val="uk-UA"/>
        </w:rPr>
        <w:t xml:space="preserve"> </w:t>
      </w:r>
      <w:r w:rsidR="00381DA3" w:rsidRPr="0024327D">
        <w:rPr>
          <w:lang w:val="uk-UA"/>
        </w:rPr>
        <w:t>Синтетична сек’юритизація може використовувати також інші інструменти передачі ризику</w:t>
      </w:r>
      <w:r w:rsidR="004C472B" w:rsidRPr="0024327D">
        <w:rPr>
          <w:lang w:val="uk-UA"/>
        </w:rPr>
        <w:t xml:space="preserve">, включаючи гарантії та </w:t>
      </w:r>
      <w:r w:rsidR="00496034" w:rsidRPr="0024327D">
        <w:rPr>
          <w:lang w:val="uk-UA"/>
        </w:rPr>
        <w:t>участь у передачі ризику (“</w:t>
      </w:r>
      <w:r w:rsidR="00496034" w:rsidRPr="0024327D">
        <w:rPr>
          <w:i/>
          <w:iCs/>
          <w:lang w:val="en-US"/>
        </w:rPr>
        <w:t>risk</w:t>
      </w:r>
      <w:r w:rsidR="00496034" w:rsidRPr="0024327D">
        <w:rPr>
          <w:i/>
          <w:iCs/>
          <w:lang w:val="uk-UA"/>
        </w:rPr>
        <w:t xml:space="preserve"> </w:t>
      </w:r>
      <w:r w:rsidR="00496034" w:rsidRPr="0024327D">
        <w:rPr>
          <w:i/>
          <w:iCs/>
          <w:lang w:val="en-US"/>
        </w:rPr>
        <w:t>participation</w:t>
      </w:r>
      <w:r w:rsidR="00496034" w:rsidRPr="0024327D">
        <w:rPr>
          <w:lang w:val="uk-UA"/>
        </w:rPr>
        <w:t>”).</w:t>
      </w:r>
    </w:p>
    <w:p w14:paraId="0A6CCC81" w14:textId="39F5FBC5" w:rsidR="005671B3" w:rsidRPr="0024327D" w:rsidRDefault="005671B3" w:rsidP="00501D25">
      <w:pPr>
        <w:rPr>
          <w:lang w:val="uk-UA"/>
        </w:rPr>
      </w:pPr>
      <w:r w:rsidRPr="0024327D">
        <w:rPr>
          <w:lang w:val="uk-UA"/>
        </w:rPr>
        <w:t xml:space="preserve">Найчастіше компанія спеціального призначення компенсує ризик </w:t>
      </w:r>
      <w:r w:rsidR="00B47FC3" w:rsidRPr="0024327D">
        <w:rPr>
          <w:lang w:val="uk-UA"/>
        </w:rPr>
        <w:t>ш</w:t>
      </w:r>
      <w:r w:rsidRPr="0024327D">
        <w:rPr>
          <w:lang w:val="uk-UA"/>
        </w:rPr>
        <w:t xml:space="preserve">ляхом </w:t>
      </w:r>
      <w:r w:rsidR="007C4934" w:rsidRPr="0024327D">
        <w:rPr>
          <w:lang w:val="uk-UA"/>
        </w:rPr>
        <w:t xml:space="preserve">здійснення емісії </w:t>
      </w:r>
      <w:r w:rsidRPr="0024327D">
        <w:rPr>
          <w:lang w:val="uk-UA"/>
        </w:rPr>
        <w:t xml:space="preserve">облігацій </w:t>
      </w:r>
      <w:r w:rsidR="002B77B9" w:rsidRPr="0024327D">
        <w:rPr>
          <w:lang w:val="uk-UA"/>
        </w:rPr>
        <w:t xml:space="preserve">серед </w:t>
      </w:r>
      <w:r w:rsidR="00B47FC3" w:rsidRPr="0024327D">
        <w:rPr>
          <w:lang w:val="uk-UA"/>
        </w:rPr>
        <w:t>інвесторів-третіх осіб</w:t>
      </w:r>
      <w:r w:rsidRPr="0024327D">
        <w:rPr>
          <w:lang w:val="uk-UA"/>
        </w:rPr>
        <w:t xml:space="preserve">, </w:t>
      </w:r>
      <w:r w:rsidR="002B77B9" w:rsidRPr="0024327D">
        <w:rPr>
          <w:lang w:val="uk-UA"/>
        </w:rPr>
        <w:t xml:space="preserve">номінальна </w:t>
      </w:r>
      <w:r w:rsidR="00B47FC3" w:rsidRPr="0024327D">
        <w:rPr>
          <w:lang w:val="uk-UA"/>
        </w:rPr>
        <w:t xml:space="preserve">вартість </w:t>
      </w:r>
      <w:r w:rsidRPr="0024327D">
        <w:rPr>
          <w:lang w:val="uk-UA"/>
        </w:rPr>
        <w:t>яких спису</w:t>
      </w:r>
      <w:r w:rsidR="002B77B9" w:rsidRPr="0024327D">
        <w:rPr>
          <w:lang w:val="uk-UA"/>
        </w:rPr>
        <w:t>є</w:t>
      </w:r>
      <w:r w:rsidRPr="0024327D">
        <w:rPr>
          <w:lang w:val="uk-UA"/>
        </w:rPr>
        <w:t xml:space="preserve">ться у разі виникнення збитків </w:t>
      </w:r>
      <w:r w:rsidR="00B47FC3" w:rsidRPr="0024327D">
        <w:rPr>
          <w:lang w:val="uk-UA"/>
        </w:rPr>
        <w:t>за пулом активів</w:t>
      </w:r>
      <w:r w:rsidRPr="0024327D">
        <w:rPr>
          <w:lang w:val="uk-UA"/>
        </w:rPr>
        <w:t xml:space="preserve">. </w:t>
      </w:r>
      <w:r w:rsidR="00C26A7E" w:rsidRPr="0024327D">
        <w:rPr>
          <w:lang w:val="uk-UA"/>
        </w:rPr>
        <w:t>Надал</w:t>
      </w:r>
      <w:r w:rsidR="00854366" w:rsidRPr="0024327D">
        <w:rPr>
          <w:lang w:val="uk-UA"/>
        </w:rPr>
        <w:t>і</w:t>
      </w:r>
      <w:r w:rsidRPr="0024327D">
        <w:rPr>
          <w:lang w:val="uk-UA"/>
        </w:rPr>
        <w:t xml:space="preserve"> </w:t>
      </w:r>
      <w:r w:rsidR="00B47FC3" w:rsidRPr="0024327D">
        <w:rPr>
          <w:lang w:val="uk-UA"/>
        </w:rPr>
        <w:t>компанія спеціального призначення</w:t>
      </w:r>
      <w:r w:rsidRPr="0024327D">
        <w:rPr>
          <w:lang w:val="uk-UA"/>
        </w:rPr>
        <w:t xml:space="preserve"> використовує кошти від </w:t>
      </w:r>
      <w:r w:rsidR="00B47FC3" w:rsidRPr="0024327D">
        <w:rPr>
          <w:lang w:val="uk-UA"/>
        </w:rPr>
        <w:t xml:space="preserve">випуску цих </w:t>
      </w:r>
      <w:r w:rsidRPr="0024327D">
        <w:rPr>
          <w:lang w:val="uk-UA"/>
        </w:rPr>
        <w:t xml:space="preserve">облігацій для придбання </w:t>
      </w:r>
      <w:r w:rsidR="00315275" w:rsidRPr="0024327D">
        <w:rPr>
          <w:lang w:val="uk-UA"/>
        </w:rPr>
        <w:t>високоякісних цінних паперів</w:t>
      </w:r>
      <w:r w:rsidRPr="0024327D">
        <w:rPr>
          <w:lang w:val="uk-UA"/>
        </w:rPr>
        <w:t>, як</w:t>
      </w:r>
      <w:r w:rsidR="00315275" w:rsidRPr="0024327D">
        <w:rPr>
          <w:lang w:val="uk-UA"/>
        </w:rPr>
        <w:t>і</w:t>
      </w:r>
      <w:r w:rsidRPr="0024327D">
        <w:rPr>
          <w:lang w:val="uk-UA"/>
        </w:rPr>
        <w:t xml:space="preserve"> в</w:t>
      </w:r>
      <w:r w:rsidR="00B47FC3" w:rsidRPr="0024327D">
        <w:rPr>
          <w:lang w:val="uk-UA"/>
        </w:rPr>
        <w:t xml:space="preserve">она </w:t>
      </w:r>
      <w:r w:rsidRPr="0024327D">
        <w:rPr>
          <w:lang w:val="uk-UA"/>
        </w:rPr>
        <w:t xml:space="preserve">продасть, якщо </w:t>
      </w:r>
      <w:r w:rsidR="00B47FC3" w:rsidRPr="0024327D">
        <w:rPr>
          <w:lang w:val="uk-UA"/>
        </w:rPr>
        <w:t xml:space="preserve">їй знадобиться здійснити платіж </w:t>
      </w:r>
      <w:r w:rsidR="001732D3" w:rsidRPr="0024327D">
        <w:rPr>
          <w:lang w:val="uk-UA"/>
        </w:rPr>
        <w:t>о</w:t>
      </w:r>
      <w:r w:rsidR="00A20526" w:rsidRPr="0024327D">
        <w:rPr>
          <w:lang w:val="uk-UA"/>
        </w:rPr>
        <w:t>ригінатору</w:t>
      </w:r>
      <w:r w:rsidR="00B47FC3" w:rsidRPr="0024327D">
        <w:rPr>
          <w:lang w:val="uk-UA"/>
        </w:rPr>
        <w:t xml:space="preserve"> </w:t>
      </w:r>
      <w:r w:rsidRPr="0024327D">
        <w:rPr>
          <w:lang w:val="uk-UA"/>
        </w:rPr>
        <w:t>за кредитн</w:t>
      </w:r>
      <w:r w:rsidR="00127EDA" w:rsidRPr="0024327D">
        <w:rPr>
          <w:lang w:val="uk-UA"/>
        </w:rPr>
        <w:t xml:space="preserve">им </w:t>
      </w:r>
      <w:r w:rsidRPr="0024327D">
        <w:rPr>
          <w:lang w:val="uk-UA"/>
        </w:rPr>
        <w:t>дефолт</w:t>
      </w:r>
      <w:r w:rsidR="00B47FC3" w:rsidRPr="0024327D">
        <w:rPr>
          <w:lang w:val="uk-UA"/>
        </w:rPr>
        <w:t>ним свопом</w:t>
      </w:r>
      <w:r w:rsidRPr="0024327D">
        <w:rPr>
          <w:lang w:val="uk-UA"/>
        </w:rPr>
        <w:t xml:space="preserve"> (або іншим інструментом, </w:t>
      </w:r>
      <w:r w:rsidR="00B47FC3" w:rsidRPr="0024327D">
        <w:rPr>
          <w:lang w:val="uk-UA"/>
        </w:rPr>
        <w:t>застосовним для передачі кредитного ризику інвесторам-третім особам</w:t>
      </w:r>
      <w:r w:rsidRPr="0024327D">
        <w:rPr>
          <w:lang w:val="uk-UA"/>
        </w:rPr>
        <w:t xml:space="preserve">). </w:t>
      </w:r>
      <w:r w:rsidR="00632239" w:rsidRPr="0024327D">
        <w:rPr>
          <w:lang w:val="uk-UA"/>
        </w:rPr>
        <w:t xml:space="preserve">Дохід </w:t>
      </w:r>
      <w:r w:rsidRPr="0024327D">
        <w:rPr>
          <w:lang w:val="uk-UA"/>
        </w:rPr>
        <w:t xml:space="preserve">інвесторів, як правило, базується на попередньо узгоджених </w:t>
      </w:r>
      <w:r w:rsidR="002F70C1" w:rsidRPr="0024327D">
        <w:rPr>
          <w:lang w:val="uk-UA"/>
        </w:rPr>
        <w:t xml:space="preserve">виплатах </w:t>
      </w:r>
      <w:r w:rsidRPr="0024327D">
        <w:rPr>
          <w:lang w:val="uk-UA"/>
        </w:rPr>
        <w:t xml:space="preserve">за кредитний ризик, які </w:t>
      </w:r>
      <w:r w:rsidR="001732D3" w:rsidRPr="0024327D">
        <w:rPr>
          <w:lang w:val="uk-UA"/>
        </w:rPr>
        <w:t>о</w:t>
      </w:r>
      <w:r w:rsidR="00A20526" w:rsidRPr="0024327D">
        <w:rPr>
          <w:lang w:val="uk-UA"/>
        </w:rPr>
        <w:t>ригінатор</w:t>
      </w:r>
      <w:r w:rsidR="00B47FC3" w:rsidRPr="0024327D">
        <w:rPr>
          <w:lang w:val="uk-UA"/>
        </w:rPr>
        <w:t xml:space="preserve"> </w:t>
      </w:r>
      <w:r w:rsidRPr="0024327D">
        <w:rPr>
          <w:lang w:val="uk-UA"/>
        </w:rPr>
        <w:t xml:space="preserve">сплачує </w:t>
      </w:r>
      <w:r w:rsidR="00B47FC3" w:rsidRPr="0024327D">
        <w:rPr>
          <w:lang w:val="uk-UA"/>
        </w:rPr>
        <w:t xml:space="preserve">через </w:t>
      </w:r>
      <w:r w:rsidR="001732D3" w:rsidRPr="0024327D">
        <w:rPr>
          <w:lang w:val="uk-UA"/>
        </w:rPr>
        <w:t>к</w:t>
      </w:r>
      <w:r w:rsidR="00B47FC3" w:rsidRPr="0024327D">
        <w:rPr>
          <w:lang w:val="uk-UA"/>
        </w:rPr>
        <w:t>омпанію спеціального призначення</w:t>
      </w:r>
      <w:r w:rsidRPr="0024327D">
        <w:rPr>
          <w:lang w:val="uk-UA"/>
        </w:rPr>
        <w:t>.</w:t>
      </w:r>
    </w:p>
    <w:p w14:paraId="79E9A384" w14:textId="0BDC8040" w:rsidR="00B47FC3" w:rsidRPr="0024327D" w:rsidRDefault="00B47FC3" w:rsidP="00501D25">
      <w:pPr>
        <w:rPr>
          <w:lang w:val="uk-UA"/>
        </w:rPr>
      </w:pPr>
      <w:r w:rsidRPr="0024327D">
        <w:rPr>
          <w:lang w:val="uk-UA"/>
        </w:rPr>
        <w:t>Синтетичні сек</w:t>
      </w:r>
      <w:r w:rsidR="00210E9C" w:rsidRPr="0024327D">
        <w:rPr>
          <w:lang w:val="uk-UA"/>
        </w:rPr>
        <w:t>’</w:t>
      </w:r>
      <w:r w:rsidRPr="0024327D">
        <w:rPr>
          <w:lang w:val="uk-UA"/>
        </w:rPr>
        <w:t xml:space="preserve">юритизації регулюються договорами між сторонами, що спираються на </w:t>
      </w:r>
      <w:r w:rsidR="002F70C1" w:rsidRPr="0024327D">
        <w:rPr>
          <w:lang w:val="uk-UA"/>
        </w:rPr>
        <w:t xml:space="preserve">законодавство </w:t>
      </w:r>
      <w:r w:rsidR="00ED625E" w:rsidRPr="0024327D">
        <w:rPr>
          <w:lang w:val="uk-UA"/>
        </w:rPr>
        <w:t>про дериватив</w:t>
      </w:r>
      <w:r w:rsidR="00B6173D" w:rsidRPr="0024327D">
        <w:rPr>
          <w:lang w:val="uk-UA"/>
        </w:rPr>
        <w:t>ні фінансові інструменти</w:t>
      </w:r>
      <w:r w:rsidR="00ED625E" w:rsidRPr="0024327D">
        <w:rPr>
          <w:lang w:val="uk-UA"/>
        </w:rPr>
        <w:t>, а</w:t>
      </w:r>
      <w:r w:rsidRPr="0024327D">
        <w:rPr>
          <w:lang w:val="uk-UA"/>
        </w:rPr>
        <w:t xml:space="preserve"> не на закон про сек</w:t>
      </w:r>
      <w:r w:rsidR="00210E9C" w:rsidRPr="0024327D">
        <w:rPr>
          <w:lang w:val="uk-UA"/>
        </w:rPr>
        <w:t>’</w:t>
      </w:r>
      <w:r w:rsidRPr="0024327D">
        <w:rPr>
          <w:lang w:val="uk-UA"/>
        </w:rPr>
        <w:t xml:space="preserve">юритизацію. Крім того, вони використовуються лише для зменшення </w:t>
      </w:r>
      <w:r w:rsidR="00F556AE" w:rsidRPr="0024327D">
        <w:rPr>
          <w:lang w:val="uk-UA"/>
        </w:rPr>
        <w:t xml:space="preserve">рівня необхідного </w:t>
      </w:r>
      <w:r w:rsidRPr="0024327D">
        <w:rPr>
          <w:lang w:val="uk-UA"/>
        </w:rPr>
        <w:t xml:space="preserve">капіталу або </w:t>
      </w:r>
      <w:r w:rsidR="00F556AE" w:rsidRPr="0024327D">
        <w:rPr>
          <w:lang w:val="uk-UA"/>
        </w:rPr>
        <w:t xml:space="preserve">арбітражу </w:t>
      </w:r>
      <w:r w:rsidRPr="0024327D">
        <w:rPr>
          <w:lang w:val="uk-UA"/>
        </w:rPr>
        <w:t>(фінансов</w:t>
      </w:r>
      <w:r w:rsidR="006F2AC9" w:rsidRPr="0024327D">
        <w:rPr>
          <w:lang w:val="uk-UA"/>
        </w:rPr>
        <w:t>их</w:t>
      </w:r>
      <w:r w:rsidRPr="0024327D">
        <w:rPr>
          <w:lang w:val="uk-UA"/>
        </w:rPr>
        <w:t xml:space="preserve"> спекуляці</w:t>
      </w:r>
      <w:r w:rsidR="006F2AC9" w:rsidRPr="0024327D">
        <w:rPr>
          <w:lang w:val="uk-UA"/>
        </w:rPr>
        <w:t>й</w:t>
      </w:r>
      <w:r w:rsidRPr="0024327D">
        <w:rPr>
          <w:lang w:val="uk-UA"/>
        </w:rPr>
        <w:t xml:space="preserve">), а не для </w:t>
      </w:r>
      <w:r w:rsidR="00F556AE" w:rsidRPr="0024327D">
        <w:rPr>
          <w:lang w:val="uk-UA"/>
        </w:rPr>
        <w:t xml:space="preserve">залучення </w:t>
      </w:r>
      <w:r w:rsidRPr="0024327D">
        <w:rPr>
          <w:lang w:val="uk-UA"/>
        </w:rPr>
        <w:t>фінансування. Т</w:t>
      </w:r>
      <w:r w:rsidR="00ED625E" w:rsidRPr="0024327D">
        <w:rPr>
          <w:lang w:val="uk-UA"/>
        </w:rPr>
        <w:t>ому</w:t>
      </w:r>
      <w:r w:rsidRPr="0024327D">
        <w:rPr>
          <w:lang w:val="uk-UA"/>
        </w:rPr>
        <w:t xml:space="preserve"> </w:t>
      </w:r>
      <w:r w:rsidR="00B6173D" w:rsidRPr="0024327D">
        <w:rPr>
          <w:lang w:val="uk-UA"/>
        </w:rPr>
        <w:t xml:space="preserve">вони були </w:t>
      </w:r>
      <w:r w:rsidRPr="0024327D">
        <w:rPr>
          <w:lang w:val="uk-UA"/>
        </w:rPr>
        <w:t>виключ</w:t>
      </w:r>
      <w:r w:rsidR="00B6173D" w:rsidRPr="0024327D">
        <w:rPr>
          <w:lang w:val="uk-UA"/>
        </w:rPr>
        <w:t>ені</w:t>
      </w:r>
      <w:r w:rsidRPr="0024327D">
        <w:rPr>
          <w:lang w:val="uk-UA"/>
        </w:rPr>
        <w:t xml:space="preserve">  </w:t>
      </w:r>
      <w:r w:rsidR="00ED625E" w:rsidRPr="0024327D">
        <w:rPr>
          <w:lang w:val="uk-UA"/>
        </w:rPr>
        <w:t xml:space="preserve">з </w:t>
      </w:r>
      <w:r w:rsidR="00B6173D" w:rsidRPr="0024327D">
        <w:rPr>
          <w:lang w:val="uk-UA"/>
        </w:rPr>
        <w:t xml:space="preserve"> периметру </w:t>
      </w:r>
      <w:r w:rsidR="00ED625E" w:rsidRPr="0024327D">
        <w:rPr>
          <w:lang w:val="uk-UA"/>
        </w:rPr>
        <w:t xml:space="preserve">цього </w:t>
      </w:r>
      <w:r w:rsidRPr="0024327D">
        <w:rPr>
          <w:lang w:val="uk-UA"/>
        </w:rPr>
        <w:t>про</w:t>
      </w:r>
      <w:r w:rsidR="005312A7" w:rsidRPr="0024327D">
        <w:rPr>
          <w:lang w:val="uk-UA"/>
        </w:rPr>
        <w:t>є</w:t>
      </w:r>
      <w:r w:rsidRPr="0024327D">
        <w:rPr>
          <w:lang w:val="uk-UA"/>
        </w:rPr>
        <w:t>кту.</w:t>
      </w:r>
    </w:p>
    <w:p w14:paraId="1FFEC7C8" w14:textId="7991ABB5" w:rsidR="005D3932" w:rsidRPr="0024327D" w:rsidRDefault="00ED625E" w:rsidP="000E107C">
      <w:pPr>
        <w:pStyle w:val="3"/>
        <w:rPr>
          <w:lang w:val="uk-UA"/>
        </w:rPr>
      </w:pPr>
      <w:bookmarkStart w:id="33" w:name="_Toc95480976"/>
      <w:r w:rsidRPr="0024327D">
        <w:rPr>
          <w:lang w:val="uk-UA"/>
        </w:rPr>
        <w:t>Сек</w:t>
      </w:r>
      <w:r w:rsidR="00210E9C" w:rsidRPr="0024327D">
        <w:rPr>
          <w:lang w:val="uk-UA"/>
        </w:rPr>
        <w:t>’</w:t>
      </w:r>
      <w:r w:rsidRPr="0024327D">
        <w:rPr>
          <w:lang w:val="uk-UA"/>
        </w:rPr>
        <w:t>юритизація майбутніх надходжень</w:t>
      </w:r>
      <w:bookmarkEnd w:id="33"/>
    </w:p>
    <w:p w14:paraId="0C4303B9" w14:textId="0105B975" w:rsidR="005D3932" w:rsidRPr="0024327D" w:rsidRDefault="00ED625E" w:rsidP="00501D25">
      <w:pPr>
        <w:rPr>
          <w:lang w:val="uk-UA"/>
        </w:rPr>
      </w:pPr>
      <w:r w:rsidRPr="0024327D">
        <w:rPr>
          <w:lang w:val="uk-UA"/>
        </w:rPr>
        <w:t>При сек’юритизації майбутніх надходжень, як і при традиційній сек</w:t>
      </w:r>
      <w:r w:rsidR="00210E9C" w:rsidRPr="0024327D">
        <w:rPr>
          <w:lang w:val="uk-UA"/>
        </w:rPr>
        <w:t>’</w:t>
      </w:r>
      <w:r w:rsidRPr="0024327D">
        <w:rPr>
          <w:lang w:val="uk-UA"/>
        </w:rPr>
        <w:t xml:space="preserve">юритизації, активи використовуються для забезпечення </w:t>
      </w:r>
      <w:r w:rsidR="004F6969" w:rsidRPr="0024327D">
        <w:rPr>
          <w:lang w:val="uk-UA"/>
        </w:rPr>
        <w:t xml:space="preserve">платежів за </w:t>
      </w:r>
      <w:r w:rsidRPr="0024327D">
        <w:rPr>
          <w:lang w:val="uk-UA"/>
        </w:rPr>
        <w:t>облігаці</w:t>
      </w:r>
      <w:r w:rsidR="004F6969" w:rsidRPr="0024327D">
        <w:rPr>
          <w:lang w:val="uk-UA"/>
        </w:rPr>
        <w:t>ями</w:t>
      </w:r>
      <w:r w:rsidRPr="0024327D">
        <w:rPr>
          <w:lang w:val="uk-UA"/>
        </w:rPr>
        <w:t>. Однак, на відміну від традиційної сек</w:t>
      </w:r>
      <w:r w:rsidR="00210E9C" w:rsidRPr="0024327D">
        <w:rPr>
          <w:lang w:val="uk-UA"/>
        </w:rPr>
        <w:t>’</w:t>
      </w:r>
      <w:r w:rsidRPr="0024327D">
        <w:rPr>
          <w:lang w:val="uk-UA"/>
        </w:rPr>
        <w:t>юритизації, дії, внаслідок яких виникає дебіторс</w:t>
      </w:r>
      <w:r w:rsidR="00C26A7E" w:rsidRPr="0024327D">
        <w:rPr>
          <w:lang w:val="uk-UA"/>
        </w:rPr>
        <w:t>ь</w:t>
      </w:r>
      <w:r w:rsidRPr="0024327D">
        <w:rPr>
          <w:lang w:val="uk-UA"/>
        </w:rPr>
        <w:t xml:space="preserve">ка заборгованість (наприклад, надання </w:t>
      </w:r>
      <w:r w:rsidR="004F6969" w:rsidRPr="0024327D">
        <w:rPr>
          <w:lang w:val="uk-UA"/>
        </w:rPr>
        <w:t xml:space="preserve">кредиту </w:t>
      </w:r>
      <w:r w:rsidRPr="0024327D">
        <w:rPr>
          <w:lang w:val="uk-UA"/>
        </w:rPr>
        <w:t xml:space="preserve">клієнту), </w:t>
      </w:r>
      <w:r w:rsidR="004F6969" w:rsidRPr="0024327D">
        <w:rPr>
          <w:lang w:val="uk-UA"/>
        </w:rPr>
        <w:t xml:space="preserve">на момент сек’юритизації </w:t>
      </w:r>
      <w:r w:rsidRPr="0024327D">
        <w:rPr>
          <w:lang w:val="uk-UA"/>
        </w:rPr>
        <w:t xml:space="preserve">ще не </w:t>
      </w:r>
      <w:r w:rsidR="00DF5024" w:rsidRPr="0024327D">
        <w:rPr>
          <w:lang w:val="uk-UA"/>
        </w:rPr>
        <w:t>здійснювалися</w:t>
      </w:r>
      <w:r w:rsidR="005D3932" w:rsidRPr="0024327D">
        <w:rPr>
          <w:lang w:val="uk-UA"/>
        </w:rPr>
        <w:t xml:space="preserve">. </w:t>
      </w:r>
    </w:p>
    <w:p w14:paraId="38905626" w14:textId="53A8801D" w:rsidR="00DF5024" w:rsidRPr="0024327D" w:rsidRDefault="00DF5024" w:rsidP="00501D25">
      <w:pPr>
        <w:rPr>
          <w:lang w:val="uk-UA"/>
        </w:rPr>
      </w:pPr>
      <w:r w:rsidRPr="0024327D">
        <w:rPr>
          <w:lang w:val="uk-UA"/>
        </w:rPr>
        <w:t xml:space="preserve">Сек’юритизація майбутніх надходжень є </w:t>
      </w:r>
      <w:r w:rsidR="008E3907" w:rsidRPr="0024327D">
        <w:rPr>
          <w:lang w:val="uk-UA"/>
        </w:rPr>
        <w:t>прийнятною</w:t>
      </w:r>
      <w:r w:rsidRPr="0024327D">
        <w:rPr>
          <w:lang w:val="uk-UA"/>
        </w:rPr>
        <w:t xml:space="preserve"> у випадках, коли ймовірність виникнення дебіторської заборгованості вища за рейтинг, який був </w:t>
      </w:r>
      <w:r w:rsidR="00C26A7E" w:rsidRPr="0024327D">
        <w:rPr>
          <w:lang w:val="uk-UA"/>
        </w:rPr>
        <w:t xml:space="preserve">би </w:t>
      </w:r>
      <w:r w:rsidRPr="0024327D">
        <w:rPr>
          <w:lang w:val="uk-UA"/>
        </w:rPr>
        <w:t xml:space="preserve">присвоєний емітенту у процесі звичайної фінансово-господарської діяльності. Приклади </w:t>
      </w:r>
      <w:r w:rsidR="008E3907" w:rsidRPr="0024327D">
        <w:rPr>
          <w:lang w:val="uk-UA"/>
        </w:rPr>
        <w:t>так</w:t>
      </w:r>
      <w:r w:rsidR="00B6173D" w:rsidRPr="0024327D">
        <w:rPr>
          <w:lang w:val="uk-UA"/>
        </w:rPr>
        <w:t>и</w:t>
      </w:r>
      <w:r w:rsidR="008E3907" w:rsidRPr="0024327D">
        <w:rPr>
          <w:lang w:val="uk-UA"/>
        </w:rPr>
        <w:t xml:space="preserve">х надходжень </w:t>
      </w:r>
      <w:r w:rsidRPr="0024327D">
        <w:rPr>
          <w:lang w:val="uk-UA"/>
        </w:rPr>
        <w:t>включають:</w:t>
      </w:r>
    </w:p>
    <w:p w14:paraId="51702E33" w14:textId="008CD3E8" w:rsidR="005D3932" w:rsidRPr="0024327D" w:rsidRDefault="00E66046" w:rsidP="00501D25">
      <w:pPr>
        <w:rPr>
          <w:b/>
          <w:lang w:val="uk-UA"/>
        </w:rPr>
      </w:pPr>
      <w:r w:rsidRPr="0024327D">
        <w:rPr>
          <w:b/>
          <w:lang w:val="uk-UA"/>
        </w:rPr>
        <w:t>Іноземна дебіторська з</w:t>
      </w:r>
      <w:r w:rsidR="00EF4847" w:rsidRPr="0024327D">
        <w:rPr>
          <w:b/>
          <w:lang w:val="uk-UA"/>
        </w:rPr>
        <w:t xml:space="preserve">аборгованість </w:t>
      </w:r>
    </w:p>
    <w:p w14:paraId="57A94155" w14:textId="6EC62622" w:rsidR="00B044B1" w:rsidRPr="0024327D" w:rsidRDefault="00EF4847" w:rsidP="00501D25">
      <w:pPr>
        <w:rPr>
          <w:lang w:val="uk-UA"/>
        </w:rPr>
      </w:pPr>
      <w:r w:rsidRPr="0024327D">
        <w:rPr>
          <w:lang w:val="uk-UA"/>
        </w:rPr>
        <w:t xml:space="preserve">Якщо рейтинг країни, резидентом якої є </w:t>
      </w:r>
      <w:r w:rsidR="00E171BB" w:rsidRPr="0024327D">
        <w:rPr>
          <w:lang w:val="uk-UA"/>
        </w:rPr>
        <w:t>оригінатор</w:t>
      </w:r>
      <w:r w:rsidRPr="0024327D">
        <w:rPr>
          <w:lang w:val="uk-UA"/>
        </w:rPr>
        <w:t xml:space="preserve">, обмежує його власний кредитний рейтинг (наприклад, через ризик введення </w:t>
      </w:r>
      <w:r w:rsidR="00EC464A" w:rsidRPr="0024327D">
        <w:rPr>
          <w:lang w:val="uk-UA"/>
        </w:rPr>
        <w:t xml:space="preserve">валютного </w:t>
      </w:r>
      <w:r w:rsidRPr="0024327D">
        <w:rPr>
          <w:lang w:val="uk-UA"/>
        </w:rPr>
        <w:t xml:space="preserve">контролю), і якщо </w:t>
      </w:r>
      <w:r w:rsidR="00225E9F" w:rsidRPr="0024327D">
        <w:rPr>
          <w:lang w:val="uk-UA"/>
        </w:rPr>
        <w:t xml:space="preserve">оригінатор </w:t>
      </w:r>
      <w:r w:rsidRPr="0024327D">
        <w:rPr>
          <w:lang w:val="uk-UA"/>
        </w:rPr>
        <w:t xml:space="preserve">має достатні грошові надходження за межами країни (що не будуть об’єктом </w:t>
      </w:r>
      <w:r w:rsidR="00F77157" w:rsidRPr="0024327D">
        <w:rPr>
          <w:lang w:val="uk-UA"/>
        </w:rPr>
        <w:t xml:space="preserve">валютного </w:t>
      </w:r>
      <w:r w:rsidRPr="0024327D">
        <w:rPr>
          <w:lang w:val="uk-UA"/>
        </w:rPr>
        <w:t xml:space="preserve">контролю), </w:t>
      </w:r>
      <w:r w:rsidR="009A7D93" w:rsidRPr="0024327D">
        <w:rPr>
          <w:lang w:val="uk-UA"/>
        </w:rPr>
        <w:t xml:space="preserve">кредитний рейтинг </w:t>
      </w:r>
      <w:r w:rsidR="009A7D93" w:rsidRPr="0024327D">
        <w:rPr>
          <w:lang w:val="uk-UA"/>
        </w:rPr>
        <w:lastRenderedPageBreak/>
        <w:t xml:space="preserve">щодо </w:t>
      </w:r>
      <w:r w:rsidRPr="0024327D">
        <w:rPr>
          <w:lang w:val="uk-UA"/>
        </w:rPr>
        <w:t>трансакці</w:t>
      </w:r>
      <w:r w:rsidR="009A7D93" w:rsidRPr="0024327D">
        <w:rPr>
          <w:lang w:val="uk-UA"/>
        </w:rPr>
        <w:t>ї</w:t>
      </w:r>
      <w:r w:rsidRPr="0024327D">
        <w:rPr>
          <w:lang w:val="uk-UA"/>
        </w:rPr>
        <w:t xml:space="preserve"> може </w:t>
      </w:r>
      <w:r w:rsidR="009A7D93" w:rsidRPr="0024327D">
        <w:rPr>
          <w:lang w:val="uk-UA"/>
        </w:rPr>
        <w:t>бути більш високим, ніж суверенний кредитний рейтинг самої країни.</w:t>
      </w:r>
      <w:r w:rsidRPr="0024327D">
        <w:rPr>
          <w:lang w:val="uk-UA"/>
        </w:rPr>
        <w:t xml:space="preserve"> Наприклад, турецькі банки </w:t>
      </w:r>
      <w:r w:rsidR="00814D27" w:rsidRPr="0024327D">
        <w:rPr>
          <w:lang w:val="uk-UA"/>
        </w:rPr>
        <w:t xml:space="preserve">здійснювали сек’юритизацію щодо </w:t>
      </w:r>
      <w:r w:rsidR="00B415E8" w:rsidRPr="0024327D">
        <w:rPr>
          <w:lang w:val="uk-UA"/>
        </w:rPr>
        <w:t>майбутні</w:t>
      </w:r>
      <w:r w:rsidR="00814D27" w:rsidRPr="0024327D">
        <w:rPr>
          <w:lang w:val="uk-UA"/>
        </w:rPr>
        <w:t>х</w:t>
      </w:r>
      <w:r w:rsidR="00B415E8" w:rsidRPr="0024327D">
        <w:rPr>
          <w:lang w:val="uk-UA"/>
        </w:rPr>
        <w:t xml:space="preserve"> надходжен</w:t>
      </w:r>
      <w:r w:rsidR="00814D27" w:rsidRPr="0024327D">
        <w:rPr>
          <w:lang w:val="uk-UA"/>
        </w:rPr>
        <w:t>ь</w:t>
      </w:r>
      <w:r w:rsidR="00B415E8" w:rsidRPr="0024327D">
        <w:rPr>
          <w:lang w:val="uk-UA"/>
        </w:rPr>
        <w:t>, які</w:t>
      </w:r>
      <w:r w:rsidRPr="0024327D">
        <w:rPr>
          <w:lang w:val="uk-UA"/>
        </w:rPr>
        <w:t xml:space="preserve"> їх філії або дочірні компанії отримують в Європейському Союзі від роздрібних клієнтів</w:t>
      </w:r>
      <w:r w:rsidR="00B044B1" w:rsidRPr="0024327D">
        <w:rPr>
          <w:lang w:val="uk-UA"/>
        </w:rPr>
        <w:t xml:space="preserve">. </w:t>
      </w:r>
    </w:p>
    <w:p w14:paraId="13989D5D" w14:textId="6D1FE9E6" w:rsidR="00B415E8" w:rsidRPr="0024327D" w:rsidRDefault="00B415E8" w:rsidP="00B415E8">
      <w:pPr>
        <w:rPr>
          <w:b/>
          <w:lang w:val="uk-UA"/>
        </w:rPr>
      </w:pPr>
      <w:r w:rsidRPr="0024327D">
        <w:rPr>
          <w:b/>
          <w:lang w:val="uk-UA"/>
        </w:rPr>
        <w:t xml:space="preserve">Дебіторська заборгованість, що продовжує </w:t>
      </w:r>
      <w:r w:rsidR="00F77157" w:rsidRPr="0024327D">
        <w:rPr>
          <w:b/>
          <w:lang w:val="uk-UA"/>
        </w:rPr>
        <w:t xml:space="preserve">генеруватись </w:t>
      </w:r>
      <w:r w:rsidRPr="0024327D">
        <w:rPr>
          <w:b/>
          <w:lang w:val="uk-UA"/>
        </w:rPr>
        <w:t>після неплатоспроможності</w:t>
      </w:r>
    </w:p>
    <w:p w14:paraId="73B291AC" w14:textId="16532A54" w:rsidR="00B415E8" w:rsidRPr="0024327D" w:rsidRDefault="00B415E8" w:rsidP="00B415E8">
      <w:pPr>
        <w:rPr>
          <w:bCs/>
          <w:lang w:val="uk-UA"/>
        </w:rPr>
      </w:pPr>
      <w:r w:rsidRPr="0024327D">
        <w:rPr>
          <w:bCs/>
          <w:lang w:val="uk-UA"/>
        </w:rPr>
        <w:t xml:space="preserve">Деякі </w:t>
      </w:r>
      <w:r w:rsidR="008936ED" w:rsidRPr="0024327D">
        <w:rPr>
          <w:bCs/>
          <w:lang w:val="uk-UA"/>
        </w:rPr>
        <w:t xml:space="preserve">види </w:t>
      </w:r>
      <w:r w:rsidRPr="0024327D">
        <w:rPr>
          <w:bCs/>
          <w:lang w:val="uk-UA"/>
        </w:rPr>
        <w:t>дебіторськ</w:t>
      </w:r>
      <w:r w:rsidR="008936ED" w:rsidRPr="0024327D">
        <w:rPr>
          <w:bCs/>
          <w:lang w:val="uk-UA"/>
        </w:rPr>
        <w:t>ої</w:t>
      </w:r>
      <w:r w:rsidRPr="0024327D">
        <w:rPr>
          <w:bCs/>
          <w:lang w:val="uk-UA"/>
        </w:rPr>
        <w:t xml:space="preserve"> заборгованості </w:t>
      </w:r>
      <w:r w:rsidR="00640BD2" w:rsidRPr="0024327D">
        <w:rPr>
          <w:bCs/>
          <w:lang w:val="uk-UA"/>
        </w:rPr>
        <w:t>в силу дії закону</w:t>
      </w:r>
      <w:r w:rsidRPr="0024327D">
        <w:rPr>
          <w:bCs/>
          <w:lang w:val="uk-UA"/>
        </w:rPr>
        <w:t xml:space="preserve"> не залежать від подальшого існування </w:t>
      </w:r>
      <w:r w:rsidR="00A20526" w:rsidRPr="0024327D">
        <w:rPr>
          <w:bCs/>
          <w:lang w:val="uk-UA"/>
        </w:rPr>
        <w:t>оригінатора</w:t>
      </w:r>
      <w:r w:rsidRPr="0024327D">
        <w:rPr>
          <w:bCs/>
          <w:lang w:val="uk-UA"/>
        </w:rPr>
        <w:t xml:space="preserve">. Наприклад, частина </w:t>
      </w:r>
      <w:r w:rsidR="00640BD2" w:rsidRPr="0024327D">
        <w:rPr>
          <w:bCs/>
          <w:lang w:val="uk-UA"/>
        </w:rPr>
        <w:t>витрат</w:t>
      </w:r>
      <w:r w:rsidR="00210E9C" w:rsidRPr="0024327D">
        <w:rPr>
          <w:bCs/>
          <w:lang w:val="uk-UA"/>
        </w:rPr>
        <w:t xml:space="preserve">, включених до </w:t>
      </w:r>
      <w:r w:rsidR="007E43C6" w:rsidRPr="0024327D">
        <w:rPr>
          <w:bCs/>
          <w:lang w:val="uk-UA"/>
        </w:rPr>
        <w:t>плати</w:t>
      </w:r>
      <w:r w:rsidR="00210E9C" w:rsidRPr="0024327D">
        <w:rPr>
          <w:bCs/>
          <w:lang w:val="uk-UA"/>
        </w:rPr>
        <w:t xml:space="preserve"> за</w:t>
      </w:r>
      <w:r w:rsidR="00640BD2" w:rsidRPr="0024327D">
        <w:rPr>
          <w:bCs/>
          <w:lang w:val="uk-UA"/>
        </w:rPr>
        <w:t xml:space="preserve"> </w:t>
      </w:r>
      <w:r w:rsidRPr="0024327D">
        <w:rPr>
          <w:bCs/>
          <w:lang w:val="uk-UA"/>
        </w:rPr>
        <w:t>комунальн</w:t>
      </w:r>
      <w:r w:rsidR="00210E9C" w:rsidRPr="0024327D">
        <w:rPr>
          <w:bCs/>
          <w:lang w:val="uk-UA"/>
        </w:rPr>
        <w:t>і</w:t>
      </w:r>
      <w:r w:rsidRPr="0024327D">
        <w:rPr>
          <w:bCs/>
          <w:lang w:val="uk-UA"/>
        </w:rPr>
        <w:t xml:space="preserve"> п</w:t>
      </w:r>
      <w:r w:rsidR="00640BD2" w:rsidRPr="0024327D">
        <w:rPr>
          <w:bCs/>
          <w:lang w:val="uk-UA"/>
        </w:rPr>
        <w:t>ослуг</w:t>
      </w:r>
      <w:r w:rsidR="00210E9C" w:rsidRPr="0024327D">
        <w:rPr>
          <w:bCs/>
          <w:lang w:val="uk-UA"/>
        </w:rPr>
        <w:t>и</w:t>
      </w:r>
      <w:r w:rsidR="00552DFF" w:rsidRPr="0024327D">
        <w:rPr>
          <w:bCs/>
          <w:lang w:val="uk-UA"/>
        </w:rPr>
        <w:t>,</w:t>
      </w:r>
      <w:r w:rsidRPr="0024327D">
        <w:rPr>
          <w:bCs/>
          <w:lang w:val="uk-UA"/>
        </w:rPr>
        <w:t xml:space="preserve"> у деяких юрисдикціях стосується структурних витрат галузі</w:t>
      </w:r>
      <w:r w:rsidR="00640BD2" w:rsidRPr="0024327D">
        <w:rPr>
          <w:bCs/>
          <w:lang w:val="uk-UA"/>
        </w:rPr>
        <w:t xml:space="preserve">, а саме </w:t>
      </w:r>
      <w:r w:rsidRPr="0024327D">
        <w:rPr>
          <w:bCs/>
          <w:lang w:val="uk-UA"/>
        </w:rPr>
        <w:t xml:space="preserve">таких, як витрати на забезпечення відповідності новому законодавству або погашення платежів, недоотриманих за попередній роки, а не </w:t>
      </w:r>
      <w:r w:rsidR="008936ED" w:rsidRPr="0024327D">
        <w:rPr>
          <w:bCs/>
          <w:lang w:val="uk-UA"/>
        </w:rPr>
        <w:t xml:space="preserve">послуг, </w:t>
      </w:r>
      <w:r w:rsidR="008E0219" w:rsidRPr="0024327D">
        <w:rPr>
          <w:bCs/>
          <w:lang w:val="uk-UA"/>
        </w:rPr>
        <w:t xml:space="preserve">наданих </w:t>
      </w:r>
      <w:r w:rsidR="008936ED" w:rsidRPr="0024327D">
        <w:rPr>
          <w:bCs/>
          <w:lang w:val="uk-UA"/>
        </w:rPr>
        <w:t>підприємством</w:t>
      </w:r>
      <w:r w:rsidR="00031D4B" w:rsidRPr="0024327D">
        <w:rPr>
          <w:bCs/>
          <w:lang w:val="uk-UA"/>
        </w:rPr>
        <w:t>, що надає комунальні послуги</w:t>
      </w:r>
      <w:r w:rsidRPr="0024327D">
        <w:rPr>
          <w:bCs/>
          <w:lang w:val="uk-UA"/>
        </w:rPr>
        <w:t xml:space="preserve">. У такому випадку </w:t>
      </w:r>
      <w:r w:rsidR="008936ED" w:rsidRPr="0024327D">
        <w:rPr>
          <w:bCs/>
          <w:lang w:val="uk-UA"/>
        </w:rPr>
        <w:t xml:space="preserve">виникає </w:t>
      </w:r>
      <w:r w:rsidRPr="0024327D">
        <w:rPr>
          <w:bCs/>
          <w:lang w:val="uk-UA"/>
        </w:rPr>
        <w:t>право на дебіторську заборгованість, яка продовжує існувати після визнання підприємства</w:t>
      </w:r>
      <w:r w:rsidR="00817585" w:rsidRPr="0024327D">
        <w:rPr>
          <w:bCs/>
          <w:lang w:val="uk-UA"/>
        </w:rPr>
        <w:t>, яке надає комунальні послуги,</w:t>
      </w:r>
      <w:r w:rsidRPr="0024327D">
        <w:rPr>
          <w:bCs/>
          <w:lang w:val="uk-UA"/>
        </w:rPr>
        <w:t xml:space="preserve"> неплатоспроможним</w:t>
      </w:r>
      <w:r w:rsidR="008E0219" w:rsidRPr="0024327D">
        <w:rPr>
          <w:bCs/>
          <w:lang w:val="uk-UA"/>
        </w:rPr>
        <w:t>, і яка</w:t>
      </w:r>
      <w:r w:rsidRPr="0024327D">
        <w:rPr>
          <w:bCs/>
          <w:lang w:val="uk-UA"/>
        </w:rPr>
        <w:t xml:space="preserve"> може бути продана </w:t>
      </w:r>
      <w:r w:rsidR="008E0219" w:rsidRPr="0024327D">
        <w:rPr>
          <w:bCs/>
          <w:lang w:val="uk-UA"/>
        </w:rPr>
        <w:t xml:space="preserve">компанії спеціального призначення </w:t>
      </w:r>
      <w:r w:rsidRPr="0024327D">
        <w:rPr>
          <w:bCs/>
          <w:lang w:val="uk-UA"/>
        </w:rPr>
        <w:t>як основа для фінансування. У разі неплатоспроможності підприємства</w:t>
      </w:r>
      <w:r w:rsidR="00817585" w:rsidRPr="0024327D">
        <w:rPr>
          <w:bCs/>
          <w:lang w:val="uk-UA"/>
        </w:rPr>
        <w:t>, яке надає комунальні послуги,</w:t>
      </w:r>
      <w:r w:rsidRPr="0024327D">
        <w:rPr>
          <w:bCs/>
          <w:lang w:val="uk-UA"/>
        </w:rPr>
        <w:t xml:space="preserve"> </w:t>
      </w:r>
      <w:r w:rsidR="008E0219" w:rsidRPr="0024327D">
        <w:rPr>
          <w:bCs/>
          <w:lang w:val="uk-UA"/>
        </w:rPr>
        <w:t>так</w:t>
      </w:r>
      <w:r w:rsidR="008936ED" w:rsidRPr="0024327D">
        <w:rPr>
          <w:bCs/>
          <w:lang w:val="uk-UA"/>
        </w:rPr>
        <w:t>е</w:t>
      </w:r>
      <w:r w:rsidR="008E0219" w:rsidRPr="0024327D">
        <w:rPr>
          <w:bCs/>
          <w:lang w:val="uk-UA"/>
        </w:rPr>
        <w:t xml:space="preserve"> </w:t>
      </w:r>
      <w:r w:rsidRPr="0024327D">
        <w:rPr>
          <w:bCs/>
          <w:lang w:val="uk-UA"/>
        </w:rPr>
        <w:t>прав</w:t>
      </w:r>
      <w:r w:rsidR="008936ED" w:rsidRPr="0024327D">
        <w:rPr>
          <w:bCs/>
          <w:lang w:val="uk-UA"/>
        </w:rPr>
        <w:t>о</w:t>
      </w:r>
      <w:r w:rsidRPr="0024327D">
        <w:rPr>
          <w:bCs/>
          <w:lang w:val="uk-UA"/>
        </w:rPr>
        <w:t xml:space="preserve"> продовжу</w:t>
      </w:r>
      <w:r w:rsidR="008936ED" w:rsidRPr="0024327D">
        <w:rPr>
          <w:bCs/>
          <w:lang w:val="uk-UA"/>
        </w:rPr>
        <w:t>є</w:t>
      </w:r>
      <w:r w:rsidRPr="0024327D">
        <w:rPr>
          <w:bCs/>
          <w:lang w:val="uk-UA"/>
        </w:rPr>
        <w:t xml:space="preserve"> існувати, а платежі </w:t>
      </w:r>
      <w:r w:rsidR="008E0219" w:rsidRPr="0024327D">
        <w:rPr>
          <w:bCs/>
          <w:lang w:val="uk-UA"/>
        </w:rPr>
        <w:t xml:space="preserve">стягуватиме підприємство, </w:t>
      </w:r>
      <w:r w:rsidR="00CE27B6" w:rsidRPr="0024327D">
        <w:rPr>
          <w:bCs/>
          <w:lang w:val="uk-UA"/>
        </w:rPr>
        <w:t xml:space="preserve">яке надає комунальні послуги, </w:t>
      </w:r>
      <w:r w:rsidR="008E0219" w:rsidRPr="0024327D">
        <w:rPr>
          <w:bCs/>
          <w:lang w:val="uk-UA"/>
        </w:rPr>
        <w:t>що замінює підприємство-банкрута.</w:t>
      </w:r>
      <w:r w:rsidRPr="0024327D">
        <w:rPr>
          <w:bCs/>
          <w:lang w:val="uk-UA"/>
        </w:rPr>
        <w:t xml:space="preserve"> У деяких країнах, зокрема</w:t>
      </w:r>
      <w:r w:rsidR="008E0219" w:rsidRPr="0024327D">
        <w:rPr>
          <w:bCs/>
          <w:lang w:val="uk-UA"/>
        </w:rPr>
        <w:t xml:space="preserve">, у </w:t>
      </w:r>
      <w:r w:rsidRPr="0024327D">
        <w:rPr>
          <w:bCs/>
          <w:lang w:val="uk-UA"/>
        </w:rPr>
        <w:t>США, Іспанії та Португалії, ця частина тарифу була сек'юритизована.</w:t>
      </w:r>
    </w:p>
    <w:p w14:paraId="47E1E0F3" w14:textId="4ADBFCDF" w:rsidR="005D3932" w:rsidRPr="0024327D" w:rsidRDefault="00440C61" w:rsidP="00501D25">
      <w:pPr>
        <w:rPr>
          <w:b/>
          <w:lang w:val="uk-UA"/>
        </w:rPr>
      </w:pPr>
      <w:r w:rsidRPr="0024327D">
        <w:rPr>
          <w:b/>
          <w:lang w:val="uk-UA"/>
        </w:rPr>
        <w:t xml:space="preserve">Безпечніша дебіторська заборгованість </w:t>
      </w:r>
      <w:r w:rsidR="008936ED" w:rsidRPr="0024327D">
        <w:rPr>
          <w:b/>
          <w:lang w:val="uk-UA"/>
        </w:rPr>
        <w:t xml:space="preserve">при </w:t>
      </w:r>
      <w:r w:rsidRPr="0024327D">
        <w:rPr>
          <w:b/>
          <w:lang w:val="uk-UA"/>
        </w:rPr>
        <w:t>менш</w:t>
      </w:r>
      <w:r w:rsidR="008936ED" w:rsidRPr="0024327D">
        <w:rPr>
          <w:b/>
          <w:lang w:val="uk-UA"/>
        </w:rPr>
        <w:t>ій</w:t>
      </w:r>
      <w:r w:rsidRPr="0024327D">
        <w:rPr>
          <w:b/>
          <w:lang w:val="uk-UA"/>
        </w:rPr>
        <w:t xml:space="preserve"> кредитоспроможн</w:t>
      </w:r>
      <w:r w:rsidR="008936ED" w:rsidRPr="0024327D">
        <w:rPr>
          <w:b/>
          <w:lang w:val="uk-UA"/>
        </w:rPr>
        <w:t>ості</w:t>
      </w:r>
      <w:r w:rsidRPr="0024327D">
        <w:rPr>
          <w:b/>
          <w:lang w:val="uk-UA"/>
        </w:rPr>
        <w:t xml:space="preserve"> суб’єктів господарювання</w:t>
      </w:r>
    </w:p>
    <w:p w14:paraId="107E2897" w14:textId="0F8B9DAE" w:rsidR="008E0219" w:rsidRPr="0024327D" w:rsidRDefault="008E0219" w:rsidP="00501D25">
      <w:pPr>
        <w:rPr>
          <w:lang w:val="uk-UA"/>
        </w:rPr>
      </w:pPr>
      <w:r w:rsidRPr="0024327D">
        <w:rPr>
          <w:lang w:val="uk-UA"/>
        </w:rPr>
        <w:t>У деяких випадках цілі підприємства, що входять до складу великих компаній, мають значно стабільніші грошові потоки і, при можливості їх відокремлення від ризиків</w:t>
      </w:r>
      <w:r w:rsidR="008936ED" w:rsidRPr="0024327D">
        <w:rPr>
          <w:lang w:val="uk-UA"/>
        </w:rPr>
        <w:t xml:space="preserve"> решти </w:t>
      </w:r>
      <w:r w:rsidRPr="0024327D">
        <w:rPr>
          <w:lang w:val="uk-UA"/>
        </w:rPr>
        <w:t xml:space="preserve">підприємств, можуть стати основою для сек'юритизації, яку іноді називають </w:t>
      </w:r>
      <w:r w:rsidR="00A16F44" w:rsidRPr="0024327D">
        <w:rPr>
          <w:lang w:val="uk-UA"/>
        </w:rPr>
        <w:t>“</w:t>
      </w:r>
      <w:r w:rsidRPr="0024327D">
        <w:rPr>
          <w:lang w:val="uk-UA"/>
        </w:rPr>
        <w:t xml:space="preserve">сек’юритизацією </w:t>
      </w:r>
      <w:r w:rsidR="008936ED" w:rsidRPr="0024327D">
        <w:rPr>
          <w:lang w:val="uk-UA"/>
        </w:rPr>
        <w:t>цілого</w:t>
      </w:r>
      <w:r w:rsidRPr="0024327D">
        <w:rPr>
          <w:lang w:val="uk-UA"/>
        </w:rPr>
        <w:t xml:space="preserve"> підприємства</w:t>
      </w:r>
      <w:r w:rsidR="00BD5F99" w:rsidRPr="0024327D">
        <w:rPr>
          <w:lang w:val="uk-UA"/>
        </w:rPr>
        <w:t>”</w:t>
      </w:r>
      <w:r w:rsidRPr="0024327D">
        <w:rPr>
          <w:lang w:val="uk-UA"/>
        </w:rPr>
        <w:t xml:space="preserve">. Типовим прикладом </w:t>
      </w:r>
      <w:r w:rsidR="008936ED" w:rsidRPr="0024327D">
        <w:rPr>
          <w:lang w:val="uk-UA"/>
        </w:rPr>
        <w:t xml:space="preserve">такої сек’юритизації </w:t>
      </w:r>
      <w:r w:rsidRPr="0024327D">
        <w:rPr>
          <w:lang w:val="uk-UA"/>
        </w:rPr>
        <w:t>може бути від</w:t>
      </w:r>
      <w:r w:rsidR="00A20526" w:rsidRPr="0024327D">
        <w:rPr>
          <w:lang w:val="uk-UA"/>
        </w:rPr>
        <w:t>окремлення</w:t>
      </w:r>
      <w:r w:rsidR="00440C61" w:rsidRPr="0024327D">
        <w:rPr>
          <w:lang w:val="uk-UA"/>
        </w:rPr>
        <w:t xml:space="preserve"> </w:t>
      </w:r>
      <w:r w:rsidRPr="0024327D">
        <w:rPr>
          <w:lang w:val="uk-UA"/>
        </w:rPr>
        <w:t xml:space="preserve">регульованих частин </w:t>
      </w:r>
      <w:r w:rsidR="00440C61" w:rsidRPr="0024327D">
        <w:rPr>
          <w:lang w:val="uk-UA"/>
        </w:rPr>
        <w:t>підприємства</w:t>
      </w:r>
      <w:r w:rsidR="009B59D8" w:rsidRPr="0024327D">
        <w:rPr>
          <w:lang w:val="uk-UA"/>
        </w:rPr>
        <w:t>, що надає комунальні п</w:t>
      </w:r>
      <w:r w:rsidR="0071640D" w:rsidRPr="0024327D">
        <w:rPr>
          <w:lang w:val="uk-UA"/>
        </w:rPr>
        <w:t>о</w:t>
      </w:r>
      <w:r w:rsidR="009B59D8" w:rsidRPr="0024327D">
        <w:rPr>
          <w:lang w:val="uk-UA"/>
        </w:rPr>
        <w:t>слуги,</w:t>
      </w:r>
      <w:r w:rsidR="00440C61" w:rsidRPr="0024327D">
        <w:rPr>
          <w:lang w:val="uk-UA"/>
        </w:rPr>
        <w:t xml:space="preserve"> </w:t>
      </w:r>
      <w:r w:rsidRPr="0024327D">
        <w:rPr>
          <w:lang w:val="uk-UA"/>
        </w:rPr>
        <w:t>від нерегульованих.</w:t>
      </w:r>
    </w:p>
    <w:p w14:paraId="1D57F520" w14:textId="133F6FF2" w:rsidR="005030D0" w:rsidRPr="0024327D" w:rsidRDefault="004E71AF" w:rsidP="000E107C">
      <w:pPr>
        <w:pStyle w:val="2"/>
        <w:rPr>
          <w:lang w:val="uk-UA"/>
        </w:rPr>
      </w:pPr>
      <w:bookmarkStart w:id="34" w:name="_Toc6942236"/>
      <w:bookmarkStart w:id="35" w:name="_Toc5081024"/>
      <w:bookmarkStart w:id="36" w:name="_Toc27153432"/>
      <w:bookmarkStart w:id="37" w:name="_Toc95480977"/>
      <w:r w:rsidRPr="0024327D">
        <w:rPr>
          <w:lang w:val="uk-UA"/>
        </w:rPr>
        <w:t>Альтернативні форм</w:t>
      </w:r>
      <w:r w:rsidR="00033D9D" w:rsidRPr="0024327D">
        <w:rPr>
          <w:lang w:val="uk-UA"/>
        </w:rPr>
        <w:t>и</w:t>
      </w:r>
      <w:r w:rsidRPr="0024327D">
        <w:rPr>
          <w:lang w:val="uk-UA"/>
        </w:rPr>
        <w:t xml:space="preserve"> облігацій</w:t>
      </w:r>
      <w:bookmarkEnd w:id="34"/>
      <w:bookmarkEnd w:id="35"/>
      <w:bookmarkEnd w:id="36"/>
      <w:r w:rsidR="004776E9" w:rsidRPr="0024327D">
        <w:rPr>
          <w:lang w:val="uk-UA"/>
        </w:rPr>
        <w:t xml:space="preserve"> з покриттям</w:t>
      </w:r>
      <w:bookmarkEnd w:id="37"/>
    </w:p>
    <w:p w14:paraId="15DDD2EE" w14:textId="0272B59E" w:rsidR="00C4535A" w:rsidRPr="0024327D" w:rsidRDefault="00C4535A" w:rsidP="00501D25">
      <w:pPr>
        <w:rPr>
          <w:lang w:val="uk-UA"/>
        </w:rPr>
      </w:pPr>
      <w:r w:rsidRPr="0024327D">
        <w:rPr>
          <w:lang w:val="uk-UA"/>
        </w:rPr>
        <w:t xml:space="preserve">Європейська комісія наразі вивчає можливість запровадження законодавства щодо </w:t>
      </w:r>
      <w:r w:rsidR="00A16F44" w:rsidRPr="0024327D">
        <w:rPr>
          <w:lang w:val="uk-UA"/>
        </w:rPr>
        <w:t>“</w:t>
      </w:r>
      <w:r w:rsidRPr="0024327D">
        <w:rPr>
          <w:lang w:val="uk-UA"/>
        </w:rPr>
        <w:t xml:space="preserve">Європейських забезпечених </w:t>
      </w:r>
      <w:r w:rsidR="00EF4837" w:rsidRPr="0024327D">
        <w:rPr>
          <w:lang w:val="uk-UA"/>
        </w:rPr>
        <w:t>облігацій</w:t>
      </w:r>
      <w:r w:rsidR="00BD5F99" w:rsidRPr="0024327D">
        <w:rPr>
          <w:lang w:val="uk-UA"/>
        </w:rPr>
        <w:t>”</w:t>
      </w:r>
      <w:r w:rsidRPr="0024327D">
        <w:rPr>
          <w:lang w:val="uk-UA"/>
        </w:rPr>
        <w:t xml:space="preserve">- цінних паперів, </w:t>
      </w:r>
      <w:r w:rsidR="00EF4837" w:rsidRPr="0024327D">
        <w:rPr>
          <w:lang w:val="uk-UA"/>
        </w:rPr>
        <w:t xml:space="preserve">що застосовують </w:t>
      </w:r>
      <w:r w:rsidRPr="0024327D">
        <w:rPr>
          <w:lang w:val="uk-UA"/>
        </w:rPr>
        <w:t>технологі</w:t>
      </w:r>
      <w:r w:rsidR="00EF4837" w:rsidRPr="0024327D">
        <w:rPr>
          <w:lang w:val="uk-UA"/>
        </w:rPr>
        <w:t>ю</w:t>
      </w:r>
      <w:r w:rsidRPr="0024327D">
        <w:rPr>
          <w:lang w:val="uk-UA"/>
        </w:rPr>
        <w:t xml:space="preserve"> облігацій</w:t>
      </w:r>
      <w:r w:rsidR="004776E9" w:rsidRPr="0024327D">
        <w:rPr>
          <w:lang w:val="uk-UA"/>
        </w:rPr>
        <w:t xml:space="preserve"> з покриттям</w:t>
      </w:r>
      <w:r w:rsidRPr="0024327D">
        <w:rPr>
          <w:lang w:val="uk-UA"/>
        </w:rPr>
        <w:t xml:space="preserve"> </w:t>
      </w:r>
      <w:r w:rsidR="00EF4837" w:rsidRPr="0024327D">
        <w:rPr>
          <w:lang w:val="uk-UA"/>
        </w:rPr>
        <w:t xml:space="preserve">до </w:t>
      </w:r>
      <w:r w:rsidRPr="0024327D">
        <w:rPr>
          <w:lang w:val="uk-UA"/>
        </w:rPr>
        <w:t xml:space="preserve">інших класів активів, таких як позики малим та середнім підприємствам та </w:t>
      </w:r>
      <w:r w:rsidR="00EF4837" w:rsidRPr="0024327D">
        <w:rPr>
          <w:lang w:val="uk-UA"/>
        </w:rPr>
        <w:t xml:space="preserve">банківські кредити на фінансування </w:t>
      </w:r>
      <w:r w:rsidRPr="0024327D">
        <w:rPr>
          <w:lang w:val="uk-UA"/>
        </w:rPr>
        <w:t>інфраструктури.</w:t>
      </w:r>
      <w:r w:rsidR="00EF4837" w:rsidRPr="0024327D">
        <w:rPr>
          <w:rStyle w:val="af2"/>
          <w:lang w:val="uk-UA"/>
        </w:rPr>
        <w:t xml:space="preserve"> </w:t>
      </w:r>
      <w:r w:rsidR="00EF4837" w:rsidRPr="0024327D">
        <w:rPr>
          <w:rStyle w:val="af2"/>
          <w:lang w:val="uk-UA"/>
        </w:rPr>
        <w:footnoteReference w:id="15"/>
      </w:r>
      <w:r w:rsidRPr="0024327D">
        <w:rPr>
          <w:lang w:val="uk-UA"/>
        </w:rPr>
        <w:t xml:space="preserve"> Крім того, </w:t>
      </w:r>
      <w:r w:rsidR="00A20526" w:rsidRPr="0024327D">
        <w:rPr>
          <w:lang w:val="uk-UA"/>
        </w:rPr>
        <w:t xml:space="preserve">у </w:t>
      </w:r>
      <w:r w:rsidRPr="0024327D">
        <w:rPr>
          <w:lang w:val="uk-UA"/>
        </w:rPr>
        <w:t>галуз</w:t>
      </w:r>
      <w:r w:rsidR="00A20526" w:rsidRPr="0024327D">
        <w:rPr>
          <w:lang w:val="uk-UA"/>
        </w:rPr>
        <w:t>і</w:t>
      </w:r>
      <w:r w:rsidRPr="0024327D">
        <w:rPr>
          <w:lang w:val="uk-UA"/>
        </w:rPr>
        <w:t xml:space="preserve"> облігацій </w:t>
      </w:r>
      <w:r w:rsidR="00B56671" w:rsidRPr="0024327D">
        <w:rPr>
          <w:lang w:val="uk-UA"/>
        </w:rPr>
        <w:t xml:space="preserve">з покриттям </w:t>
      </w:r>
      <w:r w:rsidR="00A20526" w:rsidRPr="0024327D">
        <w:rPr>
          <w:lang w:val="uk-UA"/>
        </w:rPr>
        <w:t xml:space="preserve">ведеться робота </w:t>
      </w:r>
      <w:r w:rsidRPr="0024327D">
        <w:rPr>
          <w:lang w:val="uk-UA"/>
        </w:rPr>
        <w:t xml:space="preserve">над визначенням </w:t>
      </w:r>
      <w:r w:rsidR="00EF4837" w:rsidRPr="0024327D">
        <w:rPr>
          <w:lang w:val="uk-UA"/>
        </w:rPr>
        <w:t xml:space="preserve">комплексу </w:t>
      </w:r>
      <w:r w:rsidRPr="0024327D">
        <w:rPr>
          <w:lang w:val="uk-UA"/>
        </w:rPr>
        <w:t>стандартів для такого інструменту.</w:t>
      </w:r>
    </w:p>
    <w:p w14:paraId="52639C6C" w14:textId="23B4AA11" w:rsidR="005030D0" w:rsidRPr="0024327D" w:rsidRDefault="00457886" w:rsidP="00501D25">
      <w:pPr>
        <w:rPr>
          <w:lang w:val="uk-UA"/>
        </w:rPr>
      </w:pPr>
      <w:r w:rsidRPr="0024327D">
        <w:rPr>
          <w:lang w:val="uk-UA"/>
        </w:rPr>
        <w:t>Як свідчить практика, існує</w:t>
      </w:r>
      <w:r w:rsidR="00EF4837" w:rsidRPr="0024327D">
        <w:rPr>
          <w:lang w:val="uk-UA"/>
        </w:rPr>
        <w:t xml:space="preserve"> </w:t>
      </w:r>
      <w:r w:rsidR="001D2371" w:rsidRPr="0024327D">
        <w:rPr>
          <w:lang w:val="uk-UA"/>
        </w:rPr>
        <w:t xml:space="preserve">незначна </w:t>
      </w:r>
      <w:r w:rsidR="00EF4837" w:rsidRPr="0024327D">
        <w:rPr>
          <w:lang w:val="uk-UA"/>
        </w:rPr>
        <w:t xml:space="preserve">кількість операцій, </w:t>
      </w:r>
      <w:r w:rsidRPr="0024327D">
        <w:rPr>
          <w:lang w:val="uk-UA"/>
        </w:rPr>
        <w:t xml:space="preserve">в яких </w:t>
      </w:r>
      <w:r w:rsidR="00EF4837" w:rsidRPr="0024327D">
        <w:rPr>
          <w:lang w:val="uk-UA"/>
        </w:rPr>
        <w:t>використову</w:t>
      </w:r>
      <w:r w:rsidRPr="0024327D">
        <w:rPr>
          <w:lang w:val="uk-UA"/>
        </w:rPr>
        <w:t xml:space="preserve">ється </w:t>
      </w:r>
      <w:r w:rsidR="00EF4837" w:rsidRPr="0024327D">
        <w:rPr>
          <w:lang w:val="uk-UA"/>
        </w:rPr>
        <w:t>технологі</w:t>
      </w:r>
      <w:r w:rsidRPr="0024327D">
        <w:rPr>
          <w:lang w:val="uk-UA"/>
        </w:rPr>
        <w:t xml:space="preserve">я </w:t>
      </w:r>
      <w:r w:rsidR="00EF4837" w:rsidRPr="0024327D">
        <w:rPr>
          <w:lang w:val="uk-UA"/>
        </w:rPr>
        <w:t>облігацій</w:t>
      </w:r>
      <w:r w:rsidR="00B56671" w:rsidRPr="0024327D">
        <w:rPr>
          <w:lang w:val="uk-UA"/>
        </w:rPr>
        <w:t xml:space="preserve"> з покриттям</w:t>
      </w:r>
      <w:r w:rsidR="00EF4837" w:rsidRPr="0024327D">
        <w:rPr>
          <w:lang w:val="uk-UA"/>
        </w:rPr>
        <w:t xml:space="preserve"> для </w:t>
      </w:r>
      <w:r w:rsidR="001D2371" w:rsidRPr="0024327D">
        <w:rPr>
          <w:lang w:val="uk-UA"/>
        </w:rPr>
        <w:t xml:space="preserve">вказаних вище додаткових </w:t>
      </w:r>
      <w:r w:rsidR="00EF4837" w:rsidRPr="0024327D">
        <w:rPr>
          <w:lang w:val="uk-UA"/>
        </w:rPr>
        <w:t>класів активів, але жодн</w:t>
      </w:r>
      <w:r w:rsidR="00592651" w:rsidRPr="0024327D">
        <w:rPr>
          <w:lang w:val="uk-UA"/>
        </w:rPr>
        <w:t>і</w:t>
      </w:r>
      <w:r w:rsidR="00EF4837" w:rsidRPr="0024327D">
        <w:rPr>
          <w:lang w:val="uk-UA"/>
        </w:rPr>
        <w:t xml:space="preserve"> з них не визна</w:t>
      </w:r>
      <w:r w:rsidR="00A20526" w:rsidRPr="0024327D">
        <w:rPr>
          <w:lang w:val="uk-UA"/>
        </w:rPr>
        <w:t>валася</w:t>
      </w:r>
      <w:r w:rsidR="00EF4837" w:rsidRPr="0024327D">
        <w:rPr>
          <w:lang w:val="uk-UA"/>
        </w:rPr>
        <w:t xml:space="preserve"> законодавством ЄС як облігаці</w:t>
      </w:r>
      <w:r w:rsidR="00B56671" w:rsidRPr="0024327D">
        <w:rPr>
          <w:lang w:val="uk-UA"/>
        </w:rPr>
        <w:t>ї з покриттям</w:t>
      </w:r>
      <w:r w:rsidR="00EF4837" w:rsidRPr="0024327D">
        <w:rPr>
          <w:lang w:val="uk-UA"/>
        </w:rPr>
        <w:t xml:space="preserve">. На сьогодні єдиною країною, яка дозволила такий </w:t>
      </w:r>
      <w:r w:rsidR="00B061C9" w:rsidRPr="0024327D">
        <w:rPr>
          <w:lang w:val="uk-UA"/>
        </w:rPr>
        <w:t xml:space="preserve">розширений </w:t>
      </w:r>
      <w:r w:rsidR="00EF4837" w:rsidRPr="0024327D">
        <w:rPr>
          <w:lang w:val="uk-UA"/>
        </w:rPr>
        <w:t xml:space="preserve">інструмент відповідно до свого національного законодавства, є Туреччина, де позики малим та середнім підприємствам </w:t>
      </w:r>
      <w:r w:rsidRPr="0024327D">
        <w:rPr>
          <w:lang w:val="uk-UA"/>
        </w:rPr>
        <w:t>вважаються прийнятними</w:t>
      </w:r>
      <w:r w:rsidR="00EF4837" w:rsidRPr="0024327D">
        <w:rPr>
          <w:lang w:val="uk-UA"/>
        </w:rPr>
        <w:t xml:space="preserve"> активами </w:t>
      </w:r>
      <w:r w:rsidRPr="0024327D">
        <w:rPr>
          <w:lang w:val="uk-UA"/>
        </w:rPr>
        <w:t xml:space="preserve">за </w:t>
      </w:r>
      <w:r w:rsidR="00EF4837" w:rsidRPr="0024327D">
        <w:rPr>
          <w:lang w:val="uk-UA"/>
        </w:rPr>
        <w:t>законом про облігації</w:t>
      </w:r>
      <w:r w:rsidR="00B061C9" w:rsidRPr="0024327D">
        <w:rPr>
          <w:lang w:val="uk-UA"/>
        </w:rPr>
        <w:t xml:space="preserve"> з покриттям</w:t>
      </w:r>
      <w:r w:rsidR="00EF4837" w:rsidRPr="0024327D">
        <w:rPr>
          <w:lang w:val="uk-UA"/>
        </w:rPr>
        <w:t>.</w:t>
      </w:r>
    </w:p>
    <w:p w14:paraId="5274C63B" w14:textId="2530BDB1" w:rsidR="005030D0" w:rsidRPr="0024327D" w:rsidRDefault="00457886" w:rsidP="00501D25">
      <w:pPr>
        <w:rPr>
          <w:lang w:val="uk-UA"/>
        </w:rPr>
      </w:pPr>
      <w:r w:rsidRPr="0024327D">
        <w:rPr>
          <w:lang w:val="uk-UA"/>
        </w:rPr>
        <w:t xml:space="preserve">Альтернативні активи для облігацій </w:t>
      </w:r>
      <w:r w:rsidR="00B061C9" w:rsidRPr="0024327D">
        <w:rPr>
          <w:lang w:val="uk-UA"/>
        </w:rPr>
        <w:t xml:space="preserve">з покриттям </w:t>
      </w:r>
      <w:r w:rsidRPr="0024327D">
        <w:rPr>
          <w:lang w:val="uk-UA"/>
        </w:rPr>
        <w:t>у рамках цього про</w:t>
      </w:r>
      <w:r w:rsidR="005312A7" w:rsidRPr="0024327D">
        <w:rPr>
          <w:lang w:val="uk-UA"/>
        </w:rPr>
        <w:t>є</w:t>
      </w:r>
      <w:r w:rsidRPr="0024327D">
        <w:rPr>
          <w:lang w:val="uk-UA"/>
        </w:rPr>
        <w:t>кту не розглядаються. Однак вони можуть бути включені у структуру сек'юритизації.</w:t>
      </w:r>
    </w:p>
    <w:p w14:paraId="35D85B68" w14:textId="6EFFAAFB" w:rsidR="0054368B" w:rsidRPr="0024327D" w:rsidRDefault="001007DF" w:rsidP="000E107C">
      <w:pPr>
        <w:pStyle w:val="2"/>
        <w:rPr>
          <w:lang w:val="uk-UA"/>
        </w:rPr>
      </w:pPr>
      <w:bookmarkStart w:id="38" w:name="_Toc84302513"/>
      <w:bookmarkStart w:id="39" w:name="_Toc27153433"/>
      <w:bookmarkStart w:id="40" w:name="_Toc95480978"/>
      <w:bookmarkEnd w:id="38"/>
      <w:r w:rsidRPr="0024327D">
        <w:rPr>
          <w:lang w:val="uk-UA"/>
        </w:rPr>
        <w:lastRenderedPageBreak/>
        <w:t>Історичні міркування</w:t>
      </w:r>
      <w:bookmarkEnd w:id="39"/>
      <w:bookmarkEnd w:id="40"/>
    </w:p>
    <w:p w14:paraId="48376FB6" w14:textId="45356C1C" w:rsidR="00106611" w:rsidRPr="0024327D" w:rsidRDefault="00645A85" w:rsidP="000E107C">
      <w:pPr>
        <w:pStyle w:val="3"/>
        <w:rPr>
          <w:lang w:val="uk-UA"/>
        </w:rPr>
      </w:pPr>
      <w:bookmarkStart w:id="41" w:name="_Toc95480979"/>
      <w:r w:rsidRPr="0024327D">
        <w:rPr>
          <w:lang w:val="uk-UA"/>
        </w:rPr>
        <w:t>Облігації з покриттям</w:t>
      </w:r>
      <w:bookmarkEnd w:id="41"/>
    </w:p>
    <w:p w14:paraId="1AE36AE7" w14:textId="08C01215" w:rsidR="00457886" w:rsidRPr="0024327D" w:rsidRDefault="00645A85" w:rsidP="0054368B">
      <w:pPr>
        <w:rPr>
          <w:lang w:val="uk-UA"/>
        </w:rPr>
      </w:pPr>
      <w:r w:rsidRPr="0024327D">
        <w:rPr>
          <w:lang w:val="uk-UA"/>
        </w:rPr>
        <w:t>Облігації з покриттям</w:t>
      </w:r>
      <w:r w:rsidR="00457886" w:rsidRPr="0024327D">
        <w:rPr>
          <w:lang w:val="uk-UA"/>
        </w:rPr>
        <w:t xml:space="preserve"> існують вже двісті п'ятдесят років </w:t>
      </w:r>
      <w:r w:rsidR="001742E1" w:rsidRPr="0024327D">
        <w:rPr>
          <w:lang w:val="uk-UA"/>
        </w:rPr>
        <w:t xml:space="preserve">у Німеччині </w:t>
      </w:r>
      <w:r w:rsidR="00457886" w:rsidRPr="0024327D">
        <w:rPr>
          <w:lang w:val="uk-UA"/>
        </w:rPr>
        <w:t xml:space="preserve">і </w:t>
      </w:r>
      <w:r w:rsidR="001007DF" w:rsidRPr="0024327D">
        <w:rPr>
          <w:lang w:val="uk-UA"/>
        </w:rPr>
        <w:t>досить тривалий час у</w:t>
      </w:r>
      <w:r w:rsidR="00457886" w:rsidRPr="0024327D">
        <w:rPr>
          <w:lang w:val="uk-UA"/>
        </w:rPr>
        <w:t xml:space="preserve"> багатьох інших країнах. На </w:t>
      </w:r>
      <w:r w:rsidR="001007DF" w:rsidRPr="0024327D">
        <w:rPr>
          <w:lang w:val="uk-UA"/>
        </w:rPr>
        <w:t>сьогодні не зафіксовано жодного прикладу дефолту</w:t>
      </w:r>
      <w:r w:rsidR="00592651" w:rsidRPr="0024327D">
        <w:rPr>
          <w:lang w:val="uk-UA"/>
        </w:rPr>
        <w:t xml:space="preserve"> за ними</w:t>
      </w:r>
      <w:r w:rsidR="00457886" w:rsidRPr="0024327D">
        <w:rPr>
          <w:lang w:val="uk-UA"/>
        </w:rPr>
        <w:t xml:space="preserve">. Як наслідок, ринок облігацій </w:t>
      </w:r>
      <w:r w:rsidR="006E145A" w:rsidRPr="0024327D">
        <w:rPr>
          <w:lang w:val="uk-UA"/>
        </w:rPr>
        <w:t xml:space="preserve">з покриттям </w:t>
      </w:r>
      <w:r w:rsidR="00457886" w:rsidRPr="0024327D">
        <w:rPr>
          <w:lang w:val="uk-UA"/>
        </w:rPr>
        <w:t>добре інтегр</w:t>
      </w:r>
      <w:r w:rsidR="001007DF" w:rsidRPr="0024327D">
        <w:rPr>
          <w:lang w:val="uk-UA"/>
        </w:rPr>
        <w:t xml:space="preserve">увався </w:t>
      </w:r>
      <w:r w:rsidR="00457886" w:rsidRPr="0024327D">
        <w:rPr>
          <w:lang w:val="uk-UA"/>
        </w:rPr>
        <w:t xml:space="preserve">у фінансові системи країн, </w:t>
      </w:r>
      <w:r w:rsidR="00592651" w:rsidRPr="0024327D">
        <w:rPr>
          <w:lang w:val="uk-UA"/>
        </w:rPr>
        <w:t>у</w:t>
      </w:r>
      <w:r w:rsidR="00457886" w:rsidRPr="0024327D">
        <w:rPr>
          <w:lang w:val="uk-UA"/>
        </w:rPr>
        <w:t xml:space="preserve"> яких він с</w:t>
      </w:r>
      <w:r w:rsidR="00592651" w:rsidRPr="0024327D">
        <w:rPr>
          <w:lang w:val="uk-UA"/>
        </w:rPr>
        <w:t>формований</w:t>
      </w:r>
      <w:r w:rsidR="001007DF" w:rsidRPr="0024327D">
        <w:rPr>
          <w:lang w:val="uk-UA"/>
        </w:rPr>
        <w:t>,</w:t>
      </w:r>
      <w:r w:rsidR="00457886" w:rsidRPr="0024327D">
        <w:rPr>
          <w:lang w:val="uk-UA"/>
        </w:rPr>
        <w:t xml:space="preserve"> з точки зору обізнаності інвесторів та </w:t>
      </w:r>
      <w:r w:rsidR="001007DF" w:rsidRPr="0024327D">
        <w:rPr>
          <w:lang w:val="uk-UA"/>
        </w:rPr>
        <w:t>населення в цілому</w:t>
      </w:r>
      <w:r w:rsidR="00457886" w:rsidRPr="0024327D">
        <w:rPr>
          <w:lang w:val="uk-UA"/>
        </w:rPr>
        <w:t xml:space="preserve">, інтеграції у законодавство про неплатоспроможність та </w:t>
      </w:r>
      <w:r w:rsidR="001742E1" w:rsidRPr="0024327D">
        <w:rPr>
          <w:lang w:val="uk-UA"/>
        </w:rPr>
        <w:t>визнання</w:t>
      </w:r>
      <w:r w:rsidR="00457886" w:rsidRPr="0024327D">
        <w:rPr>
          <w:lang w:val="uk-UA"/>
        </w:rPr>
        <w:t xml:space="preserve"> ієрархі</w:t>
      </w:r>
      <w:r w:rsidR="001742E1" w:rsidRPr="0024327D">
        <w:rPr>
          <w:lang w:val="uk-UA"/>
        </w:rPr>
        <w:t>ї</w:t>
      </w:r>
      <w:r w:rsidR="00457886" w:rsidRPr="0024327D">
        <w:rPr>
          <w:lang w:val="uk-UA"/>
        </w:rPr>
        <w:t xml:space="preserve"> кредиторів </w:t>
      </w:r>
      <w:r w:rsidR="00A20526" w:rsidRPr="0024327D">
        <w:rPr>
          <w:lang w:val="uk-UA"/>
        </w:rPr>
        <w:t>і</w:t>
      </w:r>
      <w:r w:rsidR="00457886" w:rsidRPr="0024327D">
        <w:rPr>
          <w:lang w:val="uk-UA"/>
        </w:rPr>
        <w:t xml:space="preserve"> фінансового регулювання. Крім того, можна сказати, що ринок характеризується високим ступенем консерватизму та несхильн</w:t>
      </w:r>
      <w:r w:rsidR="001007DF" w:rsidRPr="0024327D">
        <w:rPr>
          <w:lang w:val="uk-UA"/>
        </w:rPr>
        <w:t>істю</w:t>
      </w:r>
      <w:r w:rsidR="00457886" w:rsidRPr="0024327D">
        <w:rPr>
          <w:lang w:val="uk-UA"/>
        </w:rPr>
        <w:t xml:space="preserve"> до ризиків.</w:t>
      </w:r>
    </w:p>
    <w:p w14:paraId="11C5652C" w14:textId="259E13CD" w:rsidR="00106611" w:rsidRPr="0024327D" w:rsidRDefault="001007DF" w:rsidP="0054368B">
      <w:pPr>
        <w:rPr>
          <w:lang w:val="uk-UA"/>
        </w:rPr>
      </w:pPr>
      <w:r w:rsidRPr="0024327D">
        <w:rPr>
          <w:lang w:val="uk-UA"/>
        </w:rPr>
        <w:t xml:space="preserve">Під час світової фінансової кризи кредитні показники за </w:t>
      </w:r>
      <w:r w:rsidR="00645A85" w:rsidRPr="0024327D">
        <w:rPr>
          <w:lang w:val="uk-UA"/>
        </w:rPr>
        <w:t>облігаціями з покриттям</w:t>
      </w:r>
      <w:r w:rsidRPr="0024327D">
        <w:rPr>
          <w:lang w:val="uk-UA"/>
        </w:rPr>
        <w:t xml:space="preserve"> були винятком навіть у найбільш стресових сценаріях </w:t>
      </w:r>
      <w:r w:rsidR="00C05AFD" w:rsidRPr="0024327D">
        <w:rPr>
          <w:lang w:val="uk-UA"/>
        </w:rPr>
        <w:t xml:space="preserve">як </w:t>
      </w:r>
      <w:r w:rsidRPr="0024327D">
        <w:rPr>
          <w:lang w:val="uk-UA"/>
        </w:rPr>
        <w:t xml:space="preserve">емітентів - понад двадцять емітентів облігацій </w:t>
      </w:r>
      <w:r w:rsidR="006E145A" w:rsidRPr="0024327D">
        <w:rPr>
          <w:lang w:val="uk-UA"/>
        </w:rPr>
        <w:t xml:space="preserve">з покриттям стали неплатоспроможними </w:t>
      </w:r>
      <w:r w:rsidRPr="0024327D">
        <w:rPr>
          <w:lang w:val="uk-UA"/>
        </w:rPr>
        <w:t xml:space="preserve">під час кризи, але це не вплинуло негативно на </w:t>
      </w:r>
      <w:r w:rsidR="006E145A" w:rsidRPr="0024327D">
        <w:rPr>
          <w:lang w:val="uk-UA"/>
        </w:rPr>
        <w:t>їх</w:t>
      </w:r>
      <w:r w:rsidR="005A012C" w:rsidRPr="0024327D">
        <w:rPr>
          <w:lang w:val="uk-UA"/>
        </w:rPr>
        <w:t>ні</w:t>
      </w:r>
      <w:r w:rsidR="006E145A" w:rsidRPr="0024327D">
        <w:rPr>
          <w:lang w:val="uk-UA"/>
        </w:rPr>
        <w:t xml:space="preserve"> випуски облігацій з покриттям</w:t>
      </w:r>
      <w:r w:rsidR="00D52E65" w:rsidRPr="0024327D">
        <w:rPr>
          <w:lang w:val="uk-UA"/>
        </w:rPr>
        <w:t xml:space="preserve"> –</w:t>
      </w:r>
      <w:r w:rsidRPr="0024327D">
        <w:rPr>
          <w:lang w:val="uk-UA"/>
        </w:rPr>
        <w:t xml:space="preserve"> </w:t>
      </w:r>
      <w:r w:rsidR="00D52E65" w:rsidRPr="0024327D">
        <w:rPr>
          <w:lang w:val="uk-UA"/>
        </w:rPr>
        <w:t xml:space="preserve">так </w:t>
      </w:r>
      <w:r w:rsidRPr="0024327D">
        <w:rPr>
          <w:lang w:val="uk-UA"/>
        </w:rPr>
        <w:t>і загальн</w:t>
      </w:r>
      <w:r w:rsidR="00D52E65" w:rsidRPr="0024327D">
        <w:rPr>
          <w:lang w:val="uk-UA"/>
        </w:rPr>
        <w:t>их</w:t>
      </w:r>
      <w:r w:rsidRPr="0024327D">
        <w:rPr>
          <w:lang w:val="uk-UA"/>
        </w:rPr>
        <w:t xml:space="preserve"> ринков</w:t>
      </w:r>
      <w:r w:rsidR="00D52E65" w:rsidRPr="0024327D">
        <w:rPr>
          <w:lang w:val="uk-UA"/>
        </w:rPr>
        <w:t>их</w:t>
      </w:r>
      <w:r w:rsidRPr="0024327D">
        <w:rPr>
          <w:lang w:val="uk-UA"/>
        </w:rPr>
        <w:t xml:space="preserve"> умов</w:t>
      </w:r>
      <w:r w:rsidR="000233A0" w:rsidRPr="0024327D">
        <w:rPr>
          <w:lang w:val="uk-UA"/>
        </w:rPr>
        <w:t>;</w:t>
      </w:r>
      <w:r w:rsidRPr="0024327D">
        <w:rPr>
          <w:lang w:val="uk-UA"/>
        </w:rPr>
        <w:t xml:space="preserve"> пули </w:t>
      </w:r>
      <w:r w:rsidR="005A012C" w:rsidRPr="0024327D">
        <w:rPr>
          <w:lang w:val="uk-UA"/>
        </w:rPr>
        <w:t xml:space="preserve">покриття </w:t>
      </w:r>
      <w:r w:rsidRPr="0024327D">
        <w:rPr>
          <w:lang w:val="uk-UA"/>
        </w:rPr>
        <w:t xml:space="preserve">у таких країнах як Ірландія, Греція та Іспанія (що всі пережили небувалий спад на своїх ринках нерухомості) продовжували ефективно працювати. Зниження рейтингу облігацій </w:t>
      </w:r>
      <w:r w:rsidR="00FA78A7" w:rsidRPr="0024327D">
        <w:rPr>
          <w:lang w:val="uk-UA"/>
        </w:rPr>
        <w:t xml:space="preserve">з покриттям </w:t>
      </w:r>
      <w:r w:rsidRPr="0024327D">
        <w:rPr>
          <w:lang w:val="uk-UA"/>
        </w:rPr>
        <w:t xml:space="preserve">було обмеженим і, як правило, спричинене такими проблемами як зниження рейтингу країн, в яких вони </w:t>
      </w:r>
      <w:r w:rsidR="000233A0" w:rsidRPr="0024327D">
        <w:rPr>
          <w:lang w:val="uk-UA"/>
        </w:rPr>
        <w:t>випущені</w:t>
      </w:r>
      <w:r w:rsidRPr="0024327D">
        <w:rPr>
          <w:lang w:val="uk-UA"/>
        </w:rPr>
        <w:t xml:space="preserve">, а не </w:t>
      </w:r>
      <w:r w:rsidR="001742E1" w:rsidRPr="0024327D">
        <w:rPr>
          <w:lang w:val="uk-UA"/>
        </w:rPr>
        <w:t>слабк</w:t>
      </w:r>
      <w:r w:rsidR="00592651" w:rsidRPr="0024327D">
        <w:rPr>
          <w:lang w:val="uk-UA"/>
        </w:rPr>
        <w:t>ими</w:t>
      </w:r>
      <w:r w:rsidR="001742E1" w:rsidRPr="0024327D">
        <w:rPr>
          <w:lang w:val="uk-UA"/>
        </w:rPr>
        <w:t xml:space="preserve"> сторон</w:t>
      </w:r>
      <w:r w:rsidR="00592651" w:rsidRPr="0024327D">
        <w:rPr>
          <w:lang w:val="uk-UA"/>
        </w:rPr>
        <w:t>ам</w:t>
      </w:r>
      <w:r w:rsidR="001742E1" w:rsidRPr="0024327D">
        <w:rPr>
          <w:lang w:val="uk-UA"/>
        </w:rPr>
        <w:t xml:space="preserve">и самих </w:t>
      </w:r>
      <w:r w:rsidRPr="0024327D">
        <w:rPr>
          <w:lang w:val="uk-UA"/>
        </w:rPr>
        <w:t>облігацій.</w:t>
      </w:r>
    </w:p>
    <w:p w14:paraId="5AE9945B" w14:textId="1EE1AFEE" w:rsidR="00D440AD" w:rsidRPr="0024327D" w:rsidRDefault="007648B9" w:rsidP="0054368B">
      <w:pPr>
        <w:rPr>
          <w:lang w:val="uk-UA"/>
        </w:rPr>
      </w:pPr>
      <w:r w:rsidRPr="0024327D">
        <w:rPr>
          <w:lang w:val="uk-UA"/>
        </w:rPr>
        <w:t xml:space="preserve">Внаслідок цього </w:t>
      </w:r>
      <w:r w:rsidR="00AF68C4" w:rsidRPr="0024327D">
        <w:rPr>
          <w:lang w:val="uk-UA"/>
        </w:rPr>
        <w:t>спостерігалися</w:t>
      </w:r>
      <w:r w:rsidRPr="0024327D">
        <w:rPr>
          <w:lang w:val="uk-UA"/>
        </w:rPr>
        <w:t xml:space="preserve"> такі три основних </w:t>
      </w:r>
      <w:r w:rsidR="00AF68C4" w:rsidRPr="0024327D">
        <w:rPr>
          <w:lang w:val="uk-UA"/>
        </w:rPr>
        <w:t>посткризових</w:t>
      </w:r>
      <w:r w:rsidRPr="0024327D">
        <w:rPr>
          <w:lang w:val="uk-UA"/>
        </w:rPr>
        <w:t xml:space="preserve"> явища</w:t>
      </w:r>
      <w:r w:rsidR="00D440AD" w:rsidRPr="0024327D">
        <w:rPr>
          <w:lang w:val="uk-UA"/>
        </w:rPr>
        <w:t xml:space="preserve">. </w:t>
      </w:r>
    </w:p>
    <w:p w14:paraId="4DED3D13" w14:textId="4EFEB120" w:rsidR="00D440AD" w:rsidRPr="0024327D" w:rsidRDefault="007648B9" w:rsidP="0054368B">
      <w:pPr>
        <w:rPr>
          <w:lang w:val="uk-UA"/>
        </w:rPr>
      </w:pPr>
      <w:r w:rsidRPr="0024327D">
        <w:rPr>
          <w:lang w:val="uk-UA"/>
        </w:rPr>
        <w:t>По-перше, численні зміни до фінансового регулювання внаслідок кризи</w:t>
      </w:r>
      <w:r w:rsidR="001742E1" w:rsidRPr="0024327D">
        <w:rPr>
          <w:lang w:val="uk-UA"/>
        </w:rPr>
        <w:t>, які</w:t>
      </w:r>
      <w:r w:rsidRPr="0024327D">
        <w:rPr>
          <w:lang w:val="uk-UA"/>
        </w:rPr>
        <w:t xml:space="preserve"> виявилися дуже сприятливими для облігацій</w:t>
      </w:r>
      <w:r w:rsidR="00005F2E" w:rsidRPr="0024327D">
        <w:rPr>
          <w:lang w:val="uk-UA"/>
        </w:rPr>
        <w:t xml:space="preserve"> з покриттям</w:t>
      </w:r>
      <w:r w:rsidRPr="0024327D">
        <w:rPr>
          <w:lang w:val="uk-UA"/>
        </w:rPr>
        <w:t>. На відміну від сек'юритизації, вдосконалився пруденційний режим цього інструменту</w:t>
      </w:r>
      <w:r w:rsidR="000B2309" w:rsidRPr="0024327D">
        <w:rPr>
          <w:lang w:val="uk-UA"/>
        </w:rPr>
        <w:t>;</w:t>
      </w:r>
      <w:r w:rsidRPr="0024327D">
        <w:rPr>
          <w:lang w:val="uk-UA"/>
        </w:rPr>
        <w:t xml:space="preserve"> наприклад, </w:t>
      </w:r>
      <w:r w:rsidR="000B2309" w:rsidRPr="0024327D">
        <w:rPr>
          <w:lang w:val="uk-UA"/>
        </w:rPr>
        <w:t xml:space="preserve">тепер дозволено вважати </w:t>
      </w:r>
      <w:r w:rsidR="00645A85" w:rsidRPr="0024327D">
        <w:rPr>
          <w:lang w:val="uk-UA"/>
        </w:rPr>
        <w:t>облігації з покриттям</w:t>
      </w:r>
      <w:r w:rsidR="000B2309" w:rsidRPr="0024327D">
        <w:rPr>
          <w:lang w:val="uk-UA"/>
        </w:rPr>
        <w:t xml:space="preserve"> прийнятними активами для буферу ліквідності банків</w:t>
      </w:r>
      <w:r w:rsidR="00D440AD" w:rsidRPr="0024327D">
        <w:rPr>
          <w:lang w:val="uk-UA"/>
        </w:rPr>
        <w:t xml:space="preserve">. </w:t>
      </w:r>
    </w:p>
    <w:p w14:paraId="1EB7ADDE" w14:textId="46736C79" w:rsidR="000B2309" w:rsidRPr="0024327D" w:rsidRDefault="000B2309" w:rsidP="0054368B">
      <w:pPr>
        <w:rPr>
          <w:lang w:val="uk-UA"/>
        </w:rPr>
      </w:pPr>
      <w:r w:rsidRPr="0024327D">
        <w:rPr>
          <w:lang w:val="uk-UA"/>
        </w:rPr>
        <w:t>По-друге, країни, у яких відсутній ринок облігацій</w:t>
      </w:r>
      <w:r w:rsidR="00005F2E" w:rsidRPr="0024327D">
        <w:rPr>
          <w:lang w:val="uk-UA"/>
        </w:rPr>
        <w:t xml:space="preserve"> з покриттям</w:t>
      </w:r>
      <w:r w:rsidRPr="0024327D">
        <w:rPr>
          <w:lang w:val="uk-UA"/>
        </w:rPr>
        <w:t xml:space="preserve">, вдалися до заходів із запровадження </w:t>
      </w:r>
      <w:r w:rsidR="00005F2E" w:rsidRPr="0024327D">
        <w:rPr>
          <w:lang w:val="uk-UA"/>
        </w:rPr>
        <w:t>необхідного законодавства</w:t>
      </w:r>
      <w:r w:rsidR="00FE26C4" w:rsidRPr="0024327D">
        <w:rPr>
          <w:lang w:val="uk-UA"/>
        </w:rPr>
        <w:t xml:space="preserve"> для його створення</w:t>
      </w:r>
      <w:r w:rsidRPr="0024327D">
        <w:rPr>
          <w:lang w:val="uk-UA"/>
        </w:rPr>
        <w:t xml:space="preserve">, </w:t>
      </w:r>
      <w:r w:rsidR="00371219" w:rsidRPr="0024327D">
        <w:rPr>
          <w:lang w:val="uk-UA"/>
        </w:rPr>
        <w:t xml:space="preserve">щоб </w:t>
      </w:r>
      <w:r w:rsidR="000233A0" w:rsidRPr="0024327D">
        <w:rPr>
          <w:lang w:val="uk-UA"/>
        </w:rPr>
        <w:t xml:space="preserve">посилити </w:t>
      </w:r>
      <w:r w:rsidRPr="0024327D">
        <w:rPr>
          <w:lang w:val="uk-UA"/>
        </w:rPr>
        <w:t>фінансов</w:t>
      </w:r>
      <w:r w:rsidR="000233A0" w:rsidRPr="0024327D">
        <w:rPr>
          <w:lang w:val="uk-UA"/>
        </w:rPr>
        <w:t>у</w:t>
      </w:r>
      <w:r w:rsidRPr="0024327D">
        <w:rPr>
          <w:lang w:val="uk-UA"/>
        </w:rPr>
        <w:t xml:space="preserve"> стабільн</w:t>
      </w:r>
      <w:r w:rsidR="000233A0" w:rsidRPr="0024327D">
        <w:rPr>
          <w:lang w:val="uk-UA"/>
        </w:rPr>
        <w:t>ість</w:t>
      </w:r>
      <w:r w:rsidRPr="0024327D">
        <w:rPr>
          <w:lang w:val="uk-UA"/>
        </w:rPr>
        <w:t xml:space="preserve"> як шляхом покращення доступу банків до стабільного фінансування, так і шляхом диверсифікації пулу високоякісних ліквідних активів, доступних для інвесторів.</w:t>
      </w:r>
    </w:p>
    <w:p w14:paraId="214CEFD3" w14:textId="5515491B" w:rsidR="00D440AD" w:rsidRPr="0024327D" w:rsidRDefault="000B2309" w:rsidP="0054368B">
      <w:pPr>
        <w:rPr>
          <w:lang w:val="uk-UA"/>
        </w:rPr>
      </w:pPr>
      <w:r w:rsidRPr="0024327D">
        <w:rPr>
          <w:lang w:val="uk-UA"/>
        </w:rPr>
        <w:t xml:space="preserve">І, нарешті, </w:t>
      </w:r>
      <w:r w:rsidR="00645A85" w:rsidRPr="0024327D">
        <w:rPr>
          <w:lang w:val="uk-UA"/>
        </w:rPr>
        <w:t>облігації з покриттям</w:t>
      </w:r>
      <w:r w:rsidRPr="0024327D">
        <w:rPr>
          <w:lang w:val="uk-UA"/>
        </w:rPr>
        <w:t xml:space="preserve"> стали центральною частиною програм придбання активів центральними банками, зокрема, Європейським центральним банком у рамках </w:t>
      </w:r>
      <w:r w:rsidR="00592651" w:rsidRPr="0024327D">
        <w:rPr>
          <w:lang w:val="uk-UA"/>
        </w:rPr>
        <w:t xml:space="preserve">здійснюваної ним </w:t>
      </w:r>
      <w:r w:rsidRPr="0024327D">
        <w:rPr>
          <w:lang w:val="uk-UA"/>
        </w:rPr>
        <w:t>програми кількісного пом'якшення.</w:t>
      </w:r>
    </w:p>
    <w:p w14:paraId="53E135C0" w14:textId="590BA1EB" w:rsidR="002B5BFB" w:rsidRPr="0024327D" w:rsidRDefault="000B2309" w:rsidP="000E107C">
      <w:pPr>
        <w:pStyle w:val="3"/>
        <w:rPr>
          <w:lang w:val="uk-UA"/>
        </w:rPr>
      </w:pPr>
      <w:bookmarkStart w:id="42" w:name="_Toc95480980"/>
      <w:r w:rsidRPr="0024327D">
        <w:rPr>
          <w:lang w:val="uk-UA"/>
        </w:rPr>
        <w:t>Сек’юритизація</w:t>
      </w:r>
      <w:bookmarkEnd w:id="42"/>
    </w:p>
    <w:p w14:paraId="5713D46A" w14:textId="2CA260E9" w:rsidR="00507D56" w:rsidRPr="0024327D" w:rsidRDefault="00507D56" w:rsidP="0054368B">
      <w:pPr>
        <w:rPr>
          <w:lang w:val="uk-UA"/>
        </w:rPr>
      </w:pPr>
      <w:r w:rsidRPr="0024327D">
        <w:rPr>
          <w:lang w:val="uk-UA"/>
        </w:rPr>
        <w:t xml:space="preserve">Сек'юритизація – це сучасніше нововведення аніж </w:t>
      </w:r>
      <w:r w:rsidR="00645A85" w:rsidRPr="0024327D">
        <w:rPr>
          <w:lang w:val="uk-UA"/>
        </w:rPr>
        <w:t>облігації з покриттям</w:t>
      </w:r>
      <w:r w:rsidRPr="0024327D">
        <w:rPr>
          <w:lang w:val="uk-UA"/>
        </w:rPr>
        <w:t xml:space="preserve">, що, як </w:t>
      </w:r>
      <w:r w:rsidR="00AF68C4" w:rsidRPr="0024327D">
        <w:rPr>
          <w:lang w:val="uk-UA"/>
        </w:rPr>
        <w:t>вважається</w:t>
      </w:r>
      <w:r w:rsidRPr="0024327D">
        <w:rPr>
          <w:lang w:val="uk-UA"/>
        </w:rPr>
        <w:t xml:space="preserve">, </w:t>
      </w:r>
      <w:r w:rsidR="000233A0" w:rsidRPr="0024327D">
        <w:rPr>
          <w:lang w:val="uk-UA"/>
        </w:rPr>
        <w:t>виникло</w:t>
      </w:r>
      <w:r w:rsidR="00AA66D7" w:rsidRPr="0024327D">
        <w:rPr>
          <w:lang w:val="uk-UA"/>
        </w:rPr>
        <w:t xml:space="preserve"> </w:t>
      </w:r>
      <w:r w:rsidRPr="0024327D">
        <w:rPr>
          <w:lang w:val="uk-UA"/>
        </w:rPr>
        <w:t>у 80-х роках в Америці (хоча є деякі продукти</w:t>
      </w:r>
      <w:r w:rsidR="00AA66D7" w:rsidRPr="0024327D">
        <w:rPr>
          <w:lang w:val="uk-UA"/>
        </w:rPr>
        <w:t>-</w:t>
      </w:r>
      <w:r w:rsidRPr="0024327D">
        <w:rPr>
          <w:lang w:val="uk-UA"/>
        </w:rPr>
        <w:t>попередн</w:t>
      </w:r>
      <w:r w:rsidR="00AA66D7" w:rsidRPr="0024327D">
        <w:rPr>
          <w:lang w:val="uk-UA"/>
        </w:rPr>
        <w:t>ики</w:t>
      </w:r>
      <w:r w:rsidRPr="0024327D">
        <w:rPr>
          <w:lang w:val="uk-UA"/>
        </w:rPr>
        <w:t>) і пошири</w:t>
      </w:r>
      <w:r w:rsidR="00AA66D7" w:rsidRPr="0024327D">
        <w:rPr>
          <w:lang w:val="uk-UA"/>
        </w:rPr>
        <w:t xml:space="preserve">лося на Європу </w:t>
      </w:r>
      <w:r w:rsidRPr="0024327D">
        <w:rPr>
          <w:lang w:val="uk-UA"/>
        </w:rPr>
        <w:t>(і меншою мірою Азі</w:t>
      </w:r>
      <w:r w:rsidR="00AA66D7" w:rsidRPr="0024327D">
        <w:rPr>
          <w:lang w:val="uk-UA"/>
        </w:rPr>
        <w:t>ю</w:t>
      </w:r>
      <w:r w:rsidRPr="0024327D">
        <w:rPr>
          <w:lang w:val="uk-UA"/>
        </w:rPr>
        <w:t xml:space="preserve">) </w:t>
      </w:r>
      <w:r w:rsidR="00AA66D7" w:rsidRPr="0024327D">
        <w:rPr>
          <w:lang w:val="uk-UA"/>
        </w:rPr>
        <w:t xml:space="preserve">у </w:t>
      </w:r>
      <w:r w:rsidRPr="0024327D">
        <w:rPr>
          <w:lang w:val="uk-UA"/>
        </w:rPr>
        <w:t>90-х</w:t>
      </w:r>
      <w:r w:rsidR="00AF68C4" w:rsidRPr="0024327D">
        <w:rPr>
          <w:lang w:val="uk-UA"/>
        </w:rPr>
        <w:t xml:space="preserve"> роках</w:t>
      </w:r>
      <w:r w:rsidRPr="0024327D">
        <w:rPr>
          <w:lang w:val="uk-UA"/>
        </w:rPr>
        <w:t>.</w:t>
      </w:r>
    </w:p>
    <w:p w14:paraId="539E9DB4" w14:textId="3C6A53D9" w:rsidR="00BF563B" w:rsidRPr="0024327D" w:rsidRDefault="00AA66D7" w:rsidP="0054368B">
      <w:pPr>
        <w:rPr>
          <w:lang w:val="uk-UA"/>
        </w:rPr>
      </w:pPr>
      <w:r w:rsidRPr="0024327D">
        <w:rPr>
          <w:lang w:val="uk-UA"/>
        </w:rPr>
        <w:t xml:space="preserve">Під час світової фінансової кризи сек'юритизація </w:t>
      </w:r>
      <w:r w:rsidR="00AF68C4" w:rsidRPr="0024327D">
        <w:rPr>
          <w:lang w:val="uk-UA"/>
        </w:rPr>
        <w:t>дала</w:t>
      </w:r>
      <w:r w:rsidRPr="0024327D">
        <w:rPr>
          <w:lang w:val="uk-UA"/>
        </w:rPr>
        <w:t xml:space="preserve"> неоднозначні результати. Сек’юритизації у США, які забезпечувалися неякісними активами, мали дуже погані результати, тоді як сек’юритизації у Європі, забезпечені більш </w:t>
      </w:r>
      <w:r w:rsidR="0046304C" w:rsidRPr="0024327D">
        <w:rPr>
          <w:lang w:val="uk-UA"/>
        </w:rPr>
        <w:t xml:space="preserve">стандартними </w:t>
      </w:r>
      <w:r w:rsidRPr="0024327D">
        <w:rPr>
          <w:lang w:val="uk-UA"/>
        </w:rPr>
        <w:t xml:space="preserve">активами, такими як житлові іпотечні кредити, як правило, </w:t>
      </w:r>
      <w:r w:rsidR="00AF68C4" w:rsidRPr="0024327D">
        <w:rPr>
          <w:lang w:val="uk-UA"/>
        </w:rPr>
        <w:t xml:space="preserve">показували </w:t>
      </w:r>
      <w:r w:rsidRPr="0024327D">
        <w:rPr>
          <w:lang w:val="uk-UA"/>
        </w:rPr>
        <w:t>гарні результати. Однак ліквідність на вторинному ринку була дуже низькою, і багато інвесторів</w:t>
      </w:r>
      <w:r w:rsidR="002044B6" w:rsidRPr="0024327D">
        <w:rPr>
          <w:lang w:val="uk-UA"/>
        </w:rPr>
        <w:t xml:space="preserve"> у цей продукт</w:t>
      </w:r>
      <w:r w:rsidRPr="0024327D">
        <w:rPr>
          <w:lang w:val="uk-UA"/>
        </w:rPr>
        <w:t xml:space="preserve">, що </w:t>
      </w:r>
      <w:r w:rsidR="00AF68C4" w:rsidRPr="0024327D">
        <w:rPr>
          <w:lang w:val="uk-UA"/>
        </w:rPr>
        <w:t>використову</w:t>
      </w:r>
      <w:r w:rsidR="009A52E0" w:rsidRPr="0024327D">
        <w:rPr>
          <w:lang w:val="uk-UA"/>
        </w:rPr>
        <w:t>вали</w:t>
      </w:r>
      <w:r w:rsidR="00AF68C4" w:rsidRPr="0024327D">
        <w:rPr>
          <w:lang w:val="uk-UA"/>
        </w:rPr>
        <w:t xml:space="preserve"> </w:t>
      </w:r>
      <w:r w:rsidRPr="0024327D">
        <w:rPr>
          <w:lang w:val="uk-UA"/>
        </w:rPr>
        <w:t>залучен</w:t>
      </w:r>
      <w:r w:rsidR="00AF68C4" w:rsidRPr="0024327D">
        <w:rPr>
          <w:lang w:val="uk-UA"/>
        </w:rPr>
        <w:t>і</w:t>
      </w:r>
      <w:r w:rsidRPr="0024327D">
        <w:rPr>
          <w:lang w:val="uk-UA"/>
        </w:rPr>
        <w:t xml:space="preserve"> кошти, зазнали </w:t>
      </w:r>
      <w:r w:rsidR="000233A0" w:rsidRPr="0024327D">
        <w:rPr>
          <w:lang w:val="uk-UA"/>
        </w:rPr>
        <w:t>краху</w:t>
      </w:r>
      <w:r w:rsidRPr="0024327D">
        <w:rPr>
          <w:lang w:val="uk-UA"/>
        </w:rPr>
        <w:t xml:space="preserve"> в цей період, що </w:t>
      </w:r>
      <w:r w:rsidR="002044B6" w:rsidRPr="0024327D">
        <w:rPr>
          <w:lang w:val="uk-UA"/>
        </w:rPr>
        <w:t xml:space="preserve">на довгі роки </w:t>
      </w:r>
      <w:r w:rsidRPr="0024327D">
        <w:rPr>
          <w:lang w:val="uk-UA"/>
        </w:rPr>
        <w:t>погіршило здатність ринку відновлюватися</w:t>
      </w:r>
      <w:r w:rsidR="00BF563B" w:rsidRPr="0024327D">
        <w:rPr>
          <w:lang w:val="uk-UA"/>
        </w:rPr>
        <w:t xml:space="preserve">. </w:t>
      </w:r>
    </w:p>
    <w:p w14:paraId="52737AC1" w14:textId="561F8465" w:rsidR="002044B6" w:rsidRPr="0024327D" w:rsidRDefault="00615FAE" w:rsidP="0054368B">
      <w:pPr>
        <w:rPr>
          <w:lang w:val="uk-UA"/>
        </w:rPr>
      </w:pPr>
      <w:r w:rsidRPr="0024327D">
        <w:rPr>
          <w:lang w:val="uk-UA"/>
        </w:rPr>
        <w:t>У</w:t>
      </w:r>
      <w:r w:rsidR="002044B6" w:rsidRPr="0024327D">
        <w:rPr>
          <w:lang w:val="uk-UA"/>
        </w:rPr>
        <w:t xml:space="preserve"> результаті кризи було запроваджено кілька обмежень, які мали </w:t>
      </w:r>
      <w:r w:rsidR="0045403B" w:rsidRPr="0024327D">
        <w:rPr>
          <w:lang w:val="uk-UA"/>
        </w:rPr>
        <w:t xml:space="preserve">усунути </w:t>
      </w:r>
      <w:r w:rsidR="002044B6" w:rsidRPr="0024327D">
        <w:rPr>
          <w:lang w:val="uk-UA"/>
        </w:rPr>
        <w:t>найгірш</w:t>
      </w:r>
      <w:r w:rsidR="0045403B" w:rsidRPr="0024327D">
        <w:rPr>
          <w:lang w:val="uk-UA"/>
        </w:rPr>
        <w:t>і</w:t>
      </w:r>
      <w:r w:rsidR="002044B6" w:rsidRPr="0024327D">
        <w:rPr>
          <w:lang w:val="uk-UA"/>
        </w:rPr>
        <w:t xml:space="preserve"> </w:t>
      </w:r>
      <w:r w:rsidR="0045403B" w:rsidRPr="0024327D">
        <w:rPr>
          <w:lang w:val="uk-UA"/>
        </w:rPr>
        <w:t xml:space="preserve">з </w:t>
      </w:r>
      <w:r w:rsidR="006F6A26" w:rsidRPr="0024327D">
        <w:rPr>
          <w:lang w:val="uk-UA"/>
        </w:rPr>
        <w:t xml:space="preserve">виявлених </w:t>
      </w:r>
      <w:r w:rsidR="0045403B" w:rsidRPr="0024327D">
        <w:rPr>
          <w:lang w:val="uk-UA"/>
        </w:rPr>
        <w:t xml:space="preserve">недоліків цієї структури; зокрема, </w:t>
      </w:r>
      <w:r w:rsidR="002044B6" w:rsidRPr="0024327D">
        <w:rPr>
          <w:lang w:val="uk-UA"/>
        </w:rPr>
        <w:t>були введені жорсткіші правила на рівні ЄС</w:t>
      </w:r>
      <w:r w:rsidR="000233A0" w:rsidRPr="0024327D">
        <w:rPr>
          <w:lang w:val="uk-UA"/>
        </w:rPr>
        <w:t xml:space="preserve"> щодо</w:t>
      </w:r>
      <w:r w:rsidR="002044B6" w:rsidRPr="0024327D">
        <w:rPr>
          <w:lang w:val="uk-UA"/>
        </w:rPr>
        <w:t xml:space="preserve"> складн</w:t>
      </w:r>
      <w:r w:rsidR="000233A0" w:rsidRPr="0024327D">
        <w:rPr>
          <w:lang w:val="uk-UA"/>
        </w:rPr>
        <w:t>ості</w:t>
      </w:r>
      <w:r w:rsidR="0077441B" w:rsidRPr="0024327D">
        <w:rPr>
          <w:lang w:val="uk-UA"/>
        </w:rPr>
        <w:t xml:space="preserve"> </w:t>
      </w:r>
      <w:r w:rsidR="0077441B" w:rsidRPr="0024327D">
        <w:rPr>
          <w:lang w:val="uk-UA"/>
        </w:rPr>
        <w:lastRenderedPageBreak/>
        <w:t>структури</w:t>
      </w:r>
      <w:r w:rsidR="002044B6" w:rsidRPr="0024327D">
        <w:rPr>
          <w:rStyle w:val="af2"/>
          <w:lang w:val="uk-UA"/>
        </w:rPr>
        <w:footnoteReference w:id="16"/>
      </w:r>
      <w:r w:rsidR="002044B6" w:rsidRPr="0024327D">
        <w:rPr>
          <w:lang w:val="uk-UA"/>
        </w:rPr>
        <w:t>, критерії</w:t>
      </w:r>
      <w:r w:rsidR="000A39C5" w:rsidRPr="0024327D">
        <w:rPr>
          <w:lang w:val="uk-UA"/>
        </w:rPr>
        <w:t>в</w:t>
      </w:r>
      <w:r w:rsidR="006F384B" w:rsidRPr="0024327D">
        <w:rPr>
          <w:lang w:val="uk-UA"/>
        </w:rPr>
        <w:t xml:space="preserve"> вибору</w:t>
      </w:r>
      <w:r w:rsidR="002044B6" w:rsidRPr="0024327D">
        <w:rPr>
          <w:lang w:val="uk-UA"/>
        </w:rPr>
        <w:t xml:space="preserve"> активів</w:t>
      </w:r>
      <w:r w:rsidR="002044B6" w:rsidRPr="0024327D">
        <w:rPr>
          <w:rStyle w:val="af2"/>
          <w:lang w:val="uk-UA"/>
        </w:rPr>
        <w:footnoteReference w:id="17"/>
      </w:r>
      <w:r w:rsidR="002044B6" w:rsidRPr="0024327D">
        <w:rPr>
          <w:lang w:val="uk-UA"/>
        </w:rPr>
        <w:t>,</w:t>
      </w:r>
      <w:r w:rsidR="00AB525C" w:rsidRPr="0024327D">
        <w:rPr>
          <w:lang w:val="uk-UA"/>
        </w:rPr>
        <w:t xml:space="preserve"> збереження оригінатором частини ризику за активами</w:t>
      </w:r>
      <w:r w:rsidR="002044B6" w:rsidRPr="0024327D">
        <w:rPr>
          <w:rStyle w:val="af2"/>
          <w:lang w:val="uk-UA"/>
        </w:rPr>
        <w:footnoteReference w:id="18"/>
      </w:r>
      <w:r w:rsidR="002044B6" w:rsidRPr="0024327D">
        <w:rPr>
          <w:lang w:val="uk-UA"/>
        </w:rPr>
        <w:t xml:space="preserve"> та розкриття інформації</w:t>
      </w:r>
      <w:r w:rsidR="002044B6" w:rsidRPr="0024327D">
        <w:rPr>
          <w:rStyle w:val="af2"/>
          <w:lang w:val="uk-UA"/>
        </w:rPr>
        <w:footnoteReference w:id="19"/>
      </w:r>
      <w:r w:rsidR="0045403B" w:rsidRPr="0024327D">
        <w:rPr>
          <w:lang w:val="uk-UA"/>
        </w:rPr>
        <w:t>.</w:t>
      </w:r>
      <w:r w:rsidR="002044B6" w:rsidRPr="0024327D">
        <w:rPr>
          <w:lang w:val="uk-UA"/>
        </w:rPr>
        <w:t xml:space="preserve"> </w:t>
      </w:r>
      <w:r w:rsidR="0045403B" w:rsidRPr="0024327D">
        <w:rPr>
          <w:lang w:val="uk-UA"/>
        </w:rPr>
        <w:t xml:space="preserve">Наразі </w:t>
      </w:r>
      <w:r w:rsidR="002044B6" w:rsidRPr="0024327D">
        <w:rPr>
          <w:lang w:val="uk-UA"/>
        </w:rPr>
        <w:t xml:space="preserve">ці правила повністю впроваджуються в Європі, </w:t>
      </w:r>
      <w:r w:rsidR="008C2562" w:rsidRPr="0024327D">
        <w:rPr>
          <w:lang w:val="uk-UA"/>
        </w:rPr>
        <w:t>а</w:t>
      </w:r>
      <w:r w:rsidR="002044B6" w:rsidRPr="0024327D">
        <w:rPr>
          <w:lang w:val="uk-UA"/>
        </w:rPr>
        <w:t xml:space="preserve"> обсяги </w:t>
      </w:r>
      <w:r w:rsidR="008C2562" w:rsidRPr="0024327D">
        <w:rPr>
          <w:lang w:val="uk-UA"/>
        </w:rPr>
        <w:t xml:space="preserve">сек’юритизації </w:t>
      </w:r>
      <w:r w:rsidR="002044B6" w:rsidRPr="0024327D">
        <w:rPr>
          <w:lang w:val="uk-UA"/>
        </w:rPr>
        <w:t>залишаються значно меншими, ніж до фінансової кризи.</w:t>
      </w:r>
    </w:p>
    <w:p w14:paraId="4A4E1E33" w14:textId="052233D7" w:rsidR="004339B4" w:rsidRPr="0024327D" w:rsidRDefault="0045403B" w:rsidP="000E107C">
      <w:pPr>
        <w:pStyle w:val="2"/>
        <w:rPr>
          <w:lang w:val="uk-UA"/>
        </w:rPr>
      </w:pPr>
      <w:bookmarkStart w:id="43" w:name="_Toc6942237"/>
      <w:bookmarkStart w:id="44" w:name="_Toc5081025"/>
      <w:bookmarkStart w:id="45" w:name="_Toc27153436"/>
      <w:bookmarkStart w:id="46" w:name="_Toc95480981"/>
      <w:r w:rsidRPr="0024327D">
        <w:rPr>
          <w:lang w:val="uk-UA"/>
        </w:rPr>
        <w:t>Потенційні переваги</w:t>
      </w:r>
      <w:bookmarkEnd w:id="43"/>
      <w:bookmarkEnd w:id="44"/>
      <w:bookmarkEnd w:id="45"/>
      <w:bookmarkEnd w:id="46"/>
    </w:p>
    <w:p w14:paraId="5FE00F23" w14:textId="3525854A" w:rsidR="0045403B" w:rsidRPr="0024327D" w:rsidRDefault="0002155F" w:rsidP="00501D25">
      <w:pPr>
        <w:rPr>
          <w:rFonts w:eastAsia="Times New Roman"/>
          <w:lang w:val="uk-UA"/>
        </w:rPr>
      </w:pPr>
      <w:r w:rsidRPr="0024327D">
        <w:rPr>
          <w:rFonts w:eastAsia="Times New Roman"/>
          <w:lang w:val="uk-UA"/>
        </w:rPr>
        <w:t>В</w:t>
      </w:r>
      <w:r w:rsidR="0045403B" w:rsidRPr="0024327D">
        <w:rPr>
          <w:rFonts w:eastAsia="Times New Roman"/>
          <w:lang w:val="uk-UA"/>
        </w:rPr>
        <w:t xml:space="preserve">провадження в Україні сучасного та дієвого законодавства про сек'юритизацію та </w:t>
      </w:r>
      <w:r w:rsidR="00645A85" w:rsidRPr="0024327D">
        <w:rPr>
          <w:rFonts w:eastAsia="Times New Roman"/>
          <w:lang w:val="uk-UA"/>
        </w:rPr>
        <w:t>облігації з покриттям</w:t>
      </w:r>
      <w:r w:rsidR="0045403B" w:rsidRPr="0024327D">
        <w:rPr>
          <w:rFonts w:eastAsia="Times New Roman"/>
          <w:lang w:val="uk-UA"/>
        </w:rPr>
        <w:t>, що враховує досвід інших країн, зокрема, прийнят</w:t>
      </w:r>
      <w:r w:rsidR="000233A0" w:rsidRPr="0024327D">
        <w:rPr>
          <w:rFonts w:eastAsia="Times New Roman"/>
          <w:lang w:val="uk-UA"/>
        </w:rPr>
        <w:t>і</w:t>
      </w:r>
      <w:r w:rsidR="0045403B" w:rsidRPr="0024327D">
        <w:rPr>
          <w:rFonts w:eastAsia="Times New Roman"/>
          <w:lang w:val="uk-UA"/>
        </w:rPr>
        <w:t xml:space="preserve"> </w:t>
      </w:r>
      <w:r w:rsidR="00ED3430" w:rsidRPr="0024327D">
        <w:rPr>
          <w:rFonts w:eastAsia="Times New Roman"/>
          <w:lang w:val="uk-UA"/>
        </w:rPr>
        <w:t xml:space="preserve">у 2017 </w:t>
      </w:r>
      <w:r w:rsidR="000206F5" w:rsidRPr="0024327D">
        <w:rPr>
          <w:rFonts w:eastAsia="Times New Roman"/>
          <w:lang w:val="uk-UA"/>
        </w:rPr>
        <w:t xml:space="preserve">та 2019 роках </w:t>
      </w:r>
      <w:r w:rsidR="00464957" w:rsidRPr="0024327D">
        <w:rPr>
          <w:rFonts w:eastAsia="Times New Roman"/>
          <w:lang w:val="uk-UA"/>
        </w:rPr>
        <w:t>акт</w:t>
      </w:r>
      <w:r w:rsidR="000233A0" w:rsidRPr="0024327D">
        <w:rPr>
          <w:rFonts w:eastAsia="Times New Roman"/>
          <w:lang w:val="uk-UA"/>
        </w:rPr>
        <w:t>и</w:t>
      </w:r>
      <w:r w:rsidR="0045403B" w:rsidRPr="0024327D">
        <w:rPr>
          <w:rFonts w:eastAsia="Times New Roman"/>
          <w:lang w:val="uk-UA"/>
        </w:rPr>
        <w:t xml:space="preserve"> Європейського Союзу</w:t>
      </w:r>
      <w:r w:rsidR="0045403B" w:rsidRPr="0024327D">
        <w:rPr>
          <w:rStyle w:val="af2"/>
          <w:rFonts w:eastAsia="Times New Roman"/>
          <w:lang w:val="uk-UA"/>
        </w:rPr>
        <w:footnoteReference w:id="20"/>
      </w:r>
      <w:r w:rsidR="0045403B" w:rsidRPr="0024327D">
        <w:rPr>
          <w:rFonts w:eastAsia="Times New Roman"/>
          <w:lang w:val="uk-UA"/>
        </w:rPr>
        <w:t xml:space="preserve"> </w:t>
      </w:r>
      <w:r w:rsidR="000233A0" w:rsidRPr="0024327D">
        <w:rPr>
          <w:rFonts w:eastAsia="Times New Roman"/>
          <w:lang w:val="uk-UA"/>
        </w:rPr>
        <w:t>щодо</w:t>
      </w:r>
      <w:r w:rsidR="0045403B" w:rsidRPr="0024327D">
        <w:rPr>
          <w:rFonts w:eastAsia="Times New Roman"/>
          <w:lang w:val="uk-UA"/>
        </w:rPr>
        <w:t xml:space="preserve"> обох продуктів, має багато потенційних переваг, зокрема:</w:t>
      </w:r>
    </w:p>
    <w:p w14:paraId="5F88D52B" w14:textId="26044E70" w:rsidR="004339B4" w:rsidRPr="0024327D" w:rsidRDefault="0002155F" w:rsidP="00E204AE">
      <w:pPr>
        <w:keepNext/>
        <w:keepLines/>
        <w:rPr>
          <w:rFonts w:eastAsia="Times New Roman"/>
          <w:b/>
          <w:lang w:val="uk-UA"/>
        </w:rPr>
      </w:pPr>
      <w:r w:rsidRPr="0024327D">
        <w:rPr>
          <w:rFonts w:eastAsia="Times New Roman"/>
          <w:b/>
          <w:lang w:val="uk-UA"/>
        </w:rPr>
        <w:t>Зменшення вартості фінансування</w:t>
      </w:r>
    </w:p>
    <w:p w14:paraId="7E6D9192" w14:textId="31570E95" w:rsidR="0002155F" w:rsidRPr="0024327D" w:rsidRDefault="0002155F" w:rsidP="00501D25">
      <w:pPr>
        <w:rPr>
          <w:rFonts w:eastAsia="Times New Roman"/>
          <w:lang w:val="uk-UA"/>
        </w:rPr>
      </w:pPr>
      <w:r w:rsidRPr="0024327D">
        <w:rPr>
          <w:rFonts w:eastAsia="Times New Roman"/>
          <w:lang w:val="uk-UA"/>
        </w:rPr>
        <w:t xml:space="preserve">Через </w:t>
      </w:r>
      <w:r w:rsidR="0044107A" w:rsidRPr="0024327D">
        <w:rPr>
          <w:rFonts w:eastAsia="Times New Roman"/>
          <w:lang w:val="uk-UA"/>
        </w:rPr>
        <w:t>зниження кредитного ризику</w:t>
      </w:r>
      <w:r w:rsidR="00464957" w:rsidRPr="0024327D">
        <w:rPr>
          <w:rFonts w:eastAsia="Times New Roman"/>
          <w:lang w:val="uk-UA"/>
        </w:rPr>
        <w:t xml:space="preserve"> </w:t>
      </w:r>
      <w:r w:rsidR="0044107A" w:rsidRPr="0024327D">
        <w:rPr>
          <w:rFonts w:eastAsia="Times New Roman"/>
          <w:lang w:val="uk-UA"/>
        </w:rPr>
        <w:t>з</w:t>
      </w:r>
      <w:r w:rsidR="00464957" w:rsidRPr="0024327D">
        <w:rPr>
          <w:rFonts w:eastAsia="Times New Roman"/>
          <w:lang w:val="uk-UA"/>
        </w:rPr>
        <w:t>а</w:t>
      </w:r>
      <w:r w:rsidR="0044107A" w:rsidRPr="0024327D">
        <w:rPr>
          <w:rFonts w:eastAsia="Times New Roman"/>
          <w:lang w:val="uk-UA"/>
        </w:rPr>
        <w:t xml:space="preserve"> </w:t>
      </w:r>
      <w:r w:rsidRPr="0024327D">
        <w:rPr>
          <w:rFonts w:eastAsia="Times New Roman"/>
          <w:lang w:val="uk-UA"/>
        </w:rPr>
        <w:t>випущени</w:t>
      </w:r>
      <w:r w:rsidR="0044107A" w:rsidRPr="0024327D">
        <w:rPr>
          <w:rFonts w:eastAsia="Times New Roman"/>
          <w:lang w:val="uk-UA"/>
        </w:rPr>
        <w:t>ми</w:t>
      </w:r>
      <w:r w:rsidRPr="0024327D">
        <w:rPr>
          <w:rFonts w:eastAsia="Times New Roman"/>
          <w:lang w:val="uk-UA"/>
        </w:rPr>
        <w:t xml:space="preserve"> облігаці</w:t>
      </w:r>
      <w:r w:rsidR="0044107A" w:rsidRPr="0024327D">
        <w:rPr>
          <w:rFonts w:eastAsia="Times New Roman"/>
          <w:lang w:val="uk-UA"/>
        </w:rPr>
        <w:t xml:space="preserve">ями, </w:t>
      </w:r>
      <w:r w:rsidRPr="0024327D">
        <w:rPr>
          <w:rFonts w:eastAsia="Times New Roman"/>
          <w:lang w:val="uk-UA"/>
        </w:rPr>
        <w:t>порівняно з кредитн</w:t>
      </w:r>
      <w:r w:rsidR="0044107A" w:rsidRPr="0024327D">
        <w:rPr>
          <w:rFonts w:eastAsia="Times New Roman"/>
          <w:lang w:val="uk-UA"/>
        </w:rPr>
        <w:t xml:space="preserve">им ризиком при </w:t>
      </w:r>
      <w:r w:rsidRPr="0024327D">
        <w:rPr>
          <w:rFonts w:eastAsia="Times New Roman"/>
          <w:lang w:val="uk-UA"/>
        </w:rPr>
        <w:t>альтернативних джерел</w:t>
      </w:r>
      <w:r w:rsidR="0044107A" w:rsidRPr="0024327D">
        <w:rPr>
          <w:rFonts w:eastAsia="Times New Roman"/>
          <w:lang w:val="uk-UA"/>
        </w:rPr>
        <w:t>ах</w:t>
      </w:r>
      <w:r w:rsidRPr="0024327D">
        <w:rPr>
          <w:rFonts w:eastAsia="Times New Roman"/>
          <w:lang w:val="uk-UA"/>
        </w:rPr>
        <w:t xml:space="preserve"> фінансування, таких як незабезпечені облігації,</w:t>
      </w:r>
      <w:r w:rsidR="00223BF7" w:rsidRPr="0024327D">
        <w:rPr>
          <w:rFonts w:eastAsia="Times New Roman"/>
          <w:lang w:val="uk-UA"/>
        </w:rPr>
        <w:t xml:space="preserve"> відсоткова ставка, під яку інвестори будуть готові надавати фінансування, може значно знизитись</w:t>
      </w:r>
      <w:r w:rsidRPr="0024327D">
        <w:rPr>
          <w:rFonts w:eastAsia="Times New Roman"/>
          <w:lang w:val="uk-UA"/>
        </w:rPr>
        <w:t xml:space="preserve">. </w:t>
      </w:r>
      <w:r w:rsidR="00D16954" w:rsidRPr="0024327D">
        <w:rPr>
          <w:rFonts w:eastAsia="Times New Roman"/>
          <w:lang w:val="uk-UA"/>
        </w:rPr>
        <w:t xml:space="preserve">Перевагу від цього отримають </w:t>
      </w:r>
      <w:r w:rsidRPr="0024327D">
        <w:rPr>
          <w:rFonts w:eastAsia="Times New Roman"/>
          <w:lang w:val="uk-UA"/>
        </w:rPr>
        <w:t>позичальник</w:t>
      </w:r>
      <w:r w:rsidR="00D16954" w:rsidRPr="0024327D">
        <w:rPr>
          <w:rFonts w:eastAsia="Times New Roman"/>
          <w:lang w:val="uk-UA"/>
        </w:rPr>
        <w:t>и</w:t>
      </w:r>
      <w:r w:rsidRPr="0024327D">
        <w:rPr>
          <w:rFonts w:eastAsia="Times New Roman"/>
          <w:lang w:val="uk-UA"/>
        </w:rPr>
        <w:t>-учасник</w:t>
      </w:r>
      <w:r w:rsidR="00791CD9" w:rsidRPr="0024327D">
        <w:rPr>
          <w:rFonts w:eastAsia="Times New Roman"/>
          <w:lang w:val="uk-UA"/>
        </w:rPr>
        <w:t>и</w:t>
      </w:r>
      <w:r w:rsidRPr="0024327D">
        <w:rPr>
          <w:rFonts w:eastAsia="Times New Roman"/>
          <w:lang w:val="uk-UA"/>
        </w:rPr>
        <w:t xml:space="preserve"> пулу, так</w:t>
      </w:r>
      <w:r w:rsidR="00791CD9" w:rsidRPr="0024327D">
        <w:rPr>
          <w:rFonts w:eastAsia="Times New Roman"/>
          <w:lang w:val="uk-UA"/>
        </w:rPr>
        <w:t>і</w:t>
      </w:r>
      <w:r w:rsidRPr="0024327D">
        <w:rPr>
          <w:rFonts w:eastAsia="Times New Roman"/>
          <w:lang w:val="uk-UA"/>
        </w:rPr>
        <w:t xml:space="preserve"> як позичальники за іпотекою.</w:t>
      </w:r>
    </w:p>
    <w:p w14:paraId="783AC41D" w14:textId="12270B5C" w:rsidR="0002155F" w:rsidRPr="0024327D" w:rsidRDefault="0002155F" w:rsidP="00501D25">
      <w:pPr>
        <w:rPr>
          <w:rFonts w:eastAsia="Times New Roman"/>
          <w:lang w:val="uk-UA"/>
        </w:rPr>
      </w:pPr>
      <w:r w:rsidRPr="0024327D">
        <w:rPr>
          <w:rFonts w:eastAsia="Times New Roman"/>
          <w:lang w:val="uk-UA"/>
        </w:rPr>
        <w:t xml:space="preserve">На </w:t>
      </w:r>
      <w:r w:rsidR="00A47552" w:rsidRPr="0024327D">
        <w:rPr>
          <w:rFonts w:eastAsia="Times New Roman"/>
          <w:lang w:val="uk-UA"/>
        </w:rPr>
        <w:t xml:space="preserve">закордонному </w:t>
      </w:r>
      <w:r w:rsidRPr="0024327D">
        <w:rPr>
          <w:rFonts w:eastAsia="Times New Roman"/>
          <w:lang w:val="uk-UA"/>
        </w:rPr>
        <w:t xml:space="preserve">ринку існує потенціал </w:t>
      </w:r>
      <w:r w:rsidR="00DC6806" w:rsidRPr="0024327D">
        <w:rPr>
          <w:rFonts w:eastAsia="Times New Roman"/>
          <w:lang w:val="uk-UA"/>
        </w:rPr>
        <w:t xml:space="preserve">для того, щоб </w:t>
      </w:r>
      <w:r w:rsidRPr="0024327D">
        <w:rPr>
          <w:rFonts w:eastAsia="Times New Roman"/>
          <w:lang w:val="uk-UA"/>
        </w:rPr>
        <w:t>рейтинг, присвоєни</w:t>
      </w:r>
      <w:r w:rsidR="00DC6806" w:rsidRPr="0024327D">
        <w:rPr>
          <w:rFonts w:eastAsia="Times New Roman"/>
          <w:lang w:val="uk-UA"/>
        </w:rPr>
        <w:t>й</w:t>
      </w:r>
      <w:r w:rsidRPr="0024327D">
        <w:rPr>
          <w:rFonts w:eastAsia="Times New Roman"/>
          <w:lang w:val="uk-UA"/>
        </w:rPr>
        <w:t xml:space="preserve"> </w:t>
      </w:r>
      <w:r w:rsidR="00DC6806" w:rsidRPr="0024327D">
        <w:rPr>
          <w:rFonts w:eastAsia="Times New Roman"/>
          <w:lang w:val="uk-UA"/>
        </w:rPr>
        <w:t xml:space="preserve">облігаціям </w:t>
      </w:r>
      <w:r w:rsidRPr="0024327D">
        <w:rPr>
          <w:rFonts w:eastAsia="Times New Roman"/>
          <w:lang w:val="uk-UA"/>
        </w:rPr>
        <w:t xml:space="preserve">міжнародними рейтинговими агентствами, </w:t>
      </w:r>
      <w:r w:rsidR="00DC6806" w:rsidRPr="0024327D">
        <w:rPr>
          <w:rFonts w:eastAsia="Times New Roman"/>
          <w:lang w:val="uk-UA"/>
        </w:rPr>
        <w:t>був</w:t>
      </w:r>
      <w:r w:rsidRPr="0024327D">
        <w:rPr>
          <w:rFonts w:eastAsia="Times New Roman"/>
          <w:lang w:val="uk-UA"/>
        </w:rPr>
        <w:t xml:space="preserve"> вищим</w:t>
      </w:r>
      <w:r w:rsidR="00DC6806" w:rsidRPr="0024327D">
        <w:rPr>
          <w:rFonts w:eastAsia="Times New Roman"/>
          <w:lang w:val="uk-UA"/>
        </w:rPr>
        <w:t xml:space="preserve"> за </w:t>
      </w:r>
      <w:r w:rsidRPr="0024327D">
        <w:rPr>
          <w:rFonts w:eastAsia="Times New Roman"/>
          <w:lang w:val="uk-UA"/>
        </w:rPr>
        <w:t xml:space="preserve">рейтинг самої країни, а вартість </w:t>
      </w:r>
      <w:r w:rsidR="002001B6" w:rsidRPr="0024327D">
        <w:rPr>
          <w:rFonts w:eastAsia="Times New Roman"/>
          <w:lang w:val="uk-UA"/>
        </w:rPr>
        <w:t>запозичень</w:t>
      </w:r>
      <w:r w:rsidR="00D960D0" w:rsidRPr="0024327D">
        <w:rPr>
          <w:rFonts w:eastAsia="Times New Roman"/>
          <w:lang w:val="uk-UA"/>
        </w:rPr>
        <w:t xml:space="preserve"> </w:t>
      </w:r>
      <w:r w:rsidR="00DC6806" w:rsidRPr="0024327D">
        <w:rPr>
          <w:rFonts w:eastAsia="Times New Roman"/>
          <w:lang w:val="uk-UA"/>
        </w:rPr>
        <w:t xml:space="preserve">- </w:t>
      </w:r>
      <w:r w:rsidRPr="0024327D">
        <w:rPr>
          <w:rFonts w:eastAsia="Times New Roman"/>
          <w:lang w:val="uk-UA"/>
        </w:rPr>
        <w:t>значно нижч</w:t>
      </w:r>
      <w:r w:rsidR="00DC6806" w:rsidRPr="0024327D">
        <w:rPr>
          <w:rFonts w:eastAsia="Times New Roman"/>
          <w:lang w:val="uk-UA"/>
        </w:rPr>
        <w:t>ою</w:t>
      </w:r>
      <w:r w:rsidRPr="0024327D">
        <w:rPr>
          <w:rFonts w:eastAsia="Times New Roman"/>
          <w:lang w:val="uk-UA"/>
        </w:rPr>
        <w:t>. Що стосується облігацій</w:t>
      </w:r>
      <w:r w:rsidR="000E6197" w:rsidRPr="0024327D">
        <w:rPr>
          <w:rFonts w:eastAsia="Times New Roman"/>
          <w:lang w:val="uk-UA"/>
        </w:rPr>
        <w:t xml:space="preserve"> з покриттям</w:t>
      </w:r>
      <w:r w:rsidRPr="0024327D">
        <w:rPr>
          <w:rFonts w:eastAsia="Times New Roman"/>
          <w:lang w:val="uk-UA"/>
        </w:rPr>
        <w:t>, зокрема</w:t>
      </w:r>
      <w:r w:rsidR="00DC6806" w:rsidRPr="0024327D">
        <w:rPr>
          <w:rFonts w:eastAsia="Times New Roman"/>
          <w:lang w:val="uk-UA"/>
        </w:rPr>
        <w:t>,</w:t>
      </w:r>
      <w:r w:rsidRPr="0024327D">
        <w:rPr>
          <w:rFonts w:eastAsia="Times New Roman"/>
          <w:lang w:val="uk-UA"/>
        </w:rPr>
        <w:t xml:space="preserve"> під час фінансової кризи, </w:t>
      </w:r>
      <w:r w:rsidR="00DC6806" w:rsidRPr="0024327D">
        <w:rPr>
          <w:rFonts w:eastAsia="Times New Roman"/>
          <w:lang w:val="uk-UA"/>
        </w:rPr>
        <w:t xml:space="preserve">то </w:t>
      </w:r>
      <w:r w:rsidRPr="0024327D">
        <w:rPr>
          <w:rFonts w:eastAsia="Times New Roman"/>
          <w:lang w:val="uk-UA"/>
        </w:rPr>
        <w:t xml:space="preserve">банки мали змогу випускати облігації з </w:t>
      </w:r>
      <w:r w:rsidR="002001B6" w:rsidRPr="0024327D">
        <w:rPr>
          <w:rFonts w:eastAsia="Times New Roman"/>
          <w:lang w:val="uk-UA"/>
        </w:rPr>
        <w:t>відсотковою ставкою</w:t>
      </w:r>
      <w:r w:rsidRPr="0024327D">
        <w:rPr>
          <w:rFonts w:eastAsia="Times New Roman"/>
          <w:lang w:val="uk-UA"/>
        </w:rPr>
        <w:t xml:space="preserve">, суттєво нижчою за </w:t>
      </w:r>
      <w:r w:rsidR="000218D7" w:rsidRPr="0024327D">
        <w:rPr>
          <w:rFonts w:eastAsia="Times New Roman"/>
          <w:lang w:val="uk-UA"/>
        </w:rPr>
        <w:t xml:space="preserve">ту, що вимагалася </w:t>
      </w:r>
      <w:r w:rsidR="000E6197" w:rsidRPr="0024327D">
        <w:rPr>
          <w:rFonts w:eastAsia="Times New Roman"/>
          <w:lang w:val="uk-UA"/>
        </w:rPr>
        <w:t xml:space="preserve">інвесторами щодо </w:t>
      </w:r>
      <w:r w:rsidRPr="0024327D">
        <w:rPr>
          <w:rFonts w:eastAsia="Times New Roman"/>
          <w:lang w:val="uk-UA"/>
        </w:rPr>
        <w:t xml:space="preserve">державних облігацій у таких країнах як Італія, Іспанія та Греція. Хоча це </w:t>
      </w:r>
      <w:r w:rsidR="00AF68C4" w:rsidRPr="0024327D">
        <w:rPr>
          <w:rFonts w:eastAsia="Times New Roman"/>
          <w:lang w:val="uk-UA"/>
        </w:rPr>
        <w:t xml:space="preserve">досить традиційно для </w:t>
      </w:r>
      <w:r w:rsidRPr="0024327D">
        <w:rPr>
          <w:rFonts w:eastAsia="Times New Roman"/>
          <w:lang w:val="uk-UA"/>
        </w:rPr>
        <w:t>Єврозон</w:t>
      </w:r>
      <w:r w:rsidR="00AF68C4" w:rsidRPr="0024327D">
        <w:rPr>
          <w:rFonts w:eastAsia="Times New Roman"/>
          <w:lang w:val="uk-UA"/>
        </w:rPr>
        <w:t>и</w:t>
      </w:r>
      <w:r w:rsidRPr="0024327D">
        <w:rPr>
          <w:rFonts w:eastAsia="Times New Roman"/>
          <w:lang w:val="uk-UA"/>
        </w:rPr>
        <w:t xml:space="preserve">, </w:t>
      </w:r>
      <w:r w:rsidR="000218D7" w:rsidRPr="0024327D">
        <w:rPr>
          <w:rFonts w:eastAsia="Times New Roman"/>
          <w:lang w:val="uk-UA"/>
        </w:rPr>
        <w:t>у</w:t>
      </w:r>
      <w:r w:rsidRPr="0024327D">
        <w:rPr>
          <w:rFonts w:eastAsia="Times New Roman"/>
          <w:lang w:val="uk-UA"/>
        </w:rPr>
        <w:t xml:space="preserve"> країн</w:t>
      </w:r>
      <w:r w:rsidR="000218D7" w:rsidRPr="0024327D">
        <w:rPr>
          <w:rFonts w:eastAsia="Times New Roman"/>
          <w:lang w:val="uk-UA"/>
        </w:rPr>
        <w:t>ах</w:t>
      </w:r>
      <w:r w:rsidRPr="0024327D">
        <w:rPr>
          <w:rFonts w:eastAsia="Times New Roman"/>
          <w:lang w:val="uk-UA"/>
        </w:rPr>
        <w:t>, що не входять в Єврозону</w:t>
      </w:r>
      <w:r w:rsidR="000218D7" w:rsidRPr="0024327D">
        <w:rPr>
          <w:rFonts w:eastAsia="Times New Roman"/>
          <w:lang w:val="uk-UA"/>
        </w:rPr>
        <w:t xml:space="preserve">, </w:t>
      </w:r>
      <w:r w:rsidR="00AF68C4" w:rsidRPr="0024327D">
        <w:rPr>
          <w:rFonts w:eastAsia="Times New Roman"/>
          <w:lang w:val="uk-UA"/>
        </w:rPr>
        <w:t xml:space="preserve">це явище </w:t>
      </w:r>
      <w:r w:rsidR="000218D7" w:rsidRPr="0024327D">
        <w:rPr>
          <w:rFonts w:eastAsia="Times New Roman"/>
          <w:lang w:val="uk-UA"/>
        </w:rPr>
        <w:t>зустрічається рідше</w:t>
      </w:r>
      <w:r w:rsidRPr="0024327D">
        <w:rPr>
          <w:rFonts w:eastAsia="Times New Roman"/>
          <w:lang w:val="uk-UA"/>
        </w:rPr>
        <w:t>. Н</w:t>
      </w:r>
      <w:r w:rsidR="000218D7" w:rsidRPr="0024327D">
        <w:rPr>
          <w:rFonts w:eastAsia="Times New Roman"/>
          <w:lang w:val="uk-UA"/>
        </w:rPr>
        <w:t>аразі н</w:t>
      </w:r>
      <w:r w:rsidRPr="0024327D">
        <w:rPr>
          <w:rFonts w:eastAsia="Times New Roman"/>
          <w:lang w:val="uk-UA"/>
        </w:rPr>
        <w:t xml:space="preserve">езрозуміло, чи </w:t>
      </w:r>
      <w:r w:rsidR="0014157C" w:rsidRPr="0024327D">
        <w:rPr>
          <w:rFonts w:eastAsia="Times New Roman"/>
          <w:lang w:val="uk-UA"/>
        </w:rPr>
        <w:t xml:space="preserve">можна буде цього досягти в рамках </w:t>
      </w:r>
      <w:r w:rsidR="002C320E" w:rsidRPr="0024327D">
        <w:rPr>
          <w:rFonts w:eastAsia="Times New Roman"/>
          <w:lang w:val="uk-UA"/>
        </w:rPr>
        <w:t xml:space="preserve">емісії облігацій з покриттям </w:t>
      </w:r>
      <w:r w:rsidRPr="0024327D">
        <w:rPr>
          <w:rFonts w:eastAsia="Times New Roman"/>
          <w:lang w:val="uk-UA"/>
        </w:rPr>
        <w:t>в Україні.</w:t>
      </w:r>
    </w:p>
    <w:p w14:paraId="413239B2" w14:textId="7EEB74C7" w:rsidR="000A269F" w:rsidRPr="0024327D" w:rsidRDefault="000218D7" w:rsidP="00501D25">
      <w:pPr>
        <w:rPr>
          <w:rFonts w:eastAsia="Times New Roman"/>
          <w:lang w:val="uk-UA"/>
        </w:rPr>
      </w:pPr>
      <w:r w:rsidRPr="0024327D">
        <w:rPr>
          <w:rFonts w:eastAsia="Times New Roman"/>
          <w:lang w:val="uk-UA"/>
        </w:rPr>
        <w:t xml:space="preserve">Аргумент щодо </w:t>
      </w:r>
      <w:r w:rsidR="007B7211" w:rsidRPr="0024327D">
        <w:rPr>
          <w:rFonts w:eastAsia="Times New Roman"/>
          <w:lang w:val="uk-UA"/>
        </w:rPr>
        <w:t xml:space="preserve">вартості </w:t>
      </w:r>
      <w:r w:rsidRPr="0024327D">
        <w:rPr>
          <w:rFonts w:eastAsia="Times New Roman"/>
          <w:lang w:val="uk-UA"/>
        </w:rPr>
        <w:t>фінан</w:t>
      </w:r>
      <w:r w:rsidR="004A292B" w:rsidRPr="0024327D">
        <w:rPr>
          <w:rFonts w:eastAsia="Times New Roman"/>
          <w:lang w:val="uk-UA"/>
        </w:rPr>
        <w:t>с</w:t>
      </w:r>
      <w:r w:rsidRPr="0024327D">
        <w:rPr>
          <w:rFonts w:eastAsia="Times New Roman"/>
          <w:lang w:val="uk-UA"/>
        </w:rPr>
        <w:t xml:space="preserve">ування особливо актуальний для </w:t>
      </w:r>
      <w:r w:rsidR="00643B4F" w:rsidRPr="0024327D">
        <w:rPr>
          <w:rFonts w:eastAsia="Times New Roman"/>
          <w:lang w:val="uk-UA"/>
        </w:rPr>
        <w:t>е</w:t>
      </w:r>
      <w:r w:rsidRPr="0024327D">
        <w:rPr>
          <w:rFonts w:eastAsia="Times New Roman"/>
          <w:lang w:val="uk-UA"/>
        </w:rPr>
        <w:t xml:space="preserve">мітентів-небанківських установ, які не мають доступу до дешевих депозитів, короткострокових кредитів або кредитів центральних банків, </w:t>
      </w:r>
      <w:r w:rsidR="007B7211" w:rsidRPr="0024327D">
        <w:rPr>
          <w:rFonts w:eastAsia="Times New Roman"/>
          <w:lang w:val="uk-UA"/>
        </w:rPr>
        <w:t xml:space="preserve">якими </w:t>
      </w:r>
      <w:r w:rsidRPr="0024327D">
        <w:rPr>
          <w:rFonts w:eastAsia="Times New Roman"/>
          <w:lang w:val="uk-UA"/>
        </w:rPr>
        <w:t xml:space="preserve">зазвичай </w:t>
      </w:r>
      <w:r w:rsidR="007B7211" w:rsidRPr="0024327D">
        <w:rPr>
          <w:rFonts w:eastAsia="Times New Roman"/>
          <w:lang w:val="uk-UA"/>
        </w:rPr>
        <w:t xml:space="preserve">можуть користуватися </w:t>
      </w:r>
      <w:r w:rsidR="00350493" w:rsidRPr="0024327D">
        <w:rPr>
          <w:rFonts w:eastAsia="Times New Roman"/>
          <w:lang w:val="uk-UA"/>
        </w:rPr>
        <w:t xml:space="preserve">банки </w:t>
      </w:r>
      <w:r w:rsidRPr="0024327D">
        <w:rPr>
          <w:rFonts w:eastAsia="Times New Roman"/>
          <w:lang w:val="uk-UA"/>
        </w:rPr>
        <w:t>(</w:t>
      </w:r>
      <w:r w:rsidR="00350493" w:rsidRPr="0024327D">
        <w:rPr>
          <w:rFonts w:eastAsia="Times New Roman"/>
          <w:lang w:val="uk-UA"/>
        </w:rPr>
        <w:t>за відповідності кваліфікаційним критеріям</w:t>
      </w:r>
      <w:r w:rsidRPr="0024327D">
        <w:rPr>
          <w:rFonts w:eastAsia="Times New Roman"/>
          <w:lang w:val="uk-UA"/>
        </w:rPr>
        <w:t>).</w:t>
      </w:r>
    </w:p>
    <w:p w14:paraId="1FBBAE5E" w14:textId="40668091" w:rsidR="004339B4" w:rsidRPr="0024327D" w:rsidRDefault="00350493" w:rsidP="00501D25">
      <w:pPr>
        <w:rPr>
          <w:rFonts w:eastAsia="Times New Roman"/>
          <w:b/>
          <w:lang w:val="uk-UA"/>
        </w:rPr>
      </w:pPr>
      <w:r w:rsidRPr="0024327D">
        <w:rPr>
          <w:rFonts w:eastAsia="Times New Roman"/>
          <w:b/>
          <w:lang w:val="uk-UA"/>
        </w:rPr>
        <w:t>Доступ до фінансування</w:t>
      </w:r>
    </w:p>
    <w:p w14:paraId="4E66749D" w14:textId="77777777" w:rsidR="00DB2135" w:rsidRDefault="00645A85" w:rsidP="00DB2135">
      <w:pPr>
        <w:rPr>
          <w:rFonts w:eastAsia="Times New Roman"/>
          <w:lang w:val="uk-UA"/>
        </w:rPr>
      </w:pPr>
      <w:r w:rsidRPr="0024327D">
        <w:rPr>
          <w:rFonts w:eastAsia="Times New Roman"/>
          <w:lang w:val="uk-UA"/>
        </w:rPr>
        <w:t>Облігації з покриттям</w:t>
      </w:r>
      <w:r w:rsidR="00350493" w:rsidRPr="0024327D">
        <w:rPr>
          <w:rFonts w:eastAsia="Times New Roman"/>
          <w:lang w:val="uk-UA"/>
        </w:rPr>
        <w:t xml:space="preserve"> </w:t>
      </w:r>
      <w:r w:rsidR="004A292B" w:rsidRPr="0024327D">
        <w:rPr>
          <w:rFonts w:eastAsia="Times New Roman"/>
          <w:lang w:val="uk-UA"/>
        </w:rPr>
        <w:t>довели свою</w:t>
      </w:r>
      <w:r w:rsidR="00350493" w:rsidRPr="0024327D">
        <w:rPr>
          <w:rFonts w:eastAsia="Times New Roman"/>
          <w:lang w:val="uk-UA"/>
        </w:rPr>
        <w:t xml:space="preserve"> </w:t>
      </w:r>
      <w:r w:rsidR="00E209E8" w:rsidRPr="0024327D">
        <w:rPr>
          <w:lang w:val="uk-UA"/>
        </w:rPr>
        <w:t>“</w:t>
      </w:r>
      <w:r w:rsidR="00E209E8" w:rsidRPr="0024327D">
        <w:rPr>
          <w:rFonts w:eastAsia="Times New Roman"/>
          <w:lang w:val="uk-UA"/>
        </w:rPr>
        <w:t>кризостійкість</w:t>
      </w:r>
      <w:r w:rsidR="00E209E8" w:rsidRPr="0024327D">
        <w:rPr>
          <w:lang w:val="uk-UA"/>
        </w:rPr>
        <w:t>”</w:t>
      </w:r>
      <w:r w:rsidR="00350493" w:rsidRPr="0024327D">
        <w:rPr>
          <w:rFonts w:eastAsia="Times New Roman"/>
          <w:lang w:val="uk-UA"/>
        </w:rPr>
        <w:t xml:space="preserve">, оскільки часто саме вони забезпечують фінансування банкам в умовах недоступності ринку інших облігацій </w:t>
      </w:r>
      <w:r w:rsidR="004A292B" w:rsidRPr="0024327D">
        <w:rPr>
          <w:rFonts w:eastAsia="Times New Roman"/>
          <w:lang w:val="uk-UA"/>
        </w:rPr>
        <w:t>в</w:t>
      </w:r>
      <w:r w:rsidR="00350493" w:rsidRPr="0024327D">
        <w:rPr>
          <w:rFonts w:eastAsia="Times New Roman"/>
          <w:lang w:val="uk-UA"/>
        </w:rPr>
        <w:t xml:space="preserve"> </w:t>
      </w:r>
      <w:r w:rsidR="00AF68C4" w:rsidRPr="0024327D">
        <w:rPr>
          <w:rFonts w:eastAsia="Times New Roman"/>
          <w:lang w:val="uk-UA"/>
        </w:rPr>
        <w:t>час</w:t>
      </w:r>
      <w:r w:rsidR="00350493" w:rsidRPr="0024327D">
        <w:rPr>
          <w:rFonts w:eastAsia="Times New Roman"/>
          <w:lang w:val="uk-UA"/>
        </w:rPr>
        <w:t xml:space="preserve">и нестабільності </w:t>
      </w:r>
      <w:r w:rsidR="000233A0" w:rsidRPr="0024327D">
        <w:rPr>
          <w:rFonts w:eastAsia="Times New Roman"/>
          <w:lang w:val="uk-UA"/>
        </w:rPr>
        <w:t xml:space="preserve">на </w:t>
      </w:r>
      <w:r w:rsidR="00350493" w:rsidRPr="0024327D">
        <w:rPr>
          <w:rFonts w:eastAsia="Times New Roman"/>
          <w:lang w:val="uk-UA"/>
        </w:rPr>
        <w:t xml:space="preserve">ринку. Крім того, можливість доступу до </w:t>
      </w:r>
      <w:r w:rsidR="00A47552" w:rsidRPr="0024327D">
        <w:rPr>
          <w:rFonts w:eastAsia="Times New Roman"/>
          <w:lang w:val="uk-UA"/>
        </w:rPr>
        <w:t xml:space="preserve">закордонного </w:t>
      </w:r>
      <w:r w:rsidR="00350493" w:rsidRPr="0024327D">
        <w:rPr>
          <w:rFonts w:eastAsia="Times New Roman"/>
          <w:lang w:val="uk-UA"/>
        </w:rPr>
        <w:t xml:space="preserve">фінансування через сек'юритизацію або </w:t>
      </w:r>
      <w:r w:rsidRPr="0024327D">
        <w:rPr>
          <w:rFonts w:eastAsia="Times New Roman"/>
          <w:lang w:val="uk-UA"/>
        </w:rPr>
        <w:t>облігації з покриттям</w:t>
      </w:r>
      <w:r w:rsidR="00350493" w:rsidRPr="0024327D">
        <w:rPr>
          <w:rFonts w:eastAsia="Times New Roman"/>
          <w:lang w:val="uk-UA"/>
        </w:rPr>
        <w:t xml:space="preserve"> зменшить ризик </w:t>
      </w:r>
      <w:r w:rsidR="004A292B" w:rsidRPr="0024327D">
        <w:rPr>
          <w:rFonts w:eastAsia="Times New Roman"/>
          <w:lang w:val="uk-UA"/>
        </w:rPr>
        <w:t xml:space="preserve">для </w:t>
      </w:r>
      <w:r w:rsidR="00350493" w:rsidRPr="0024327D">
        <w:rPr>
          <w:rFonts w:eastAsia="Times New Roman"/>
          <w:lang w:val="uk-UA"/>
        </w:rPr>
        <w:t xml:space="preserve">українських емітентів </w:t>
      </w:r>
      <w:r w:rsidR="004A292B" w:rsidRPr="0024327D">
        <w:rPr>
          <w:rFonts w:eastAsia="Times New Roman"/>
          <w:lang w:val="uk-UA"/>
        </w:rPr>
        <w:t>при</w:t>
      </w:r>
      <w:r w:rsidR="00DD3C5F" w:rsidRPr="0024327D">
        <w:rPr>
          <w:rFonts w:eastAsia="Times New Roman"/>
          <w:lang w:val="uk-UA"/>
        </w:rPr>
        <w:t xml:space="preserve"> нестабільності</w:t>
      </w:r>
      <w:r w:rsidR="004A292B" w:rsidRPr="0024327D">
        <w:rPr>
          <w:rFonts w:eastAsia="Times New Roman"/>
          <w:lang w:val="uk-UA"/>
        </w:rPr>
        <w:t xml:space="preserve"> </w:t>
      </w:r>
      <w:r w:rsidR="00350493" w:rsidRPr="0024327D">
        <w:rPr>
          <w:rFonts w:eastAsia="Times New Roman"/>
          <w:lang w:val="uk-UA"/>
        </w:rPr>
        <w:t>внутрішньо</w:t>
      </w:r>
      <w:r w:rsidR="00DD3C5F" w:rsidRPr="0024327D">
        <w:rPr>
          <w:rFonts w:eastAsia="Times New Roman"/>
          <w:lang w:val="uk-UA"/>
        </w:rPr>
        <w:t>го</w:t>
      </w:r>
      <w:r w:rsidR="00350493" w:rsidRPr="0024327D">
        <w:rPr>
          <w:rFonts w:eastAsia="Times New Roman"/>
          <w:lang w:val="uk-UA"/>
        </w:rPr>
        <w:t xml:space="preserve"> </w:t>
      </w:r>
      <w:r w:rsidR="004A292B" w:rsidRPr="0024327D">
        <w:rPr>
          <w:rFonts w:eastAsia="Times New Roman"/>
          <w:lang w:val="uk-UA"/>
        </w:rPr>
        <w:t>фінансуванн</w:t>
      </w:r>
      <w:r w:rsidR="00DB2135">
        <w:rPr>
          <w:rFonts w:eastAsia="Times New Roman"/>
          <w:lang w:val="uk-UA"/>
        </w:rPr>
        <w:t xml:space="preserve">я. </w:t>
      </w:r>
    </w:p>
    <w:p w14:paraId="7A5737F6" w14:textId="77777777" w:rsidR="00DB2135" w:rsidRDefault="004A292B" w:rsidP="00DB2135">
      <w:pPr>
        <w:rPr>
          <w:rFonts w:eastAsia="Times New Roman"/>
          <w:lang w:val="uk-UA"/>
        </w:rPr>
      </w:pPr>
      <w:r w:rsidRPr="0024327D">
        <w:rPr>
          <w:rFonts w:eastAsia="Times New Roman"/>
          <w:b/>
          <w:lang w:val="uk-UA"/>
        </w:rPr>
        <w:t>Строки</w:t>
      </w:r>
    </w:p>
    <w:p w14:paraId="5E10432A" w14:textId="78AF5B87" w:rsidR="004339B4" w:rsidRPr="0024327D" w:rsidRDefault="004A292B" w:rsidP="00DB2135">
      <w:pPr>
        <w:rPr>
          <w:rFonts w:eastAsia="Times New Roman"/>
          <w:lang w:val="uk-UA"/>
        </w:rPr>
      </w:pPr>
      <w:r w:rsidRPr="0024327D">
        <w:rPr>
          <w:rFonts w:eastAsia="Times New Roman"/>
          <w:lang w:val="uk-UA"/>
        </w:rPr>
        <w:t xml:space="preserve">Як </w:t>
      </w:r>
      <w:r w:rsidR="00645A85" w:rsidRPr="0024327D">
        <w:rPr>
          <w:rFonts w:eastAsia="Times New Roman"/>
          <w:lang w:val="uk-UA"/>
        </w:rPr>
        <w:t>облігації з покриттям</w:t>
      </w:r>
      <w:r w:rsidRPr="0024327D">
        <w:rPr>
          <w:rFonts w:eastAsia="Times New Roman"/>
          <w:lang w:val="uk-UA"/>
        </w:rPr>
        <w:t xml:space="preserve">, так і сек'юритизації часто забезпечують фінансування банкам та іншим </w:t>
      </w:r>
      <w:r w:rsidR="001C14BE" w:rsidRPr="0024327D">
        <w:rPr>
          <w:rFonts w:eastAsia="Times New Roman"/>
          <w:lang w:val="uk-UA"/>
        </w:rPr>
        <w:t xml:space="preserve">оригінаторам </w:t>
      </w:r>
      <w:r w:rsidRPr="0024327D">
        <w:rPr>
          <w:rFonts w:eastAsia="Times New Roman"/>
          <w:lang w:val="uk-UA"/>
        </w:rPr>
        <w:t xml:space="preserve">на довші строки, що </w:t>
      </w:r>
      <w:r w:rsidR="00AB1E71" w:rsidRPr="0024327D">
        <w:rPr>
          <w:rFonts w:eastAsia="Times New Roman"/>
          <w:lang w:val="uk-UA"/>
        </w:rPr>
        <w:t xml:space="preserve">краще </w:t>
      </w:r>
      <w:r w:rsidR="00616CF8" w:rsidRPr="0024327D">
        <w:rPr>
          <w:rFonts w:eastAsia="Times New Roman"/>
          <w:lang w:val="uk-UA"/>
        </w:rPr>
        <w:t xml:space="preserve">відповідають строкам погашення за </w:t>
      </w:r>
      <w:r w:rsidRPr="0024327D">
        <w:rPr>
          <w:rFonts w:eastAsia="Times New Roman"/>
          <w:lang w:val="uk-UA"/>
        </w:rPr>
        <w:t>активам</w:t>
      </w:r>
      <w:r w:rsidR="00127EDA" w:rsidRPr="0024327D">
        <w:rPr>
          <w:rFonts w:eastAsia="Times New Roman"/>
          <w:lang w:val="uk-UA"/>
        </w:rPr>
        <w:t>и</w:t>
      </w:r>
      <w:r w:rsidR="00AB1E71" w:rsidRPr="0024327D">
        <w:rPr>
          <w:rFonts w:eastAsia="Times New Roman"/>
          <w:lang w:val="uk-UA"/>
        </w:rPr>
        <w:t>, що включені до забезпечення</w:t>
      </w:r>
      <w:r w:rsidRPr="0024327D">
        <w:rPr>
          <w:rFonts w:eastAsia="Times New Roman"/>
          <w:lang w:val="uk-UA"/>
        </w:rPr>
        <w:t>, ніж альтернативн</w:t>
      </w:r>
      <w:r w:rsidR="00BD5837" w:rsidRPr="0024327D">
        <w:rPr>
          <w:rFonts w:eastAsia="Times New Roman"/>
          <w:lang w:val="uk-UA"/>
        </w:rPr>
        <w:t>і джерела фінансування</w:t>
      </w:r>
      <w:r w:rsidRPr="0024327D">
        <w:rPr>
          <w:rFonts w:eastAsia="Times New Roman"/>
          <w:lang w:val="uk-UA"/>
        </w:rPr>
        <w:t>, таким чином зменшуючи невідповідність між строками</w:t>
      </w:r>
      <w:r w:rsidR="002E6741" w:rsidRPr="0024327D">
        <w:rPr>
          <w:rFonts w:eastAsia="Times New Roman"/>
          <w:lang w:val="uk-UA"/>
        </w:rPr>
        <w:t xml:space="preserve"> погашення</w:t>
      </w:r>
      <w:r w:rsidRPr="0024327D">
        <w:rPr>
          <w:rFonts w:eastAsia="Times New Roman"/>
          <w:lang w:val="uk-UA"/>
        </w:rPr>
        <w:t xml:space="preserve"> </w:t>
      </w:r>
      <w:r w:rsidR="007F59C0" w:rsidRPr="0024327D">
        <w:rPr>
          <w:rFonts w:eastAsia="Times New Roman"/>
          <w:lang w:val="uk-UA"/>
        </w:rPr>
        <w:t>активів та пасивів</w:t>
      </w:r>
      <w:r w:rsidR="002E6741" w:rsidRPr="0024327D">
        <w:rPr>
          <w:rFonts w:eastAsia="Times New Roman"/>
          <w:lang w:val="uk-UA"/>
        </w:rPr>
        <w:t xml:space="preserve"> </w:t>
      </w:r>
      <w:r w:rsidRPr="0024327D">
        <w:rPr>
          <w:rFonts w:eastAsia="Times New Roman"/>
          <w:lang w:val="uk-UA"/>
        </w:rPr>
        <w:t xml:space="preserve">і ризик </w:t>
      </w:r>
      <w:r w:rsidR="009B4772" w:rsidRPr="0024327D">
        <w:rPr>
          <w:rFonts w:eastAsia="Times New Roman"/>
          <w:lang w:val="uk-UA"/>
        </w:rPr>
        <w:t xml:space="preserve">недоступності </w:t>
      </w:r>
      <w:r w:rsidRPr="0024327D">
        <w:rPr>
          <w:rFonts w:eastAsia="Times New Roman"/>
          <w:lang w:val="uk-UA"/>
        </w:rPr>
        <w:t>рефінансування</w:t>
      </w:r>
      <w:r w:rsidR="00D960D0" w:rsidRPr="0024327D">
        <w:rPr>
          <w:rFonts w:eastAsia="Times New Roman"/>
          <w:lang w:val="uk-UA"/>
        </w:rPr>
        <w:t>,</w:t>
      </w:r>
      <w:r w:rsidRPr="0024327D">
        <w:rPr>
          <w:rFonts w:eastAsia="Times New Roman"/>
          <w:lang w:val="uk-UA"/>
        </w:rPr>
        <w:t xml:space="preserve">  сприяючи фінансовій стабільності.</w:t>
      </w:r>
    </w:p>
    <w:p w14:paraId="6F9D89DF" w14:textId="77777777" w:rsidR="00AA57AA" w:rsidRPr="0024327D" w:rsidRDefault="00AA57AA" w:rsidP="000F6375">
      <w:pPr>
        <w:keepNext/>
        <w:keepLines/>
        <w:rPr>
          <w:rFonts w:eastAsia="Times New Roman"/>
          <w:lang w:val="uk-UA"/>
        </w:rPr>
      </w:pPr>
    </w:p>
    <w:p w14:paraId="30ED9965" w14:textId="3C1BDFEF" w:rsidR="004339B4" w:rsidRPr="0024327D" w:rsidRDefault="004A292B" w:rsidP="00501D25">
      <w:pPr>
        <w:rPr>
          <w:rFonts w:eastAsia="Times New Roman"/>
          <w:b/>
          <w:lang w:val="uk-UA"/>
        </w:rPr>
      </w:pPr>
      <w:r w:rsidRPr="0024327D">
        <w:rPr>
          <w:rFonts w:eastAsia="Times New Roman"/>
          <w:b/>
          <w:lang w:val="uk-UA"/>
        </w:rPr>
        <w:t>Нові інвестиційні продукти</w:t>
      </w:r>
      <w:r w:rsidR="004339B4" w:rsidRPr="0024327D">
        <w:rPr>
          <w:rFonts w:eastAsia="Times New Roman"/>
          <w:b/>
          <w:lang w:val="uk-UA"/>
        </w:rPr>
        <w:t xml:space="preserve"> / </w:t>
      </w:r>
      <w:r w:rsidRPr="0024327D">
        <w:rPr>
          <w:rFonts w:eastAsia="Times New Roman"/>
          <w:b/>
          <w:lang w:val="uk-UA"/>
        </w:rPr>
        <w:t>розвиток ринків капіталу</w:t>
      </w:r>
    </w:p>
    <w:p w14:paraId="26228A30" w14:textId="7423B8D5" w:rsidR="004339B4" w:rsidRPr="0024327D" w:rsidRDefault="004A292B" w:rsidP="00501D25">
      <w:pPr>
        <w:rPr>
          <w:rFonts w:eastAsia="Times New Roman"/>
          <w:lang w:val="uk-UA"/>
        </w:rPr>
      </w:pPr>
      <w:r w:rsidRPr="0024327D">
        <w:rPr>
          <w:rFonts w:eastAsia="Times New Roman"/>
          <w:lang w:val="uk-UA"/>
        </w:rPr>
        <w:t xml:space="preserve">На вітчизняних ринках капіталу обидва інструменти можуть значно збільшити асортимент інвестиційних продуктів, доступних різним типам інвесторів. Це сприятиме більшій диверсифікації кредитного ризику для інвесторів, таких як пайові фонди та </w:t>
      </w:r>
      <w:r w:rsidR="009B4772" w:rsidRPr="0024327D">
        <w:rPr>
          <w:rFonts w:eastAsia="Times New Roman"/>
          <w:lang w:val="uk-UA"/>
        </w:rPr>
        <w:t xml:space="preserve">індивідуальні </w:t>
      </w:r>
      <w:r w:rsidRPr="0024327D">
        <w:rPr>
          <w:rFonts w:eastAsia="Times New Roman"/>
          <w:lang w:val="uk-UA"/>
        </w:rPr>
        <w:t>інвестори, а також більшій диверсифікації кредитного ризику</w:t>
      </w:r>
      <w:r w:rsidR="00AF68C4" w:rsidRPr="0024327D">
        <w:rPr>
          <w:rFonts w:eastAsia="Times New Roman"/>
          <w:lang w:val="uk-UA"/>
        </w:rPr>
        <w:t xml:space="preserve"> та</w:t>
      </w:r>
      <w:r w:rsidRPr="0024327D">
        <w:rPr>
          <w:rFonts w:eastAsia="Times New Roman"/>
          <w:lang w:val="uk-UA"/>
        </w:rPr>
        <w:t xml:space="preserve"> ризику ліквідності для інвесторів, </w:t>
      </w:r>
      <w:r w:rsidR="00DE4D97" w:rsidRPr="0024327D">
        <w:rPr>
          <w:rFonts w:eastAsia="Times New Roman"/>
          <w:lang w:val="uk-UA"/>
        </w:rPr>
        <w:t xml:space="preserve">наприклад, </w:t>
      </w:r>
      <w:r w:rsidRPr="0024327D">
        <w:rPr>
          <w:rFonts w:eastAsia="Times New Roman"/>
          <w:lang w:val="uk-UA"/>
        </w:rPr>
        <w:t>портфелі</w:t>
      </w:r>
      <w:r w:rsidR="00DE4D97" w:rsidRPr="0024327D">
        <w:rPr>
          <w:rFonts w:eastAsia="Times New Roman"/>
          <w:lang w:val="uk-UA"/>
        </w:rPr>
        <w:t>в</w:t>
      </w:r>
      <w:r w:rsidRPr="0024327D">
        <w:rPr>
          <w:rFonts w:eastAsia="Times New Roman"/>
          <w:lang w:val="uk-UA"/>
        </w:rPr>
        <w:t xml:space="preserve"> банківської ліквідності, </w:t>
      </w:r>
      <w:r w:rsidR="00DE4D97" w:rsidRPr="0024327D">
        <w:rPr>
          <w:rFonts w:eastAsia="Times New Roman"/>
          <w:lang w:val="uk-UA"/>
        </w:rPr>
        <w:t>ще більше підвищуючи при цьому стабільність системи</w:t>
      </w:r>
      <w:r w:rsidR="004339B4" w:rsidRPr="0024327D">
        <w:rPr>
          <w:rFonts w:eastAsia="Times New Roman"/>
          <w:lang w:val="uk-UA"/>
        </w:rPr>
        <w:t xml:space="preserve">. </w:t>
      </w:r>
    </w:p>
    <w:p w14:paraId="161C2CC1" w14:textId="2A34A1EF" w:rsidR="004339B4" w:rsidRPr="0024327D" w:rsidRDefault="00DE4D97" w:rsidP="00DE4D97">
      <w:pPr>
        <w:rPr>
          <w:rFonts w:eastAsia="Times New Roman"/>
          <w:lang w:val="uk-UA"/>
        </w:rPr>
      </w:pPr>
      <w:r w:rsidRPr="0024327D">
        <w:rPr>
          <w:rFonts w:eastAsia="Times New Roman"/>
          <w:lang w:val="uk-UA"/>
        </w:rPr>
        <w:t xml:space="preserve">Крім того, багато </w:t>
      </w:r>
      <w:r w:rsidR="00474F77" w:rsidRPr="0024327D">
        <w:rPr>
          <w:rFonts w:eastAsia="Times New Roman"/>
          <w:lang w:val="uk-UA"/>
        </w:rPr>
        <w:t xml:space="preserve">законодавчих </w:t>
      </w:r>
      <w:r w:rsidR="00690318" w:rsidRPr="0024327D">
        <w:rPr>
          <w:rFonts w:eastAsia="Times New Roman"/>
          <w:lang w:val="uk-UA"/>
        </w:rPr>
        <w:t>реформ</w:t>
      </w:r>
      <w:r w:rsidRPr="0024327D">
        <w:rPr>
          <w:rFonts w:eastAsia="Times New Roman"/>
          <w:lang w:val="uk-UA"/>
        </w:rPr>
        <w:t xml:space="preserve">, описаних у цій </w:t>
      </w:r>
      <w:r w:rsidR="00B70FA4" w:rsidRPr="0024327D">
        <w:rPr>
          <w:rFonts w:eastAsia="Times New Roman"/>
          <w:lang w:val="uk-UA"/>
        </w:rPr>
        <w:t>К</w:t>
      </w:r>
      <w:r w:rsidRPr="0024327D">
        <w:rPr>
          <w:rFonts w:eastAsia="Times New Roman"/>
          <w:lang w:val="uk-UA"/>
        </w:rPr>
        <w:t xml:space="preserve">онцепції, таких як поділ на </w:t>
      </w:r>
      <w:r w:rsidR="00AF68C4" w:rsidRPr="0024327D">
        <w:rPr>
          <w:rFonts w:eastAsia="Times New Roman"/>
          <w:lang w:val="uk-UA"/>
        </w:rPr>
        <w:t>транші</w:t>
      </w:r>
      <w:r w:rsidRPr="0024327D">
        <w:rPr>
          <w:rFonts w:eastAsia="Times New Roman"/>
          <w:lang w:val="uk-UA"/>
        </w:rPr>
        <w:t xml:space="preserve"> та угоди між кредиторами, </w:t>
      </w:r>
      <w:r w:rsidR="00474F77" w:rsidRPr="0024327D">
        <w:rPr>
          <w:rFonts w:eastAsia="Times New Roman"/>
          <w:lang w:val="uk-UA"/>
        </w:rPr>
        <w:t>на</w:t>
      </w:r>
      <w:r w:rsidRPr="0024327D">
        <w:rPr>
          <w:rFonts w:eastAsia="Times New Roman"/>
          <w:lang w:val="uk-UA"/>
        </w:rPr>
        <w:t>даватимуть додаткові переваги для інших інвестиційних продуктів та розвитку ринку в цілому</w:t>
      </w:r>
      <w:r w:rsidR="004339B4" w:rsidRPr="0024327D">
        <w:rPr>
          <w:rFonts w:eastAsia="Times New Roman"/>
          <w:lang w:val="uk-UA"/>
        </w:rPr>
        <w:t>.</w:t>
      </w:r>
    </w:p>
    <w:p w14:paraId="51EDAF5F" w14:textId="0F05B9C4" w:rsidR="004339B4" w:rsidRPr="0024327D" w:rsidRDefault="00BA77D2" w:rsidP="00501D25">
      <w:pPr>
        <w:rPr>
          <w:rFonts w:eastAsia="Times New Roman"/>
          <w:b/>
          <w:lang w:val="uk-UA"/>
        </w:rPr>
      </w:pPr>
      <w:r w:rsidRPr="0024327D">
        <w:rPr>
          <w:rFonts w:eastAsia="Times New Roman"/>
          <w:b/>
          <w:lang w:val="uk-UA"/>
        </w:rPr>
        <w:t>Збільшення зовнішнього фінансування</w:t>
      </w:r>
    </w:p>
    <w:p w14:paraId="501EF292" w14:textId="76D573B2" w:rsidR="00BA77D2" w:rsidRPr="0024327D" w:rsidRDefault="00603A12" w:rsidP="00BA77D2">
      <w:pPr>
        <w:rPr>
          <w:rFonts w:eastAsia="Times New Roman"/>
          <w:bCs/>
          <w:lang w:val="uk-UA"/>
        </w:rPr>
      </w:pPr>
      <w:r w:rsidRPr="0024327D">
        <w:rPr>
          <w:rFonts w:eastAsia="Times New Roman"/>
          <w:bCs/>
          <w:lang w:val="uk-UA"/>
        </w:rPr>
        <w:t xml:space="preserve">Хоча </w:t>
      </w:r>
      <w:r w:rsidR="00592651" w:rsidRPr="0024327D">
        <w:rPr>
          <w:rFonts w:eastAsia="Times New Roman"/>
          <w:bCs/>
          <w:lang w:val="uk-UA"/>
        </w:rPr>
        <w:t>у</w:t>
      </w:r>
      <w:r w:rsidR="00BA77D2" w:rsidRPr="0024327D">
        <w:rPr>
          <w:rFonts w:eastAsia="Times New Roman"/>
          <w:bCs/>
          <w:lang w:val="uk-UA"/>
        </w:rPr>
        <w:t xml:space="preserve">ряд України </w:t>
      </w:r>
      <w:r w:rsidRPr="0024327D">
        <w:rPr>
          <w:rFonts w:eastAsia="Times New Roman"/>
          <w:bCs/>
          <w:lang w:val="uk-UA"/>
        </w:rPr>
        <w:t xml:space="preserve">демонструє </w:t>
      </w:r>
      <w:r w:rsidR="00BA77D2" w:rsidRPr="0024327D">
        <w:rPr>
          <w:rFonts w:eastAsia="Times New Roman"/>
          <w:bCs/>
          <w:lang w:val="uk-UA"/>
        </w:rPr>
        <w:t xml:space="preserve">свою здатність отримати доступ до </w:t>
      </w:r>
      <w:r w:rsidR="00A47552" w:rsidRPr="0024327D">
        <w:rPr>
          <w:rFonts w:eastAsia="Times New Roman"/>
          <w:bCs/>
          <w:lang w:val="uk-UA"/>
        </w:rPr>
        <w:t>закордонного</w:t>
      </w:r>
      <w:r w:rsidR="00BA77D2" w:rsidRPr="0024327D">
        <w:rPr>
          <w:rFonts w:eastAsia="Times New Roman"/>
          <w:bCs/>
          <w:lang w:val="uk-UA"/>
        </w:rPr>
        <w:t xml:space="preserve"> фінансування, порівняно незначна кількість емітентів-представників приватного сектору отримали доступ до </w:t>
      </w:r>
      <w:r w:rsidR="00A47552" w:rsidRPr="0024327D">
        <w:rPr>
          <w:rFonts w:eastAsia="Times New Roman"/>
          <w:bCs/>
          <w:lang w:val="uk-UA"/>
        </w:rPr>
        <w:t>закордонних</w:t>
      </w:r>
      <w:r w:rsidR="00BA77D2" w:rsidRPr="0024327D">
        <w:rPr>
          <w:rFonts w:eastAsia="Times New Roman"/>
          <w:bCs/>
          <w:lang w:val="uk-UA"/>
        </w:rPr>
        <w:t xml:space="preserve"> ринків облігацій, а іноземними інвесторами в українські цінні папери були, здебільшого, цільові фонди</w:t>
      </w:r>
      <w:r w:rsidR="0044107A" w:rsidRPr="0024327D">
        <w:rPr>
          <w:rFonts w:eastAsia="Times New Roman"/>
          <w:bCs/>
          <w:lang w:val="uk-UA"/>
        </w:rPr>
        <w:t>, орієнтовані на країни</w:t>
      </w:r>
      <w:r w:rsidR="00BA77D2" w:rsidRPr="0024327D">
        <w:rPr>
          <w:rFonts w:eastAsia="Times New Roman"/>
          <w:bCs/>
          <w:lang w:val="uk-UA"/>
        </w:rPr>
        <w:t xml:space="preserve"> з перехідною економікою. Надмірна </w:t>
      </w:r>
      <w:r w:rsidR="00AF68C4" w:rsidRPr="0024327D">
        <w:rPr>
          <w:rFonts w:eastAsia="Times New Roman"/>
          <w:bCs/>
          <w:lang w:val="uk-UA"/>
        </w:rPr>
        <w:t xml:space="preserve">надія </w:t>
      </w:r>
      <w:r w:rsidR="00791E67" w:rsidRPr="0024327D">
        <w:rPr>
          <w:rFonts w:eastAsia="Times New Roman"/>
          <w:bCs/>
          <w:lang w:val="uk-UA"/>
        </w:rPr>
        <w:t>на інвесторів</w:t>
      </w:r>
      <w:r w:rsidR="0044107A" w:rsidRPr="0024327D">
        <w:rPr>
          <w:rFonts w:eastAsia="Times New Roman"/>
          <w:bCs/>
          <w:lang w:val="uk-UA"/>
        </w:rPr>
        <w:t xml:space="preserve">, орієнтованих на </w:t>
      </w:r>
      <w:r w:rsidR="00791E67" w:rsidRPr="0024327D">
        <w:rPr>
          <w:rFonts w:eastAsia="Times New Roman"/>
          <w:bCs/>
          <w:lang w:val="uk-UA"/>
        </w:rPr>
        <w:t>країн</w:t>
      </w:r>
      <w:r w:rsidR="0044107A" w:rsidRPr="0024327D">
        <w:rPr>
          <w:rFonts w:eastAsia="Times New Roman"/>
          <w:bCs/>
          <w:lang w:val="uk-UA"/>
        </w:rPr>
        <w:t>и</w:t>
      </w:r>
      <w:r w:rsidR="00791E67" w:rsidRPr="0024327D">
        <w:rPr>
          <w:rFonts w:eastAsia="Times New Roman"/>
          <w:bCs/>
          <w:lang w:val="uk-UA"/>
        </w:rPr>
        <w:t xml:space="preserve"> з перехідною економікою</w:t>
      </w:r>
      <w:r w:rsidR="0044107A" w:rsidRPr="0024327D">
        <w:rPr>
          <w:rFonts w:eastAsia="Times New Roman"/>
          <w:bCs/>
          <w:lang w:val="uk-UA"/>
        </w:rPr>
        <w:t>,</w:t>
      </w:r>
      <w:r w:rsidR="00BA77D2" w:rsidRPr="0024327D">
        <w:rPr>
          <w:rFonts w:eastAsia="Times New Roman"/>
          <w:bCs/>
          <w:lang w:val="uk-UA"/>
        </w:rPr>
        <w:t xml:space="preserve"> </w:t>
      </w:r>
      <w:r w:rsidR="00791E67" w:rsidRPr="0024327D">
        <w:rPr>
          <w:rFonts w:eastAsia="Times New Roman"/>
          <w:bCs/>
          <w:lang w:val="uk-UA"/>
        </w:rPr>
        <w:t xml:space="preserve">призводить до уразливості до </w:t>
      </w:r>
      <w:r w:rsidR="00BA77D2" w:rsidRPr="0024327D">
        <w:rPr>
          <w:rFonts w:eastAsia="Times New Roman"/>
          <w:bCs/>
          <w:lang w:val="uk-UA"/>
        </w:rPr>
        <w:t xml:space="preserve">зовнішніх факторів (таких як </w:t>
      </w:r>
      <w:r w:rsidR="007C0F3A" w:rsidRPr="0024327D">
        <w:rPr>
          <w:rFonts w:eastAsia="Times New Roman"/>
          <w:bCs/>
          <w:lang w:val="uk-UA"/>
        </w:rPr>
        <w:t xml:space="preserve">відсоткові </w:t>
      </w:r>
      <w:r w:rsidR="00BA77D2" w:rsidRPr="0024327D">
        <w:rPr>
          <w:rFonts w:eastAsia="Times New Roman"/>
          <w:bCs/>
          <w:lang w:val="uk-UA"/>
        </w:rPr>
        <w:t xml:space="preserve">ставки в США), </w:t>
      </w:r>
      <w:r w:rsidR="00AF68C4" w:rsidRPr="0024327D">
        <w:rPr>
          <w:rFonts w:eastAsia="Times New Roman"/>
          <w:bCs/>
          <w:lang w:val="uk-UA"/>
        </w:rPr>
        <w:t>що</w:t>
      </w:r>
      <w:r w:rsidR="00791E67" w:rsidRPr="0024327D">
        <w:rPr>
          <w:rFonts w:eastAsia="Times New Roman"/>
          <w:bCs/>
          <w:lang w:val="uk-UA"/>
        </w:rPr>
        <w:t xml:space="preserve"> </w:t>
      </w:r>
      <w:r w:rsidR="00BA77D2" w:rsidRPr="0024327D">
        <w:rPr>
          <w:rFonts w:eastAsia="Times New Roman"/>
          <w:bCs/>
          <w:lang w:val="uk-UA"/>
        </w:rPr>
        <w:t>суттєво вплива</w:t>
      </w:r>
      <w:r w:rsidR="00095ECA" w:rsidRPr="0024327D">
        <w:rPr>
          <w:rFonts w:eastAsia="Times New Roman"/>
          <w:bCs/>
          <w:lang w:val="uk-UA"/>
        </w:rPr>
        <w:t>ють</w:t>
      </w:r>
      <w:r w:rsidR="00791E67" w:rsidRPr="0024327D">
        <w:rPr>
          <w:rFonts w:eastAsia="Times New Roman"/>
          <w:bCs/>
          <w:lang w:val="uk-UA"/>
        </w:rPr>
        <w:t xml:space="preserve"> на </w:t>
      </w:r>
      <w:r w:rsidR="00BA77D2" w:rsidRPr="0024327D">
        <w:rPr>
          <w:rFonts w:eastAsia="Times New Roman"/>
          <w:bCs/>
          <w:lang w:val="uk-UA"/>
        </w:rPr>
        <w:t xml:space="preserve">цю базу інвесторів. </w:t>
      </w:r>
      <w:r w:rsidR="00791E67" w:rsidRPr="0024327D">
        <w:rPr>
          <w:rFonts w:eastAsia="Times New Roman"/>
          <w:bCs/>
          <w:lang w:val="uk-UA"/>
        </w:rPr>
        <w:t>І</w:t>
      </w:r>
      <w:r w:rsidR="00BA77D2" w:rsidRPr="0024327D">
        <w:rPr>
          <w:rFonts w:eastAsia="Times New Roman"/>
          <w:bCs/>
          <w:lang w:val="uk-UA"/>
        </w:rPr>
        <w:t xml:space="preserve"> сек'юритизація, </w:t>
      </w:r>
      <w:r w:rsidR="00791E67" w:rsidRPr="0024327D">
        <w:rPr>
          <w:rFonts w:eastAsia="Times New Roman"/>
          <w:bCs/>
          <w:lang w:val="uk-UA"/>
        </w:rPr>
        <w:t xml:space="preserve">і </w:t>
      </w:r>
      <w:r w:rsidR="00645A85" w:rsidRPr="0024327D">
        <w:rPr>
          <w:rFonts w:eastAsia="Times New Roman"/>
          <w:bCs/>
          <w:lang w:val="uk-UA"/>
        </w:rPr>
        <w:t>облігації з покриттям</w:t>
      </w:r>
      <w:r w:rsidR="00BA77D2" w:rsidRPr="0024327D">
        <w:rPr>
          <w:rFonts w:eastAsia="Times New Roman"/>
          <w:bCs/>
          <w:lang w:val="uk-UA"/>
        </w:rPr>
        <w:t xml:space="preserve"> створюють потенціал для доступу до груп інвесторів</w:t>
      </w:r>
      <w:r w:rsidR="0044107A" w:rsidRPr="0024327D">
        <w:rPr>
          <w:rFonts w:eastAsia="Times New Roman"/>
          <w:bCs/>
          <w:lang w:val="uk-UA"/>
        </w:rPr>
        <w:t>, орієнтованих не тільки на країни</w:t>
      </w:r>
      <w:r w:rsidR="008B4B92" w:rsidRPr="0024327D">
        <w:rPr>
          <w:rFonts w:eastAsia="Times New Roman"/>
          <w:bCs/>
          <w:lang w:val="uk-UA"/>
        </w:rPr>
        <w:t xml:space="preserve"> з перехідною економікою</w:t>
      </w:r>
      <w:r w:rsidR="00BA77D2" w:rsidRPr="0024327D">
        <w:rPr>
          <w:rFonts w:eastAsia="Times New Roman"/>
          <w:bCs/>
          <w:lang w:val="uk-UA"/>
        </w:rPr>
        <w:t xml:space="preserve">, і таким чином додають нові </w:t>
      </w:r>
      <w:r w:rsidR="00B72A5F" w:rsidRPr="0024327D">
        <w:rPr>
          <w:rFonts w:eastAsia="Times New Roman"/>
          <w:bCs/>
          <w:lang w:val="uk-UA"/>
        </w:rPr>
        <w:t xml:space="preserve">джерела </w:t>
      </w:r>
      <w:r w:rsidR="00BA77D2" w:rsidRPr="0024327D">
        <w:rPr>
          <w:rFonts w:eastAsia="Times New Roman"/>
          <w:bCs/>
          <w:lang w:val="uk-UA"/>
        </w:rPr>
        <w:t xml:space="preserve">та </w:t>
      </w:r>
      <w:r w:rsidR="006C05F2" w:rsidRPr="0024327D">
        <w:rPr>
          <w:rFonts w:eastAsia="Times New Roman"/>
          <w:bCs/>
          <w:lang w:val="uk-UA"/>
        </w:rPr>
        <w:t>підвищують стабільність</w:t>
      </w:r>
      <w:r w:rsidR="008B4B92" w:rsidRPr="0024327D">
        <w:rPr>
          <w:rFonts w:eastAsia="Times New Roman"/>
          <w:bCs/>
          <w:lang w:val="uk-UA"/>
        </w:rPr>
        <w:t xml:space="preserve"> </w:t>
      </w:r>
      <w:r w:rsidR="00A47552" w:rsidRPr="0024327D">
        <w:rPr>
          <w:rFonts w:eastAsia="Times New Roman"/>
          <w:bCs/>
          <w:lang w:val="uk-UA"/>
        </w:rPr>
        <w:t>закордонного</w:t>
      </w:r>
      <w:r w:rsidR="008B4B92" w:rsidRPr="0024327D">
        <w:rPr>
          <w:rFonts w:eastAsia="Times New Roman"/>
          <w:bCs/>
          <w:lang w:val="uk-UA"/>
        </w:rPr>
        <w:t xml:space="preserve"> </w:t>
      </w:r>
      <w:r w:rsidR="00BA77D2" w:rsidRPr="0024327D">
        <w:rPr>
          <w:rFonts w:eastAsia="Times New Roman"/>
          <w:bCs/>
          <w:lang w:val="uk-UA"/>
        </w:rPr>
        <w:t>фінансуванн</w:t>
      </w:r>
      <w:r w:rsidR="006C05F2" w:rsidRPr="0024327D">
        <w:rPr>
          <w:rFonts w:eastAsia="Times New Roman"/>
          <w:bCs/>
          <w:lang w:val="uk-UA"/>
        </w:rPr>
        <w:t>я</w:t>
      </w:r>
      <w:r w:rsidR="00B72A5F" w:rsidRPr="0024327D">
        <w:rPr>
          <w:rFonts w:eastAsia="Times New Roman"/>
          <w:bCs/>
          <w:lang w:val="uk-UA"/>
        </w:rPr>
        <w:t xml:space="preserve"> для</w:t>
      </w:r>
      <w:r w:rsidR="00BA77D2" w:rsidRPr="0024327D">
        <w:rPr>
          <w:rFonts w:eastAsia="Times New Roman"/>
          <w:bCs/>
          <w:lang w:val="uk-UA"/>
        </w:rPr>
        <w:t xml:space="preserve"> України. </w:t>
      </w:r>
      <w:r w:rsidR="008B4B92" w:rsidRPr="0024327D">
        <w:rPr>
          <w:rFonts w:eastAsia="Times New Roman"/>
          <w:bCs/>
          <w:lang w:val="uk-UA"/>
        </w:rPr>
        <w:t>Так, наприклад</w:t>
      </w:r>
      <w:r w:rsidR="00BA77D2" w:rsidRPr="0024327D">
        <w:rPr>
          <w:rFonts w:eastAsia="Times New Roman"/>
          <w:bCs/>
          <w:lang w:val="uk-UA"/>
        </w:rPr>
        <w:t xml:space="preserve">, </w:t>
      </w:r>
      <w:r w:rsidR="008B4B92" w:rsidRPr="0024327D">
        <w:rPr>
          <w:rFonts w:eastAsia="Times New Roman"/>
          <w:bCs/>
          <w:lang w:val="uk-UA"/>
        </w:rPr>
        <w:t xml:space="preserve">на </w:t>
      </w:r>
      <w:r w:rsidR="00645A85" w:rsidRPr="0024327D">
        <w:rPr>
          <w:rFonts w:eastAsia="Times New Roman"/>
          <w:bCs/>
          <w:lang w:val="uk-UA"/>
        </w:rPr>
        <w:t>облігації з покриттям</w:t>
      </w:r>
      <w:r w:rsidR="00BA77D2" w:rsidRPr="0024327D">
        <w:rPr>
          <w:rFonts w:eastAsia="Times New Roman"/>
          <w:bCs/>
          <w:lang w:val="uk-UA"/>
        </w:rPr>
        <w:t xml:space="preserve">, </w:t>
      </w:r>
      <w:r w:rsidR="002C320E" w:rsidRPr="0024327D">
        <w:rPr>
          <w:rFonts w:eastAsia="Times New Roman"/>
          <w:bCs/>
          <w:lang w:val="uk-UA"/>
        </w:rPr>
        <w:t xml:space="preserve"> емітовані </w:t>
      </w:r>
      <w:r w:rsidR="00BA77D2" w:rsidRPr="0024327D">
        <w:rPr>
          <w:rFonts w:eastAsia="Times New Roman"/>
          <w:bCs/>
          <w:lang w:val="uk-UA"/>
        </w:rPr>
        <w:t xml:space="preserve">польськими та словацькими банками, часто </w:t>
      </w:r>
      <w:r w:rsidR="008B4B92" w:rsidRPr="0024327D">
        <w:rPr>
          <w:rFonts w:eastAsia="Times New Roman"/>
          <w:bCs/>
          <w:lang w:val="uk-UA"/>
        </w:rPr>
        <w:t xml:space="preserve">підписуються </w:t>
      </w:r>
      <w:r w:rsidR="00BA77D2" w:rsidRPr="0024327D">
        <w:rPr>
          <w:rFonts w:eastAsia="Times New Roman"/>
          <w:bCs/>
          <w:lang w:val="uk-UA"/>
        </w:rPr>
        <w:t xml:space="preserve">майже </w:t>
      </w:r>
      <w:r w:rsidR="008B4B92" w:rsidRPr="0024327D">
        <w:rPr>
          <w:rFonts w:eastAsia="Times New Roman"/>
          <w:bCs/>
          <w:lang w:val="uk-UA"/>
        </w:rPr>
        <w:t xml:space="preserve">виключно спеціалізовані </w:t>
      </w:r>
      <w:r w:rsidR="00BA77D2" w:rsidRPr="0024327D">
        <w:rPr>
          <w:rFonts w:eastAsia="Times New Roman"/>
          <w:bCs/>
          <w:lang w:val="uk-UA"/>
        </w:rPr>
        <w:t>інвест</w:t>
      </w:r>
      <w:r w:rsidR="008B4B92" w:rsidRPr="0024327D">
        <w:rPr>
          <w:rFonts w:eastAsia="Times New Roman"/>
          <w:bCs/>
          <w:lang w:val="uk-UA"/>
        </w:rPr>
        <w:t xml:space="preserve">ори в </w:t>
      </w:r>
      <w:r w:rsidR="00645A85" w:rsidRPr="0024327D">
        <w:rPr>
          <w:rFonts w:eastAsia="Times New Roman"/>
          <w:bCs/>
          <w:lang w:val="uk-UA"/>
        </w:rPr>
        <w:t>облігації з покриттям</w:t>
      </w:r>
      <w:r w:rsidR="00BA77D2" w:rsidRPr="0024327D">
        <w:rPr>
          <w:rFonts w:eastAsia="Times New Roman"/>
          <w:bCs/>
          <w:lang w:val="uk-UA"/>
        </w:rPr>
        <w:t>, а не фонд</w:t>
      </w:r>
      <w:r w:rsidR="008B4B92" w:rsidRPr="0024327D">
        <w:rPr>
          <w:rFonts w:eastAsia="Times New Roman"/>
          <w:bCs/>
          <w:lang w:val="uk-UA"/>
        </w:rPr>
        <w:t>и</w:t>
      </w:r>
      <w:r w:rsidR="0044107A" w:rsidRPr="0024327D">
        <w:rPr>
          <w:rFonts w:eastAsia="Times New Roman"/>
          <w:bCs/>
          <w:lang w:val="uk-UA"/>
        </w:rPr>
        <w:t>, орієнтовані на країни</w:t>
      </w:r>
      <w:r w:rsidR="008B4B92" w:rsidRPr="0024327D">
        <w:rPr>
          <w:rFonts w:eastAsia="Times New Roman"/>
          <w:bCs/>
          <w:lang w:val="uk-UA"/>
        </w:rPr>
        <w:t xml:space="preserve"> з перехідною економікою.</w:t>
      </w:r>
      <w:r w:rsidR="00E61B37" w:rsidRPr="0024327D">
        <w:rPr>
          <w:rFonts w:eastAsia="Times New Roman"/>
          <w:bCs/>
          <w:lang w:val="uk-UA"/>
        </w:rPr>
        <w:t xml:space="preserve"> </w:t>
      </w:r>
      <w:r w:rsidR="00AB3425" w:rsidRPr="0024327D">
        <w:rPr>
          <w:rFonts w:eastAsia="Times New Roman"/>
          <w:bCs/>
          <w:lang w:val="uk-UA"/>
        </w:rPr>
        <w:t>Додатково, деякі інвестори в облігації з покриттям мають можливість брати валютні ризики</w:t>
      </w:r>
      <w:r w:rsidR="00374197" w:rsidRPr="0024327D">
        <w:rPr>
          <w:rFonts w:eastAsia="Times New Roman"/>
          <w:bCs/>
          <w:lang w:val="uk-UA"/>
        </w:rPr>
        <w:t xml:space="preserve"> в трансакціях з такими облігаціями</w:t>
      </w:r>
      <w:r w:rsidR="00DC7D42" w:rsidRPr="0024327D">
        <w:rPr>
          <w:rFonts w:eastAsia="Times New Roman"/>
          <w:bCs/>
          <w:lang w:val="uk-UA"/>
        </w:rPr>
        <w:t>, які не корелюються з більш волатильними потоками</w:t>
      </w:r>
      <w:r w:rsidR="008E3B79" w:rsidRPr="0024327D">
        <w:rPr>
          <w:rFonts w:eastAsia="Times New Roman"/>
          <w:bCs/>
          <w:lang w:val="uk-UA"/>
        </w:rPr>
        <w:t>, які є типові для фондів, орієнтованих на країни з перехідною економікою. Водночас, такі валютні ризики можуть бути мінімізовані</w:t>
      </w:r>
      <w:r w:rsidR="00C860BE" w:rsidRPr="0024327D">
        <w:rPr>
          <w:rFonts w:eastAsia="Times New Roman"/>
          <w:bCs/>
          <w:lang w:val="uk-UA"/>
        </w:rPr>
        <w:t xml:space="preserve"> через використання валютних свопів перед емісією облігацій з покриттям (що є більш </w:t>
      </w:r>
      <w:r w:rsidR="00DC1D92" w:rsidRPr="0024327D">
        <w:rPr>
          <w:rFonts w:eastAsia="Times New Roman"/>
          <w:bCs/>
          <w:lang w:val="uk-UA"/>
        </w:rPr>
        <w:t>вигідно</w:t>
      </w:r>
      <w:r w:rsidR="009B09BE" w:rsidRPr="0024327D">
        <w:rPr>
          <w:rFonts w:eastAsia="Times New Roman"/>
          <w:bCs/>
          <w:lang w:val="uk-UA"/>
        </w:rPr>
        <w:t xml:space="preserve"> для інвесторів) або після емісії (що є менш </w:t>
      </w:r>
      <w:r w:rsidR="00DC1D92" w:rsidRPr="0024327D">
        <w:rPr>
          <w:rFonts w:eastAsia="Times New Roman"/>
          <w:bCs/>
          <w:lang w:val="uk-UA"/>
        </w:rPr>
        <w:t>вигідно</w:t>
      </w:r>
      <w:r w:rsidR="009B09BE" w:rsidRPr="0024327D">
        <w:rPr>
          <w:rFonts w:eastAsia="Times New Roman"/>
          <w:bCs/>
          <w:lang w:val="uk-UA"/>
        </w:rPr>
        <w:t xml:space="preserve"> для інвесторів).</w:t>
      </w:r>
    </w:p>
    <w:p w14:paraId="56886491" w14:textId="7D7D5743" w:rsidR="0053528E" w:rsidRPr="0024327D" w:rsidRDefault="006C05F2" w:rsidP="00E15654">
      <w:pPr>
        <w:keepNext/>
        <w:keepLines/>
        <w:rPr>
          <w:rFonts w:eastAsia="Times New Roman"/>
          <w:b/>
          <w:lang w:val="uk-UA"/>
        </w:rPr>
      </w:pPr>
      <w:r w:rsidRPr="0024327D">
        <w:rPr>
          <w:rFonts w:eastAsia="Times New Roman"/>
          <w:b/>
          <w:lang w:val="uk-UA"/>
        </w:rPr>
        <w:t>Передача ризиків (тільки при сек’юритизації</w:t>
      </w:r>
      <w:r w:rsidR="00BA613A" w:rsidRPr="0024327D">
        <w:rPr>
          <w:rFonts w:eastAsia="Times New Roman"/>
          <w:b/>
          <w:lang w:val="uk-UA"/>
        </w:rPr>
        <w:t>)</w:t>
      </w:r>
    </w:p>
    <w:p w14:paraId="0B915B57" w14:textId="2423A7D8" w:rsidR="006C05F2" w:rsidRPr="0024327D" w:rsidRDefault="00344462" w:rsidP="00E15654">
      <w:pPr>
        <w:keepNext/>
        <w:keepLines/>
        <w:rPr>
          <w:lang w:val="uk-UA"/>
        </w:rPr>
      </w:pPr>
      <w:r w:rsidRPr="0024327D">
        <w:rPr>
          <w:lang w:val="uk-UA"/>
        </w:rPr>
        <w:t xml:space="preserve">Хоча все більш поширеними є </w:t>
      </w:r>
      <w:r w:rsidR="006C05F2" w:rsidRPr="0024327D">
        <w:rPr>
          <w:lang w:val="uk-UA"/>
        </w:rPr>
        <w:t>нормативн</w:t>
      </w:r>
      <w:r w:rsidRPr="0024327D">
        <w:rPr>
          <w:lang w:val="uk-UA"/>
        </w:rPr>
        <w:t>і</w:t>
      </w:r>
      <w:r w:rsidR="006C05F2" w:rsidRPr="0024327D">
        <w:rPr>
          <w:lang w:val="uk-UA"/>
        </w:rPr>
        <w:t xml:space="preserve"> вимог</w:t>
      </w:r>
      <w:r w:rsidRPr="0024327D">
        <w:rPr>
          <w:lang w:val="uk-UA"/>
        </w:rPr>
        <w:t>и</w:t>
      </w:r>
      <w:r w:rsidR="006C05F2" w:rsidRPr="0024327D">
        <w:rPr>
          <w:lang w:val="uk-UA"/>
        </w:rPr>
        <w:t xml:space="preserve"> до </w:t>
      </w:r>
      <w:r w:rsidR="001C209A" w:rsidRPr="0024327D">
        <w:rPr>
          <w:lang w:val="uk-UA"/>
        </w:rPr>
        <w:t>оригінатора</w:t>
      </w:r>
      <w:r w:rsidR="006C05F2" w:rsidRPr="0024327D">
        <w:rPr>
          <w:lang w:val="uk-UA"/>
        </w:rPr>
        <w:t xml:space="preserve">, відповідно до яких він повинен зберігати </w:t>
      </w:r>
      <w:r w:rsidRPr="0024327D">
        <w:rPr>
          <w:lang w:val="uk-UA"/>
        </w:rPr>
        <w:t>певний рівень ризику за акт</w:t>
      </w:r>
      <w:r w:rsidR="00B73B34" w:rsidRPr="0024327D">
        <w:rPr>
          <w:lang w:val="uk-UA"/>
        </w:rPr>
        <w:t>и</w:t>
      </w:r>
      <w:r w:rsidRPr="0024327D">
        <w:rPr>
          <w:lang w:val="uk-UA"/>
        </w:rPr>
        <w:t>вами, переданими до складу забезпечення</w:t>
      </w:r>
      <w:r w:rsidR="006C05F2" w:rsidRPr="0024327D">
        <w:rPr>
          <w:lang w:val="uk-UA"/>
        </w:rPr>
        <w:t xml:space="preserve">, сек'юритизація може використовуватися для обмеження </w:t>
      </w:r>
      <w:r w:rsidR="003D052B" w:rsidRPr="0024327D">
        <w:rPr>
          <w:lang w:val="uk-UA"/>
        </w:rPr>
        <w:t xml:space="preserve">такого ризику </w:t>
      </w:r>
      <w:r w:rsidR="006C05F2" w:rsidRPr="0024327D">
        <w:rPr>
          <w:lang w:val="uk-UA"/>
        </w:rPr>
        <w:t xml:space="preserve">та для зменшення ризику різкого падіння </w:t>
      </w:r>
      <w:r w:rsidR="0059032E" w:rsidRPr="0024327D">
        <w:rPr>
          <w:lang w:val="uk-UA"/>
        </w:rPr>
        <w:t xml:space="preserve">цін </w:t>
      </w:r>
      <w:r w:rsidR="006C05F2" w:rsidRPr="0024327D">
        <w:rPr>
          <w:lang w:val="uk-UA"/>
        </w:rPr>
        <w:t>в банківській системі. Цей аспект зменшення ризику</w:t>
      </w:r>
      <w:r w:rsidR="003D052B" w:rsidRPr="0024327D">
        <w:rPr>
          <w:lang w:val="uk-UA"/>
        </w:rPr>
        <w:t>, пов’язан</w:t>
      </w:r>
      <w:r w:rsidR="00C76F66" w:rsidRPr="0024327D">
        <w:rPr>
          <w:lang w:val="uk-UA"/>
        </w:rPr>
        <w:t>ий</w:t>
      </w:r>
      <w:r w:rsidR="003D052B" w:rsidRPr="0024327D">
        <w:rPr>
          <w:lang w:val="uk-UA"/>
        </w:rPr>
        <w:t xml:space="preserve"> з</w:t>
      </w:r>
      <w:r w:rsidR="00C76F66" w:rsidRPr="0024327D">
        <w:rPr>
          <w:lang w:val="uk-UA"/>
        </w:rPr>
        <w:t xml:space="preserve"> сек’юритизацією</w:t>
      </w:r>
      <w:r w:rsidR="003D052B" w:rsidRPr="0024327D">
        <w:rPr>
          <w:lang w:val="uk-UA"/>
        </w:rPr>
        <w:t xml:space="preserve">, </w:t>
      </w:r>
      <w:r w:rsidR="006C05F2" w:rsidRPr="0024327D">
        <w:rPr>
          <w:lang w:val="uk-UA"/>
        </w:rPr>
        <w:t xml:space="preserve">відображається у можливості зменшити </w:t>
      </w:r>
      <w:r w:rsidR="005A47CA" w:rsidRPr="0024327D">
        <w:rPr>
          <w:lang w:val="uk-UA"/>
        </w:rPr>
        <w:t xml:space="preserve">тиск на </w:t>
      </w:r>
      <w:r w:rsidR="005A6A2B" w:rsidRPr="0024327D">
        <w:rPr>
          <w:lang w:val="uk-UA"/>
        </w:rPr>
        <w:t>регулятор</w:t>
      </w:r>
      <w:r w:rsidR="006771A0" w:rsidRPr="0024327D">
        <w:rPr>
          <w:lang w:val="uk-UA"/>
        </w:rPr>
        <w:t>ний</w:t>
      </w:r>
      <w:r w:rsidR="005A6A2B" w:rsidRPr="0024327D">
        <w:rPr>
          <w:lang w:val="uk-UA"/>
        </w:rPr>
        <w:t xml:space="preserve"> </w:t>
      </w:r>
      <w:r w:rsidR="006C05F2" w:rsidRPr="0024327D">
        <w:rPr>
          <w:lang w:val="uk-UA"/>
        </w:rPr>
        <w:t xml:space="preserve">капітал </w:t>
      </w:r>
      <w:r w:rsidR="005A47CA" w:rsidRPr="0024327D">
        <w:rPr>
          <w:lang w:val="uk-UA"/>
        </w:rPr>
        <w:t xml:space="preserve">зі сторони </w:t>
      </w:r>
      <w:r w:rsidR="006C05F2" w:rsidRPr="0024327D">
        <w:rPr>
          <w:lang w:val="uk-UA"/>
        </w:rPr>
        <w:t>сек'юритизованих активів.</w:t>
      </w:r>
    </w:p>
    <w:p w14:paraId="59282F64" w14:textId="47BA66AA" w:rsidR="00BA613A" w:rsidRPr="0024327D" w:rsidRDefault="00F071C2" w:rsidP="003D052B">
      <w:pPr>
        <w:rPr>
          <w:lang w:val="uk-UA"/>
        </w:rPr>
      </w:pPr>
      <w:r w:rsidRPr="0024327D">
        <w:rPr>
          <w:lang w:val="uk-UA"/>
        </w:rPr>
        <w:t xml:space="preserve">З теоретичної точки зору </w:t>
      </w:r>
      <w:r w:rsidR="003D052B" w:rsidRPr="0024327D">
        <w:rPr>
          <w:lang w:val="uk-UA"/>
        </w:rPr>
        <w:t>оптимальн</w:t>
      </w:r>
      <w:r w:rsidR="003E648D" w:rsidRPr="0024327D">
        <w:rPr>
          <w:lang w:val="uk-UA"/>
        </w:rPr>
        <w:t>им</w:t>
      </w:r>
      <w:r w:rsidR="003D052B" w:rsidRPr="0024327D">
        <w:rPr>
          <w:lang w:val="uk-UA"/>
        </w:rPr>
        <w:t xml:space="preserve"> є </w:t>
      </w:r>
      <w:r w:rsidR="003C18F3" w:rsidRPr="0024327D">
        <w:rPr>
          <w:lang w:val="uk-UA"/>
        </w:rPr>
        <w:t xml:space="preserve">прийняття </w:t>
      </w:r>
      <w:r w:rsidR="003D052B" w:rsidRPr="0024327D">
        <w:rPr>
          <w:lang w:val="uk-UA"/>
        </w:rPr>
        <w:t xml:space="preserve">ризику та </w:t>
      </w:r>
      <w:r w:rsidR="00330AD6" w:rsidRPr="0024327D">
        <w:rPr>
          <w:lang w:val="uk-UA"/>
        </w:rPr>
        <w:t xml:space="preserve">доходів </w:t>
      </w:r>
      <w:r w:rsidR="003D052B" w:rsidRPr="0024327D">
        <w:rPr>
          <w:lang w:val="uk-UA"/>
        </w:rPr>
        <w:t xml:space="preserve">від активів </w:t>
      </w:r>
      <w:r w:rsidR="00330AD6" w:rsidRPr="0024327D">
        <w:rPr>
          <w:lang w:val="uk-UA"/>
        </w:rPr>
        <w:t xml:space="preserve">тим </w:t>
      </w:r>
      <w:r w:rsidR="003C18F3" w:rsidRPr="0024327D">
        <w:rPr>
          <w:lang w:val="uk-UA"/>
        </w:rPr>
        <w:t xml:space="preserve">учасником </w:t>
      </w:r>
      <w:r w:rsidR="003D052B" w:rsidRPr="0024327D">
        <w:rPr>
          <w:lang w:val="uk-UA"/>
        </w:rPr>
        <w:t xml:space="preserve">ринку, </w:t>
      </w:r>
      <w:r w:rsidR="003C18F3" w:rsidRPr="0024327D">
        <w:rPr>
          <w:lang w:val="uk-UA"/>
        </w:rPr>
        <w:t xml:space="preserve">який </w:t>
      </w:r>
      <w:r w:rsidR="003D052B" w:rsidRPr="0024327D">
        <w:rPr>
          <w:lang w:val="uk-UA"/>
        </w:rPr>
        <w:t xml:space="preserve">краще </w:t>
      </w:r>
      <w:r w:rsidR="000233A0" w:rsidRPr="0024327D">
        <w:rPr>
          <w:lang w:val="uk-UA"/>
        </w:rPr>
        <w:t xml:space="preserve">за інших </w:t>
      </w:r>
      <w:r w:rsidR="003D052B" w:rsidRPr="0024327D">
        <w:rPr>
          <w:lang w:val="uk-UA"/>
        </w:rPr>
        <w:t xml:space="preserve">підходить для того, щоб нести такий ризик і </w:t>
      </w:r>
      <w:r w:rsidR="00FA18CF" w:rsidRPr="0024327D">
        <w:rPr>
          <w:lang w:val="uk-UA"/>
        </w:rPr>
        <w:t>отримувати доходи</w:t>
      </w:r>
      <w:r w:rsidR="003C18F3" w:rsidRPr="0024327D">
        <w:rPr>
          <w:lang w:val="uk-UA"/>
        </w:rPr>
        <w:t>;</w:t>
      </w:r>
      <w:r w:rsidR="003D052B" w:rsidRPr="0024327D">
        <w:rPr>
          <w:lang w:val="uk-UA"/>
        </w:rPr>
        <w:t xml:space="preserve"> </w:t>
      </w:r>
      <w:r w:rsidR="00FA18CF" w:rsidRPr="0024327D">
        <w:rPr>
          <w:lang w:val="uk-UA"/>
        </w:rPr>
        <w:t xml:space="preserve">а </w:t>
      </w:r>
      <w:r w:rsidR="00E65C38" w:rsidRPr="0024327D">
        <w:rPr>
          <w:lang w:val="uk-UA"/>
        </w:rPr>
        <w:t xml:space="preserve">це </w:t>
      </w:r>
      <w:r w:rsidR="003D052B" w:rsidRPr="0024327D">
        <w:rPr>
          <w:lang w:val="uk-UA"/>
        </w:rPr>
        <w:t>не обов’язково має бути банк</w:t>
      </w:r>
      <w:r w:rsidR="003C18F3" w:rsidRPr="0024327D">
        <w:rPr>
          <w:lang w:val="uk-UA"/>
        </w:rPr>
        <w:t xml:space="preserve"> або інший кредитор</w:t>
      </w:r>
      <w:r w:rsidR="003D052B" w:rsidRPr="0024327D">
        <w:rPr>
          <w:lang w:val="uk-UA"/>
        </w:rPr>
        <w:t xml:space="preserve">, </w:t>
      </w:r>
      <w:r w:rsidR="003C18F3" w:rsidRPr="0024327D">
        <w:rPr>
          <w:lang w:val="uk-UA"/>
        </w:rPr>
        <w:t>який є оригінатором відповідних активів.</w:t>
      </w:r>
    </w:p>
    <w:p w14:paraId="75AEE318" w14:textId="168FB1DF" w:rsidR="00195D2B" w:rsidRPr="0024327D" w:rsidRDefault="00676E8F" w:rsidP="00195D2B">
      <w:pPr>
        <w:keepNext/>
        <w:rPr>
          <w:rFonts w:eastAsia="Times New Roman"/>
          <w:b/>
          <w:lang w:val="uk-UA"/>
        </w:rPr>
      </w:pPr>
      <w:r w:rsidRPr="0024327D">
        <w:rPr>
          <w:b/>
          <w:lang w:val="uk-UA"/>
        </w:rPr>
        <w:t>Прозорість</w:t>
      </w:r>
    </w:p>
    <w:p w14:paraId="5CD784AA" w14:textId="00A486D3" w:rsidR="00E65C38" w:rsidRPr="0024327D" w:rsidRDefault="00E65C38" w:rsidP="00F0349C">
      <w:pPr>
        <w:keepNext/>
        <w:rPr>
          <w:lang w:val="uk-UA"/>
        </w:rPr>
      </w:pPr>
      <w:r w:rsidRPr="0024327D">
        <w:rPr>
          <w:lang w:val="uk-UA"/>
        </w:rPr>
        <w:t xml:space="preserve">Дисципліна детального вивчення рейтинговим агентством та (коли йдеться про </w:t>
      </w:r>
      <w:r w:rsidR="00645A85" w:rsidRPr="0024327D">
        <w:rPr>
          <w:lang w:val="uk-UA"/>
        </w:rPr>
        <w:t>облігації з покриттям</w:t>
      </w:r>
      <w:r w:rsidRPr="0024327D">
        <w:rPr>
          <w:lang w:val="uk-UA"/>
        </w:rPr>
        <w:t xml:space="preserve">) наглядовим органом активів, з яких складається </w:t>
      </w:r>
      <w:r w:rsidR="000C22C1" w:rsidRPr="0024327D">
        <w:rPr>
          <w:lang w:val="uk-UA"/>
        </w:rPr>
        <w:t>п</w:t>
      </w:r>
      <w:r w:rsidRPr="0024327D">
        <w:rPr>
          <w:lang w:val="uk-UA"/>
        </w:rPr>
        <w:t xml:space="preserve">ул </w:t>
      </w:r>
      <w:r w:rsidR="000C22C1" w:rsidRPr="0024327D">
        <w:rPr>
          <w:lang w:val="uk-UA"/>
        </w:rPr>
        <w:t>покриття</w:t>
      </w:r>
      <w:r w:rsidRPr="0024327D">
        <w:rPr>
          <w:lang w:val="uk-UA"/>
        </w:rPr>
        <w:t xml:space="preserve">, вимагає та винагороджує за створення безпечних високоякісних активів для включення </w:t>
      </w:r>
      <w:r w:rsidR="00E22636" w:rsidRPr="0024327D">
        <w:rPr>
          <w:lang w:val="uk-UA"/>
        </w:rPr>
        <w:t>до</w:t>
      </w:r>
      <w:r w:rsidRPr="0024327D">
        <w:rPr>
          <w:lang w:val="uk-UA"/>
        </w:rPr>
        <w:t xml:space="preserve"> </w:t>
      </w:r>
      <w:r w:rsidR="00E22636" w:rsidRPr="0024327D">
        <w:rPr>
          <w:lang w:val="uk-UA"/>
        </w:rPr>
        <w:t>п</w:t>
      </w:r>
      <w:r w:rsidRPr="0024327D">
        <w:rPr>
          <w:lang w:val="uk-UA"/>
        </w:rPr>
        <w:t>ул</w:t>
      </w:r>
      <w:r w:rsidR="00E22636" w:rsidRPr="0024327D">
        <w:rPr>
          <w:lang w:val="uk-UA"/>
        </w:rPr>
        <w:t>у</w:t>
      </w:r>
      <w:r w:rsidRPr="0024327D">
        <w:rPr>
          <w:lang w:val="uk-UA"/>
        </w:rPr>
        <w:t xml:space="preserve"> </w:t>
      </w:r>
      <w:r w:rsidR="00E22636" w:rsidRPr="0024327D">
        <w:rPr>
          <w:lang w:val="uk-UA"/>
        </w:rPr>
        <w:t xml:space="preserve">покриття </w:t>
      </w:r>
      <w:r w:rsidRPr="0024327D">
        <w:rPr>
          <w:lang w:val="uk-UA"/>
        </w:rPr>
        <w:t>та високих</w:t>
      </w:r>
      <w:r w:rsidR="00763422">
        <w:rPr>
          <w:lang w:val="uk-UA"/>
        </w:rPr>
        <w:t xml:space="preserve"> </w:t>
      </w:r>
      <w:r w:rsidRPr="0024327D">
        <w:rPr>
          <w:lang w:val="uk-UA"/>
        </w:rPr>
        <w:lastRenderedPageBreak/>
        <w:t xml:space="preserve">стандартів розкриття даних. Як на ринку сек'юритизації, так і на ринку облігацій </w:t>
      </w:r>
      <w:r w:rsidR="00756E2B" w:rsidRPr="0024327D">
        <w:rPr>
          <w:lang w:val="uk-UA"/>
        </w:rPr>
        <w:t xml:space="preserve">з покриттям </w:t>
      </w:r>
      <w:r w:rsidRPr="0024327D">
        <w:rPr>
          <w:lang w:val="uk-UA"/>
        </w:rPr>
        <w:t xml:space="preserve">існують стандартні </w:t>
      </w:r>
      <w:r w:rsidR="00756E2B" w:rsidRPr="0024327D">
        <w:rPr>
          <w:lang w:val="uk-UA"/>
        </w:rPr>
        <w:t xml:space="preserve">підходи </w:t>
      </w:r>
      <w:r w:rsidRPr="0024327D">
        <w:rPr>
          <w:lang w:val="uk-UA"/>
        </w:rPr>
        <w:t>для розкриття інформації, що значно покращить прозорість даних в Україні.</w:t>
      </w:r>
    </w:p>
    <w:p w14:paraId="481BDD91" w14:textId="76B1DDAF" w:rsidR="00BA613A" w:rsidRPr="0024327D" w:rsidRDefault="00E65C38" w:rsidP="000E107C">
      <w:pPr>
        <w:pStyle w:val="2"/>
        <w:rPr>
          <w:lang w:val="uk-UA"/>
        </w:rPr>
      </w:pPr>
      <w:bookmarkStart w:id="47" w:name="_Toc95480982"/>
      <w:r w:rsidRPr="0024327D">
        <w:rPr>
          <w:lang w:val="uk-UA"/>
        </w:rPr>
        <w:t>Потенційні ризики</w:t>
      </w:r>
      <w:bookmarkEnd w:id="47"/>
    </w:p>
    <w:p w14:paraId="552242A9" w14:textId="30ED8752" w:rsidR="00E65C38" w:rsidRPr="0024327D" w:rsidRDefault="00E65C38" w:rsidP="00501D25">
      <w:pPr>
        <w:rPr>
          <w:lang w:val="uk-UA"/>
        </w:rPr>
      </w:pPr>
      <w:r w:rsidRPr="0024327D">
        <w:rPr>
          <w:lang w:val="uk-UA"/>
        </w:rPr>
        <w:t xml:space="preserve">Більшість ризиків, які історично були пов'язані з сек'юритизацією, пом'якшуються Регламентом </w:t>
      </w:r>
      <w:r w:rsidR="00AC4D67" w:rsidRPr="0024327D">
        <w:rPr>
          <w:lang w:val="uk-UA"/>
        </w:rPr>
        <w:t xml:space="preserve">STS </w:t>
      </w:r>
      <w:r w:rsidRPr="0024327D">
        <w:rPr>
          <w:lang w:val="uk-UA"/>
        </w:rPr>
        <w:t>Європейського Союзу (див. Додаток 3).</w:t>
      </w:r>
    </w:p>
    <w:p w14:paraId="2C333CCF" w14:textId="236D20FE" w:rsidR="00BA613A" w:rsidRPr="0024327D" w:rsidRDefault="00664A79" w:rsidP="00501D25">
      <w:pPr>
        <w:rPr>
          <w:b/>
          <w:lang w:val="uk-UA"/>
        </w:rPr>
      </w:pPr>
      <w:r w:rsidRPr="0024327D">
        <w:rPr>
          <w:b/>
          <w:lang w:val="uk-UA"/>
        </w:rPr>
        <w:t>Р</w:t>
      </w:r>
      <w:r w:rsidR="00AC4D67" w:rsidRPr="0024327D">
        <w:rPr>
          <w:b/>
          <w:lang w:val="uk-UA"/>
        </w:rPr>
        <w:t xml:space="preserve">изик </w:t>
      </w:r>
      <w:r w:rsidR="00E3177A" w:rsidRPr="0024327D">
        <w:rPr>
          <w:b/>
          <w:lang w:val="uk-UA"/>
        </w:rPr>
        <w:t xml:space="preserve">зловживань </w:t>
      </w:r>
      <w:r w:rsidR="00AC4D67" w:rsidRPr="0024327D">
        <w:rPr>
          <w:b/>
          <w:lang w:val="uk-UA"/>
        </w:rPr>
        <w:t>(тільки при сек’юритизації</w:t>
      </w:r>
      <w:r w:rsidR="00BA613A" w:rsidRPr="0024327D">
        <w:rPr>
          <w:b/>
          <w:lang w:val="uk-UA"/>
        </w:rPr>
        <w:t xml:space="preserve">) </w:t>
      </w:r>
    </w:p>
    <w:p w14:paraId="380FB742" w14:textId="4B0ABE2F" w:rsidR="00AC4D67" w:rsidRPr="0024327D" w:rsidRDefault="00AC4D67" w:rsidP="00501D25">
      <w:pPr>
        <w:rPr>
          <w:lang w:val="uk-UA"/>
        </w:rPr>
      </w:pPr>
      <w:r w:rsidRPr="0024327D">
        <w:rPr>
          <w:lang w:val="uk-UA"/>
        </w:rPr>
        <w:t>Н</w:t>
      </w:r>
      <w:r w:rsidR="00E351A3" w:rsidRPr="0024327D">
        <w:rPr>
          <w:lang w:val="uk-UA"/>
        </w:rPr>
        <w:t>езважаючи на вимогу</w:t>
      </w:r>
      <w:r w:rsidR="001A0A47" w:rsidRPr="0024327D">
        <w:rPr>
          <w:lang w:val="uk-UA"/>
        </w:rPr>
        <w:t xml:space="preserve"> до оригінатора</w:t>
      </w:r>
      <w:r w:rsidR="00E351A3" w:rsidRPr="0024327D">
        <w:rPr>
          <w:lang w:val="uk-UA"/>
        </w:rPr>
        <w:t xml:space="preserve"> зберігати певний рівень економічного ризику</w:t>
      </w:r>
      <w:r w:rsidR="00C51933" w:rsidRPr="0024327D">
        <w:rPr>
          <w:lang w:val="uk-UA"/>
        </w:rPr>
        <w:t xml:space="preserve"> за активами, включеними </w:t>
      </w:r>
      <w:r w:rsidR="001A0A47" w:rsidRPr="0024327D">
        <w:rPr>
          <w:lang w:val="uk-UA"/>
        </w:rPr>
        <w:t xml:space="preserve">до </w:t>
      </w:r>
      <w:r w:rsidR="00756E2B" w:rsidRPr="0024327D">
        <w:rPr>
          <w:lang w:val="uk-UA"/>
        </w:rPr>
        <w:t>пулу сек’юритизації</w:t>
      </w:r>
      <w:r w:rsidR="00E351A3" w:rsidRPr="0024327D">
        <w:rPr>
          <w:lang w:val="uk-UA"/>
        </w:rPr>
        <w:t xml:space="preserve">, </w:t>
      </w:r>
      <w:r w:rsidRPr="0024327D">
        <w:rPr>
          <w:lang w:val="uk-UA"/>
        </w:rPr>
        <w:t xml:space="preserve">існує властивий </w:t>
      </w:r>
      <w:r w:rsidR="00E351A3" w:rsidRPr="0024327D">
        <w:rPr>
          <w:lang w:val="uk-UA"/>
        </w:rPr>
        <w:t xml:space="preserve">саме цьому </w:t>
      </w:r>
      <w:r w:rsidRPr="0024327D">
        <w:rPr>
          <w:lang w:val="uk-UA"/>
        </w:rPr>
        <w:t>інструменту</w:t>
      </w:r>
      <w:r w:rsidR="00E351A3" w:rsidRPr="0024327D">
        <w:rPr>
          <w:lang w:val="uk-UA"/>
        </w:rPr>
        <w:t xml:space="preserve"> ризик</w:t>
      </w:r>
      <w:r w:rsidR="00E3177A" w:rsidRPr="0024327D">
        <w:rPr>
          <w:lang w:val="uk-UA"/>
        </w:rPr>
        <w:t xml:space="preserve"> зловживань при створенні активів (</w:t>
      </w:r>
      <w:r w:rsidR="0007142B" w:rsidRPr="0024327D">
        <w:rPr>
          <w:lang w:val="uk-UA"/>
        </w:rPr>
        <w:t>наприклад, видачі кредиту)</w:t>
      </w:r>
      <w:r w:rsidR="00E351A3" w:rsidRPr="0024327D">
        <w:rPr>
          <w:lang w:val="uk-UA"/>
        </w:rPr>
        <w:t>, якщо</w:t>
      </w:r>
      <w:r w:rsidRPr="0024327D">
        <w:rPr>
          <w:lang w:val="uk-UA"/>
        </w:rPr>
        <w:t xml:space="preserve"> суб'єкт господарювання, відповідальний за </w:t>
      </w:r>
      <w:r w:rsidR="00E351A3" w:rsidRPr="0024327D">
        <w:rPr>
          <w:lang w:val="uk-UA"/>
        </w:rPr>
        <w:t xml:space="preserve">створення </w:t>
      </w:r>
      <w:r w:rsidRPr="0024327D">
        <w:rPr>
          <w:lang w:val="uk-UA"/>
        </w:rPr>
        <w:t xml:space="preserve">та обслуговування активів, не повністю </w:t>
      </w:r>
      <w:r w:rsidR="001A0A47" w:rsidRPr="0024327D">
        <w:rPr>
          <w:lang w:val="uk-UA"/>
        </w:rPr>
        <w:t xml:space="preserve">несе </w:t>
      </w:r>
      <w:r w:rsidR="00E351A3" w:rsidRPr="0024327D">
        <w:rPr>
          <w:lang w:val="uk-UA"/>
        </w:rPr>
        <w:t>пов’язан</w:t>
      </w:r>
      <w:r w:rsidR="001A0A47" w:rsidRPr="0024327D">
        <w:rPr>
          <w:lang w:val="uk-UA"/>
        </w:rPr>
        <w:t>і</w:t>
      </w:r>
      <w:r w:rsidR="00373F95" w:rsidRPr="0024327D">
        <w:rPr>
          <w:lang w:val="uk-UA"/>
        </w:rPr>
        <w:t xml:space="preserve"> </w:t>
      </w:r>
      <w:r w:rsidR="00E351A3" w:rsidRPr="0024327D">
        <w:rPr>
          <w:lang w:val="uk-UA"/>
        </w:rPr>
        <w:t xml:space="preserve">з ним </w:t>
      </w:r>
      <w:r w:rsidRPr="0024327D">
        <w:rPr>
          <w:lang w:val="uk-UA"/>
        </w:rPr>
        <w:t>ризик</w:t>
      </w:r>
      <w:r w:rsidR="001A0A47" w:rsidRPr="0024327D">
        <w:rPr>
          <w:lang w:val="uk-UA"/>
        </w:rPr>
        <w:t>и</w:t>
      </w:r>
      <w:r w:rsidRPr="0024327D">
        <w:rPr>
          <w:lang w:val="uk-UA"/>
        </w:rPr>
        <w:t>.</w:t>
      </w:r>
    </w:p>
    <w:p w14:paraId="43C4A82C" w14:textId="3B3EC3E3" w:rsidR="00BA613A" w:rsidRPr="0024327D" w:rsidRDefault="00E351A3" w:rsidP="00501D25">
      <w:pPr>
        <w:rPr>
          <w:rFonts w:cs="Times New Roman"/>
          <w:b/>
          <w:sz w:val="23"/>
          <w:szCs w:val="23"/>
          <w:lang w:val="uk-UA"/>
        </w:rPr>
      </w:pPr>
      <w:r w:rsidRPr="0024327D">
        <w:rPr>
          <w:rFonts w:cs="Times New Roman"/>
          <w:b/>
          <w:sz w:val="23"/>
          <w:szCs w:val="23"/>
          <w:lang w:val="uk-UA"/>
        </w:rPr>
        <w:t>Права позичальник</w:t>
      </w:r>
      <w:r w:rsidR="00640F99" w:rsidRPr="0024327D">
        <w:rPr>
          <w:rFonts w:cs="Times New Roman"/>
          <w:b/>
          <w:sz w:val="23"/>
          <w:szCs w:val="23"/>
          <w:lang w:val="uk-UA"/>
        </w:rPr>
        <w:t>ів</w:t>
      </w:r>
    </w:p>
    <w:p w14:paraId="54111749" w14:textId="3E8930F5" w:rsidR="00723820" w:rsidRPr="0024327D" w:rsidRDefault="00E351A3" w:rsidP="00723820">
      <w:pPr>
        <w:rPr>
          <w:lang w:val="uk-UA"/>
        </w:rPr>
      </w:pPr>
      <w:r w:rsidRPr="0024327D">
        <w:rPr>
          <w:lang w:val="uk-UA"/>
        </w:rPr>
        <w:t xml:space="preserve">Важливо, щоб включення іпотечного кредиту до </w:t>
      </w:r>
      <w:r w:rsidR="002A59E7" w:rsidRPr="0024327D">
        <w:rPr>
          <w:lang w:val="uk-UA"/>
        </w:rPr>
        <w:t>п</w:t>
      </w:r>
      <w:r w:rsidRPr="0024327D">
        <w:rPr>
          <w:lang w:val="uk-UA"/>
        </w:rPr>
        <w:t xml:space="preserve">улу </w:t>
      </w:r>
      <w:r w:rsidR="00CF1894" w:rsidRPr="0024327D">
        <w:rPr>
          <w:lang w:val="uk-UA"/>
        </w:rPr>
        <w:t xml:space="preserve">покриття </w:t>
      </w:r>
      <w:r w:rsidRPr="0024327D">
        <w:rPr>
          <w:lang w:val="uk-UA"/>
        </w:rPr>
        <w:t xml:space="preserve">жодним чином не порушувало права позичальника, у тому числі його права на </w:t>
      </w:r>
      <w:r w:rsidR="00DA2A2D" w:rsidRPr="0024327D">
        <w:rPr>
          <w:lang w:val="uk-UA"/>
        </w:rPr>
        <w:t xml:space="preserve">збереження </w:t>
      </w:r>
      <w:r w:rsidRPr="0024327D">
        <w:rPr>
          <w:lang w:val="uk-UA"/>
        </w:rPr>
        <w:t>банківськ</w:t>
      </w:r>
      <w:r w:rsidR="00DA2A2D" w:rsidRPr="0024327D">
        <w:rPr>
          <w:lang w:val="uk-UA"/>
        </w:rPr>
        <w:t>ої</w:t>
      </w:r>
      <w:r w:rsidRPr="0024327D">
        <w:rPr>
          <w:lang w:val="uk-UA"/>
        </w:rPr>
        <w:t xml:space="preserve"> таємниц</w:t>
      </w:r>
      <w:r w:rsidR="00DA2A2D" w:rsidRPr="0024327D">
        <w:rPr>
          <w:lang w:val="uk-UA"/>
        </w:rPr>
        <w:t>і</w:t>
      </w:r>
      <w:r w:rsidRPr="0024327D">
        <w:rPr>
          <w:lang w:val="uk-UA"/>
        </w:rPr>
        <w:t>, права на обговорення умов нових банківських продуктів (</w:t>
      </w:r>
      <w:r w:rsidR="004D2E13" w:rsidRPr="0024327D">
        <w:rPr>
          <w:lang w:val="uk-UA"/>
        </w:rPr>
        <w:t xml:space="preserve">наприклад, право змінити договір, </w:t>
      </w:r>
      <w:r w:rsidR="00D87471" w:rsidRPr="0024327D">
        <w:rPr>
          <w:lang w:val="uk-UA"/>
        </w:rPr>
        <w:t xml:space="preserve">у тому числі просити новий іпотечний продукт, </w:t>
      </w:r>
      <w:r w:rsidRPr="0024327D">
        <w:rPr>
          <w:lang w:val="uk-UA"/>
        </w:rPr>
        <w:t xml:space="preserve">якщо закон дає позичальнику таке право), і не позбавляло </w:t>
      </w:r>
      <w:r w:rsidR="00D44621" w:rsidRPr="0024327D">
        <w:rPr>
          <w:lang w:val="uk-UA"/>
        </w:rPr>
        <w:t xml:space="preserve">прав за законодавством </w:t>
      </w:r>
      <w:r w:rsidRPr="0024327D">
        <w:rPr>
          <w:lang w:val="uk-UA"/>
        </w:rPr>
        <w:t xml:space="preserve">про захист прав споживачів. </w:t>
      </w:r>
      <w:r w:rsidR="00723820" w:rsidRPr="0024327D">
        <w:rPr>
          <w:lang w:val="uk-UA"/>
        </w:rPr>
        <w:t xml:space="preserve">Необхідно мати </w:t>
      </w:r>
      <w:r w:rsidR="009E252D" w:rsidRPr="0024327D">
        <w:rPr>
          <w:lang w:val="uk-UA"/>
        </w:rPr>
        <w:t>механізми</w:t>
      </w:r>
      <w:r w:rsidR="00723820" w:rsidRPr="0024327D">
        <w:rPr>
          <w:lang w:val="uk-UA"/>
        </w:rPr>
        <w:t xml:space="preserve"> захисту, які б гарантували, що стан жодного позичальника не погіршиться </w:t>
      </w:r>
      <w:r w:rsidR="007F4D10" w:rsidRPr="0024327D">
        <w:rPr>
          <w:lang w:val="uk-UA"/>
        </w:rPr>
        <w:t xml:space="preserve">внаслідок включення </w:t>
      </w:r>
      <w:r w:rsidR="00723820" w:rsidRPr="0024327D">
        <w:rPr>
          <w:lang w:val="uk-UA"/>
        </w:rPr>
        <w:t>його</w:t>
      </w:r>
      <w:r w:rsidR="00FC1114" w:rsidRPr="0024327D">
        <w:rPr>
          <w:lang w:val="uk-UA"/>
        </w:rPr>
        <w:t xml:space="preserve"> заборгованості</w:t>
      </w:r>
      <w:r w:rsidR="00723820" w:rsidRPr="0024327D">
        <w:rPr>
          <w:lang w:val="uk-UA"/>
        </w:rPr>
        <w:t xml:space="preserve"> у </w:t>
      </w:r>
      <w:r w:rsidR="00CF1894" w:rsidRPr="0024327D">
        <w:rPr>
          <w:lang w:val="uk-UA"/>
        </w:rPr>
        <w:t>п</w:t>
      </w:r>
      <w:r w:rsidR="00723820" w:rsidRPr="0024327D">
        <w:rPr>
          <w:lang w:val="uk-UA"/>
        </w:rPr>
        <w:t xml:space="preserve">ул </w:t>
      </w:r>
      <w:r w:rsidR="00CF1894" w:rsidRPr="0024327D">
        <w:rPr>
          <w:lang w:val="uk-UA"/>
        </w:rPr>
        <w:t>покриття</w:t>
      </w:r>
      <w:r w:rsidR="00723820" w:rsidRPr="0024327D">
        <w:rPr>
          <w:lang w:val="uk-UA"/>
        </w:rPr>
        <w:t>.</w:t>
      </w:r>
    </w:p>
    <w:p w14:paraId="70358874" w14:textId="31518EA8" w:rsidR="00BA613A" w:rsidRPr="0024327D" w:rsidRDefault="00D44621" w:rsidP="00501D25">
      <w:pPr>
        <w:rPr>
          <w:b/>
          <w:lang w:val="uk-UA"/>
        </w:rPr>
      </w:pPr>
      <w:r w:rsidRPr="0024327D">
        <w:rPr>
          <w:b/>
          <w:lang w:val="uk-UA"/>
        </w:rPr>
        <w:t>Субординація</w:t>
      </w:r>
    </w:p>
    <w:p w14:paraId="21F91F81" w14:textId="12B4027B" w:rsidR="0079159F" w:rsidRPr="0024327D" w:rsidRDefault="00620B54" w:rsidP="00501D25">
      <w:pPr>
        <w:rPr>
          <w:lang w:val="uk-UA"/>
        </w:rPr>
      </w:pPr>
      <w:r w:rsidRPr="0024327D">
        <w:rPr>
          <w:lang w:val="uk-UA"/>
        </w:rPr>
        <w:t xml:space="preserve">Відокремлення </w:t>
      </w:r>
      <w:r w:rsidR="0079159F" w:rsidRPr="0024327D">
        <w:rPr>
          <w:lang w:val="uk-UA"/>
        </w:rPr>
        <w:t xml:space="preserve">активів на користь одного класу кредиторів потенційно створює певний ступінь </w:t>
      </w:r>
      <w:r w:rsidR="00D44621" w:rsidRPr="0024327D">
        <w:rPr>
          <w:lang w:val="uk-UA"/>
        </w:rPr>
        <w:t xml:space="preserve">субординації </w:t>
      </w:r>
      <w:r w:rsidR="0079159F" w:rsidRPr="0024327D">
        <w:rPr>
          <w:lang w:val="uk-UA"/>
        </w:rPr>
        <w:t>для незабезпечених кредиторів. Крім того, це зменшує запас високоякісних іпотечних активів, які можуть</w:t>
      </w:r>
      <w:r w:rsidR="00D71082" w:rsidRPr="0024327D">
        <w:rPr>
          <w:lang w:val="uk-UA"/>
        </w:rPr>
        <w:t xml:space="preserve"> </w:t>
      </w:r>
      <w:r w:rsidR="0079159F" w:rsidRPr="0024327D">
        <w:rPr>
          <w:lang w:val="uk-UA"/>
        </w:rPr>
        <w:t>використовуватися</w:t>
      </w:r>
      <w:r w:rsidR="00D71082" w:rsidRPr="0024327D">
        <w:rPr>
          <w:lang w:val="uk-UA"/>
        </w:rPr>
        <w:t xml:space="preserve">, наприклад, </w:t>
      </w:r>
      <w:r w:rsidR="0079159F" w:rsidRPr="0024327D">
        <w:rPr>
          <w:lang w:val="uk-UA"/>
        </w:rPr>
        <w:t>як забезпечення для кредитів</w:t>
      </w:r>
      <w:r w:rsidR="00480F2D" w:rsidRPr="0024327D">
        <w:rPr>
          <w:lang w:val="uk-UA"/>
        </w:rPr>
        <w:t xml:space="preserve"> </w:t>
      </w:r>
      <w:r w:rsidR="00376907" w:rsidRPr="0024327D">
        <w:rPr>
          <w:lang w:val="uk-UA"/>
        </w:rPr>
        <w:t>з підтримки ліквідності</w:t>
      </w:r>
      <w:r w:rsidR="0079159F" w:rsidRPr="0024327D">
        <w:rPr>
          <w:lang w:val="uk-UA"/>
        </w:rPr>
        <w:t>, що надаються центральним банком.</w:t>
      </w:r>
    </w:p>
    <w:p w14:paraId="0D3999A6" w14:textId="3027ED37" w:rsidR="006B176A" w:rsidRPr="0024327D" w:rsidRDefault="00D71082" w:rsidP="00501D25">
      <w:pPr>
        <w:rPr>
          <w:b/>
          <w:lang w:val="uk-UA"/>
        </w:rPr>
      </w:pPr>
      <w:r w:rsidRPr="0024327D">
        <w:rPr>
          <w:lang w:val="uk-UA"/>
        </w:rPr>
        <w:t>У деяких юрисдикціях проблема такого ризику вирішується шляхом обмеження кількості облігацій</w:t>
      </w:r>
      <w:r w:rsidR="00376907" w:rsidRPr="0024327D">
        <w:rPr>
          <w:lang w:val="uk-UA"/>
        </w:rPr>
        <w:t xml:space="preserve"> з покриттям</w:t>
      </w:r>
      <w:r w:rsidRPr="0024327D">
        <w:rPr>
          <w:lang w:val="uk-UA"/>
        </w:rPr>
        <w:t>, як</w:t>
      </w:r>
      <w:r w:rsidR="00592651" w:rsidRPr="0024327D">
        <w:rPr>
          <w:lang w:val="uk-UA"/>
        </w:rPr>
        <w:t>у</w:t>
      </w:r>
      <w:r w:rsidRPr="0024327D">
        <w:rPr>
          <w:lang w:val="uk-UA"/>
        </w:rPr>
        <w:t xml:space="preserve"> </w:t>
      </w:r>
      <w:r w:rsidR="00592651" w:rsidRPr="0024327D">
        <w:rPr>
          <w:lang w:val="uk-UA"/>
        </w:rPr>
        <w:t xml:space="preserve">дозволяється </w:t>
      </w:r>
      <w:r w:rsidRPr="0024327D">
        <w:rPr>
          <w:lang w:val="uk-UA"/>
        </w:rPr>
        <w:t>випу</w:t>
      </w:r>
      <w:r w:rsidR="00592651" w:rsidRPr="0024327D">
        <w:rPr>
          <w:lang w:val="uk-UA"/>
        </w:rPr>
        <w:t>стити</w:t>
      </w:r>
      <w:r w:rsidRPr="0024327D">
        <w:rPr>
          <w:lang w:val="uk-UA"/>
        </w:rPr>
        <w:t xml:space="preserve">, певним відсотком від загального обсягу активів на балансі, або шляхом встановлення вимоги щодо певного мінімального рівня високоякісного необтяженого забезпечення або </w:t>
      </w:r>
      <w:r w:rsidR="001F5208" w:rsidRPr="0024327D">
        <w:rPr>
          <w:lang w:val="uk-UA"/>
        </w:rPr>
        <w:t>збільшення навантаження на капітал у випадку використання надмірної кількості активів для</w:t>
      </w:r>
      <w:r w:rsidR="004F17BC" w:rsidRPr="0024327D">
        <w:rPr>
          <w:lang w:val="uk-UA"/>
        </w:rPr>
        <w:t xml:space="preserve"> облігацій з покриттям.</w:t>
      </w:r>
      <w:r w:rsidRPr="0024327D">
        <w:rPr>
          <w:lang w:val="uk-UA"/>
        </w:rPr>
        <w:t xml:space="preserve"> Вибір з цих можливих варіантів з</w:t>
      </w:r>
      <w:r w:rsidR="0089798B" w:rsidRPr="0024327D">
        <w:rPr>
          <w:lang w:val="uk-UA"/>
        </w:rPr>
        <w:t xml:space="preserve">дійснюється </w:t>
      </w:r>
      <w:r w:rsidRPr="0024327D">
        <w:rPr>
          <w:lang w:val="uk-UA"/>
        </w:rPr>
        <w:t xml:space="preserve">з урахуванням ризику для емітента (наприклад, емітенти з </w:t>
      </w:r>
      <w:r w:rsidR="009E252D" w:rsidRPr="0024327D">
        <w:rPr>
          <w:lang w:val="uk-UA"/>
        </w:rPr>
        <w:t xml:space="preserve">доброю </w:t>
      </w:r>
      <w:r w:rsidRPr="0024327D">
        <w:rPr>
          <w:lang w:val="uk-UA"/>
        </w:rPr>
        <w:t>капіталізацією можуть випустити більше облігацій</w:t>
      </w:r>
      <w:r w:rsidR="00E53F86" w:rsidRPr="0024327D">
        <w:rPr>
          <w:lang w:val="uk-UA"/>
        </w:rPr>
        <w:t xml:space="preserve"> з покриттям</w:t>
      </w:r>
      <w:r w:rsidRPr="0024327D">
        <w:rPr>
          <w:lang w:val="uk-UA"/>
        </w:rPr>
        <w:t xml:space="preserve">, перш ніж </w:t>
      </w:r>
      <w:r w:rsidR="00E53F86" w:rsidRPr="0024327D">
        <w:rPr>
          <w:lang w:val="uk-UA"/>
        </w:rPr>
        <w:t>починає застосовуватись додаткове навантаження на капітал)</w:t>
      </w:r>
      <w:r w:rsidR="00960A95" w:rsidRPr="0024327D">
        <w:rPr>
          <w:lang w:val="uk-UA"/>
        </w:rPr>
        <w:t>.</w:t>
      </w:r>
    </w:p>
    <w:p w14:paraId="58219B09" w14:textId="78C3A609" w:rsidR="0089798B" w:rsidRPr="0024327D" w:rsidRDefault="00A4799C" w:rsidP="00501D25">
      <w:pPr>
        <w:rPr>
          <w:lang w:val="uk-UA"/>
        </w:rPr>
      </w:pPr>
      <w:r w:rsidRPr="0024327D">
        <w:rPr>
          <w:lang w:val="uk-UA"/>
        </w:rPr>
        <w:t>Щодо сек'юритизації н</w:t>
      </w:r>
      <w:r w:rsidR="0089798B" w:rsidRPr="0024327D">
        <w:rPr>
          <w:lang w:val="uk-UA"/>
        </w:rPr>
        <w:t xml:space="preserve">е існує співставних обмежень. Головним чином, це пов’язано з особливістю сек’юритизації </w:t>
      </w:r>
      <w:r w:rsidR="008335D2" w:rsidRPr="0024327D">
        <w:rPr>
          <w:lang w:val="uk-UA"/>
        </w:rPr>
        <w:t xml:space="preserve">у частині </w:t>
      </w:r>
      <w:r w:rsidR="0089798B" w:rsidRPr="0024327D">
        <w:rPr>
          <w:lang w:val="uk-UA"/>
        </w:rPr>
        <w:t xml:space="preserve">передачі ризику, пов’язаного з активами, інвесторам. Це, як правило, стимулює </w:t>
      </w:r>
      <w:r w:rsidR="00CF6642" w:rsidRPr="0024327D">
        <w:rPr>
          <w:lang w:val="uk-UA"/>
        </w:rPr>
        <w:t>ори</w:t>
      </w:r>
      <w:r w:rsidR="00F731CC" w:rsidRPr="0024327D">
        <w:rPr>
          <w:lang w:val="uk-UA"/>
        </w:rPr>
        <w:t>гінатора</w:t>
      </w:r>
      <w:r w:rsidR="00CF6642" w:rsidRPr="0024327D">
        <w:rPr>
          <w:lang w:val="uk-UA"/>
        </w:rPr>
        <w:t xml:space="preserve"> </w:t>
      </w:r>
      <w:r w:rsidR="0089798B" w:rsidRPr="0024327D">
        <w:rPr>
          <w:lang w:val="uk-UA"/>
        </w:rPr>
        <w:t xml:space="preserve">вносити гірші активи у сек'юритизований пул у зв’язку зі зменшенням ризику та послабленням вимог до капіталу. </w:t>
      </w:r>
      <w:r w:rsidR="00642903" w:rsidRPr="0024327D">
        <w:rPr>
          <w:lang w:val="uk-UA"/>
        </w:rPr>
        <w:t xml:space="preserve">Для вирішення цієї проблеми, Регламент </w:t>
      </w:r>
      <w:r w:rsidR="00642903" w:rsidRPr="0024327D">
        <w:rPr>
          <w:lang w:val="en-US"/>
        </w:rPr>
        <w:t>STS</w:t>
      </w:r>
      <w:r w:rsidR="00642903" w:rsidRPr="0024327D">
        <w:rPr>
          <w:rStyle w:val="af2"/>
          <w:lang w:val="en-US"/>
        </w:rPr>
        <w:footnoteReference w:id="21"/>
      </w:r>
      <w:r w:rsidR="00642903" w:rsidRPr="0024327D">
        <w:rPr>
          <w:lang w:val="uk-UA"/>
        </w:rPr>
        <w:t xml:space="preserve"> </w:t>
      </w:r>
      <w:r w:rsidR="009D54B6" w:rsidRPr="0024327D">
        <w:rPr>
          <w:lang w:val="uk-UA"/>
        </w:rPr>
        <w:t xml:space="preserve">передбачає заборону </w:t>
      </w:r>
      <w:r w:rsidR="001732D3" w:rsidRPr="0024327D">
        <w:rPr>
          <w:lang w:val="uk-UA"/>
        </w:rPr>
        <w:t>о</w:t>
      </w:r>
      <w:r w:rsidR="002F2770" w:rsidRPr="0024327D">
        <w:rPr>
          <w:lang w:val="uk-UA"/>
        </w:rPr>
        <w:t>ригінатор</w:t>
      </w:r>
      <w:r w:rsidR="009D54B6" w:rsidRPr="0024327D">
        <w:rPr>
          <w:lang w:val="uk-UA"/>
        </w:rPr>
        <w:t>ам передавати компанії спеціального призначення активи</w:t>
      </w:r>
      <w:r w:rsidR="00C960F2" w:rsidRPr="0024327D">
        <w:rPr>
          <w:lang w:val="uk-UA"/>
        </w:rPr>
        <w:t xml:space="preserve">, профіль кредитного ризику яких є вищий, </w:t>
      </w:r>
      <w:r w:rsidR="00D86507" w:rsidRPr="0024327D">
        <w:rPr>
          <w:lang w:val="uk-UA"/>
        </w:rPr>
        <w:t xml:space="preserve">порівняно з </w:t>
      </w:r>
      <w:r w:rsidR="00C960F2" w:rsidRPr="0024327D">
        <w:rPr>
          <w:lang w:val="uk-UA"/>
        </w:rPr>
        <w:t>інш</w:t>
      </w:r>
      <w:r w:rsidR="00D86507" w:rsidRPr="0024327D">
        <w:rPr>
          <w:lang w:val="uk-UA"/>
        </w:rPr>
        <w:t>ими</w:t>
      </w:r>
      <w:r w:rsidR="00C960F2" w:rsidRPr="0024327D">
        <w:rPr>
          <w:lang w:val="uk-UA"/>
        </w:rPr>
        <w:t xml:space="preserve"> актив</w:t>
      </w:r>
      <w:r w:rsidR="00D86507" w:rsidRPr="0024327D">
        <w:rPr>
          <w:lang w:val="uk-UA"/>
        </w:rPr>
        <w:t>ами</w:t>
      </w:r>
      <w:r w:rsidR="00C960F2" w:rsidRPr="0024327D">
        <w:rPr>
          <w:lang w:val="uk-UA"/>
        </w:rPr>
        <w:t xml:space="preserve">, що знаходяться на балансі </w:t>
      </w:r>
      <w:r w:rsidR="001732D3" w:rsidRPr="0024327D">
        <w:rPr>
          <w:lang w:val="uk-UA"/>
        </w:rPr>
        <w:t>о</w:t>
      </w:r>
      <w:r w:rsidR="00C960F2" w:rsidRPr="0024327D">
        <w:rPr>
          <w:lang w:val="uk-UA"/>
        </w:rPr>
        <w:t xml:space="preserve">ригінатора, без </w:t>
      </w:r>
      <w:r w:rsidR="00D86507" w:rsidRPr="0024327D">
        <w:rPr>
          <w:lang w:val="uk-UA"/>
        </w:rPr>
        <w:t>повідомлення про це інвесторів та потенційних інвесторів.</w:t>
      </w:r>
    </w:p>
    <w:p w14:paraId="649B2FB0" w14:textId="771292FF" w:rsidR="005025E0" w:rsidRPr="0024327D" w:rsidRDefault="005025E0" w:rsidP="00501D25">
      <w:pPr>
        <w:rPr>
          <w:lang w:val="uk-UA"/>
        </w:rPr>
      </w:pPr>
      <w:r w:rsidRPr="0024327D">
        <w:rPr>
          <w:lang w:val="uk-UA"/>
        </w:rPr>
        <w:t>У цьому полягає відмінність від облігацій з покриттям, у зв’язку з якими на додаток до включення в пул покриття з самого початку тільки найкращих активів, вимагається ще й виключати з пулу погані активи та заміняти їх на якісні, а це ще більш небезпечно для кредиторів емітента.</w:t>
      </w:r>
    </w:p>
    <w:p w14:paraId="1DB9D0D6" w14:textId="4AECD4C5" w:rsidR="004339B4" w:rsidRPr="0024327D" w:rsidRDefault="009E252D" w:rsidP="000E107C">
      <w:pPr>
        <w:pStyle w:val="2"/>
        <w:rPr>
          <w:lang w:val="uk-UA"/>
        </w:rPr>
      </w:pPr>
      <w:bookmarkStart w:id="48" w:name="_Toc95480983"/>
      <w:r w:rsidRPr="0024327D">
        <w:rPr>
          <w:lang w:val="uk-UA"/>
        </w:rPr>
        <w:lastRenderedPageBreak/>
        <w:t>Механізм</w:t>
      </w:r>
      <w:r w:rsidR="006C2B38" w:rsidRPr="0024327D">
        <w:rPr>
          <w:lang w:val="uk-UA"/>
        </w:rPr>
        <w:t>и захисту</w:t>
      </w:r>
      <w:bookmarkEnd w:id="48"/>
    </w:p>
    <w:p w14:paraId="779CC801" w14:textId="6D3DB042" w:rsidR="006C2B38" w:rsidRPr="0024327D" w:rsidRDefault="006C2B38" w:rsidP="00501D25">
      <w:pPr>
        <w:rPr>
          <w:lang w:val="uk-UA"/>
        </w:rPr>
      </w:pPr>
      <w:r w:rsidRPr="0024327D">
        <w:rPr>
          <w:lang w:val="uk-UA"/>
        </w:rPr>
        <w:t xml:space="preserve">З точки зору позичальника, чия позика включена в пул, при використанні таких структур як сек’юритизація або </w:t>
      </w:r>
      <w:r w:rsidR="00645A85" w:rsidRPr="0024327D">
        <w:rPr>
          <w:lang w:val="uk-UA"/>
        </w:rPr>
        <w:t>облігації з покриттям</w:t>
      </w:r>
      <w:r w:rsidRPr="0024327D">
        <w:rPr>
          <w:lang w:val="uk-UA"/>
        </w:rPr>
        <w:t xml:space="preserve"> слід мати певні </w:t>
      </w:r>
      <w:r w:rsidR="009E252D" w:rsidRPr="0024327D">
        <w:rPr>
          <w:lang w:val="uk-UA"/>
        </w:rPr>
        <w:t>механізми</w:t>
      </w:r>
      <w:r w:rsidRPr="0024327D">
        <w:rPr>
          <w:lang w:val="uk-UA"/>
        </w:rPr>
        <w:t xml:space="preserve"> захисту, щоб гарантувати, що включення до пулу жодним чином не зашкодить їхнім правам як споживачів. Зокрема, це такі засоби захисту:</w:t>
      </w:r>
    </w:p>
    <w:p w14:paraId="56024BE4" w14:textId="74C1C6BD" w:rsidR="004339B4" w:rsidRPr="0024327D" w:rsidRDefault="006C2B38" w:rsidP="00501D25">
      <w:pPr>
        <w:pStyle w:val="a4"/>
        <w:numPr>
          <w:ilvl w:val="0"/>
          <w:numId w:val="2"/>
        </w:numPr>
        <w:rPr>
          <w:lang w:val="uk-UA"/>
        </w:rPr>
      </w:pPr>
      <w:r w:rsidRPr="0024327D">
        <w:rPr>
          <w:lang w:val="uk-UA"/>
        </w:rPr>
        <w:t>Їх</w:t>
      </w:r>
      <w:r w:rsidR="00922D39" w:rsidRPr="0024327D">
        <w:rPr>
          <w:lang w:val="uk-UA"/>
        </w:rPr>
        <w:t>ні</w:t>
      </w:r>
      <w:r w:rsidRPr="0024327D">
        <w:rPr>
          <w:lang w:val="uk-UA"/>
        </w:rPr>
        <w:t xml:space="preserve"> права на </w:t>
      </w:r>
      <w:r w:rsidR="00C93A2A" w:rsidRPr="0024327D">
        <w:rPr>
          <w:lang w:val="uk-UA"/>
        </w:rPr>
        <w:t xml:space="preserve">збереження </w:t>
      </w:r>
      <w:r w:rsidRPr="0024327D">
        <w:rPr>
          <w:lang w:val="uk-UA"/>
        </w:rPr>
        <w:t>банківськ</w:t>
      </w:r>
      <w:r w:rsidR="00C93A2A" w:rsidRPr="0024327D">
        <w:rPr>
          <w:lang w:val="uk-UA"/>
        </w:rPr>
        <w:t>ої</w:t>
      </w:r>
      <w:r w:rsidRPr="0024327D">
        <w:rPr>
          <w:lang w:val="uk-UA"/>
        </w:rPr>
        <w:t xml:space="preserve"> таємниц</w:t>
      </w:r>
      <w:r w:rsidR="00C93A2A" w:rsidRPr="0024327D">
        <w:rPr>
          <w:lang w:val="uk-UA"/>
        </w:rPr>
        <w:t>і</w:t>
      </w:r>
      <w:r w:rsidR="00C841F8" w:rsidRPr="0024327D">
        <w:rPr>
          <w:lang w:val="uk-UA"/>
        </w:rPr>
        <w:t>,</w:t>
      </w:r>
    </w:p>
    <w:p w14:paraId="31266071" w14:textId="72B6A601" w:rsidR="004339B4" w:rsidRPr="0024327D" w:rsidRDefault="006C2B38" w:rsidP="006C2B38">
      <w:pPr>
        <w:pStyle w:val="a4"/>
        <w:numPr>
          <w:ilvl w:val="0"/>
          <w:numId w:val="2"/>
        </w:numPr>
        <w:rPr>
          <w:lang w:val="uk-UA"/>
        </w:rPr>
      </w:pPr>
      <w:r w:rsidRPr="0024327D">
        <w:rPr>
          <w:lang w:val="uk-UA"/>
        </w:rPr>
        <w:t>їх</w:t>
      </w:r>
      <w:r w:rsidR="00922D39" w:rsidRPr="0024327D">
        <w:rPr>
          <w:lang w:val="uk-UA"/>
        </w:rPr>
        <w:t>н</w:t>
      </w:r>
      <w:r w:rsidR="00C93A2A" w:rsidRPr="0024327D">
        <w:rPr>
          <w:lang w:val="uk-UA"/>
        </w:rPr>
        <w:t>є</w:t>
      </w:r>
      <w:r w:rsidRPr="0024327D">
        <w:rPr>
          <w:lang w:val="uk-UA"/>
        </w:rPr>
        <w:t xml:space="preserve"> </w:t>
      </w:r>
      <w:r w:rsidR="00C93A2A" w:rsidRPr="0024327D">
        <w:rPr>
          <w:lang w:val="uk-UA"/>
        </w:rPr>
        <w:t>право на зарахування вимог</w:t>
      </w:r>
      <w:r w:rsidR="000C65B6" w:rsidRPr="0024327D">
        <w:rPr>
          <w:lang w:val="uk-UA"/>
        </w:rPr>
        <w:t xml:space="preserve"> банку за заборгованістю проти їх вимог до банку за депозитами</w:t>
      </w:r>
      <w:r w:rsidR="00F017B4" w:rsidRPr="0024327D">
        <w:rPr>
          <w:lang w:val="uk-UA"/>
        </w:rPr>
        <w:t xml:space="preserve"> у разі неплатоспроможності банку</w:t>
      </w:r>
      <w:r w:rsidR="000C65B6" w:rsidRPr="0024327D">
        <w:rPr>
          <w:lang w:val="uk-UA"/>
        </w:rPr>
        <w:t>,</w:t>
      </w:r>
      <w:r w:rsidR="004339B4" w:rsidRPr="0024327D">
        <w:rPr>
          <w:lang w:val="uk-UA"/>
        </w:rPr>
        <w:t xml:space="preserve"> </w:t>
      </w:r>
    </w:p>
    <w:p w14:paraId="284E9722" w14:textId="6BADB44E" w:rsidR="004339B4" w:rsidRPr="0024327D" w:rsidRDefault="001742E1" w:rsidP="00501D25">
      <w:pPr>
        <w:pStyle w:val="a4"/>
        <w:numPr>
          <w:ilvl w:val="0"/>
          <w:numId w:val="2"/>
        </w:numPr>
        <w:rPr>
          <w:lang w:val="uk-UA"/>
        </w:rPr>
      </w:pPr>
      <w:r w:rsidRPr="0024327D">
        <w:rPr>
          <w:lang w:val="uk-UA"/>
        </w:rPr>
        <w:t>Їх</w:t>
      </w:r>
      <w:r w:rsidR="00D0496D" w:rsidRPr="0024327D">
        <w:rPr>
          <w:lang w:val="uk-UA"/>
        </w:rPr>
        <w:t>ні</w:t>
      </w:r>
      <w:r w:rsidRPr="0024327D">
        <w:rPr>
          <w:lang w:val="uk-UA"/>
        </w:rPr>
        <w:t xml:space="preserve"> права на внесення змін у договори, наприклад, </w:t>
      </w:r>
      <w:r w:rsidR="000A3575" w:rsidRPr="0024327D">
        <w:rPr>
          <w:lang w:val="uk-UA"/>
        </w:rPr>
        <w:t xml:space="preserve">надання запиту на </w:t>
      </w:r>
      <w:r w:rsidRPr="0024327D">
        <w:rPr>
          <w:lang w:val="uk-UA"/>
        </w:rPr>
        <w:t>новий іпотечний продукт (якщо це дозволено їм за законом</w:t>
      </w:r>
      <w:r w:rsidR="006B176A" w:rsidRPr="0024327D">
        <w:rPr>
          <w:lang w:val="uk-UA"/>
        </w:rPr>
        <w:t>)</w:t>
      </w:r>
      <w:r w:rsidR="00C841F8" w:rsidRPr="0024327D">
        <w:rPr>
          <w:lang w:val="uk-UA"/>
        </w:rPr>
        <w:t xml:space="preserve">, </w:t>
      </w:r>
    </w:p>
    <w:p w14:paraId="6A08C326" w14:textId="777F817B" w:rsidR="004339B4" w:rsidRPr="0024327D" w:rsidRDefault="001742E1" w:rsidP="00501D25">
      <w:pPr>
        <w:pStyle w:val="a4"/>
        <w:numPr>
          <w:ilvl w:val="0"/>
          <w:numId w:val="2"/>
        </w:numPr>
        <w:rPr>
          <w:lang w:val="uk-UA"/>
        </w:rPr>
      </w:pPr>
      <w:r w:rsidRPr="0024327D">
        <w:rPr>
          <w:lang w:val="uk-UA"/>
        </w:rPr>
        <w:t>Їх</w:t>
      </w:r>
      <w:r w:rsidR="00D0496D" w:rsidRPr="0024327D">
        <w:rPr>
          <w:lang w:val="uk-UA"/>
        </w:rPr>
        <w:t>ні</w:t>
      </w:r>
      <w:r w:rsidRPr="0024327D">
        <w:rPr>
          <w:lang w:val="uk-UA"/>
        </w:rPr>
        <w:t xml:space="preserve"> права за законом про захист прав споживачів</w:t>
      </w:r>
      <w:r w:rsidR="00C841F8" w:rsidRPr="0024327D">
        <w:rPr>
          <w:lang w:val="uk-UA"/>
        </w:rPr>
        <w:t xml:space="preserve">. </w:t>
      </w:r>
    </w:p>
    <w:p w14:paraId="6D3373CD" w14:textId="02DA9D31" w:rsidR="004339B4" w:rsidRPr="0024327D" w:rsidRDefault="001742E1" w:rsidP="00501D25">
      <w:pPr>
        <w:rPr>
          <w:lang w:val="uk-UA"/>
        </w:rPr>
      </w:pPr>
      <w:r w:rsidRPr="0024327D">
        <w:rPr>
          <w:lang w:val="uk-UA"/>
        </w:rPr>
        <w:t xml:space="preserve">Іншим кредиторам установи-емітента слід забезпечити захист у формі правил нагляду, </w:t>
      </w:r>
      <w:r w:rsidR="001931C1" w:rsidRPr="0024327D">
        <w:rPr>
          <w:lang w:val="uk-UA"/>
        </w:rPr>
        <w:t xml:space="preserve">таких як </w:t>
      </w:r>
      <w:r w:rsidR="00871162" w:rsidRPr="0024327D">
        <w:rPr>
          <w:lang w:val="uk-UA"/>
        </w:rPr>
        <w:t>правила</w:t>
      </w:r>
      <w:r w:rsidR="001931C1" w:rsidRPr="0024327D">
        <w:rPr>
          <w:lang w:val="uk-UA"/>
        </w:rPr>
        <w:t xml:space="preserve">, </w:t>
      </w:r>
      <w:r w:rsidR="00124662" w:rsidRPr="0024327D">
        <w:rPr>
          <w:lang w:val="uk-UA"/>
        </w:rPr>
        <w:t xml:space="preserve">що </w:t>
      </w:r>
      <w:r w:rsidRPr="0024327D">
        <w:rPr>
          <w:lang w:val="uk-UA"/>
        </w:rPr>
        <w:t xml:space="preserve">обмежують випуск облігацій </w:t>
      </w:r>
      <w:r w:rsidR="000A3575" w:rsidRPr="0024327D">
        <w:rPr>
          <w:lang w:val="uk-UA"/>
        </w:rPr>
        <w:t xml:space="preserve">з покриттям </w:t>
      </w:r>
      <w:r w:rsidRPr="0024327D">
        <w:rPr>
          <w:lang w:val="uk-UA"/>
        </w:rPr>
        <w:t xml:space="preserve">понад певний </w:t>
      </w:r>
      <w:r w:rsidR="00DB3AAC" w:rsidRPr="0024327D">
        <w:rPr>
          <w:lang w:val="uk-UA"/>
        </w:rPr>
        <w:t xml:space="preserve">відсоток </w:t>
      </w:r>
      <w:r w:rsidR="005D7B2E" w:rsidRPr="0024327D">
        <w:rPr>
          <w:lang w:val="uk-UA"/>
        </w:rPr>
        <w:t xml:space="preserve">від </w:t>
      </w:r>
      <w:r w:rsidRPr="0024327D">
        <w:rPr>
          <w:lang w:val="uk-UA"/>
        </w:rPr>
        <w:t>загальн</w:t>
      </w:r>
      <w:r w:rsidR="00F34046" w:rsidRPr="0024327D">
        <w:rPr>
          <w:lang w:val="uk-UA"/>
        </w:rPr>
        <w:t>их активів на балансі</w:t>
      </w:r>
      <w:r w:rsidRPr="0024327D">
        <w:rPr>
          <w:lang w:val="uk-UA"/>
        </w:rPr>
        <w:t xml:space="preserve">. Такий рівень слід визначати з урахуванням коефіцієнтів капіталу </w:t>
      </w:r>
      <w:r w:rsidR="00B90888" w:rsidRPr="0024327D">
        <w:rPr>
          <w:lang w:val="uk-UA"/>
        </w:rPr>
        <w:t>емітента-</w:t>
      </w:r>
      <w:r w:rsidR="005D7B2E" w:rsidRPr="0024327D">
        <w:rPr>
          <w:lang w:val="uk-UA"/>
        </w:rPr>
        <w:t>юридичної особи</w:t>
      </w:r>
      <w:r w:rsidRPr="0024327D">
        <w:rPr>
          <w:lang w:val="uk-UA"/>
        </w:rPr>
        <w:t xml:space="preserve"> та ризиків і переваг</w:t>
      </w:r>
      <w:r w:rsidR="00366E26" w:rsidRPr="0024327D">
        <w:rPr>
          <w:lang w:val="uk-UA"/>
        </w:rPr>
        <w:t xml:space="preserve"> </w:t>
      </w:r>
      <w:r w:rsidR="00B74D0E" w:rsidRPr="0024327D">
        <w:rPr>
          <w:lang w:val="uk-UA"/>
        </w:rPr>
        <w:t>конкретного рівня випуску цінних паперів для загальної стабільності</w:t>
      </w:r>
      <w:r w:rsidR="00C841F8" w:rsidRPr="0024327D">
        <w:rPr>
          <w:lang w:val="uk-UA"/>
        </w:rPr>
        <w:t xml:space="preserve">. </w:t>
      </w:r>
    </w:p>
    <w:p w14:paraId="69EE67FF" w14:textId="50AE3057" w:rsidR="00C26436" w:rsidRPr="0024327D" w:rsidRDefault="00F3764C" w:rsidP="00501D25">
      <w:pPr>
        <w:pStyle w:val="1"/>
        <w:rPr>
          <w:lang w:val="uk-UA"/>
        </w:rPr>
      </w:pPr>
      <w:bookmarkStart w:id="49" w:name="_Toc95480984"/>
      <w:r w:rsidRPr="0024327D">
        <w:rPr>
          <w:lang w:val="uk-UA"/>
        </w:rPr>
        <w:lastRenderedPageBreak/>
        <w:t>Структурні складові</w:t>
      </w:r>
      <w:bookmarkEnd w:id="49"/>
    </w:p>
    <w:p w14:paraId="7A188A75" w14:textId="4FB40800" w:rsidR="00C26436" w:rsidRPr="0024327D" w:rsidRDefault="00F3764C" w:rsidP="002A17E0">
      <w:pPr>
        <w:pStyle w:val="2"/>
        <w:rPr>
          <w:lang w:val="uk-UA"/>
        </w:rPr>
      </w:pPr>
      <w:bookmarkStart w:id="50" w:name="_Toc6942241"/>
      <w:bookmarkStart w:id="51" w:name="_Toc5081029"/>
      <w:bookmarkStart w:id="52" w:name="_Toc27153440"/>
      <w:bookmarkStart w:id="53" w:name="_Toc95480985"/>
      <w:r w:rsidRPr="0024327D">
        <w:rPr>
          <w:lang w:val="uk-UA"/>
        </w:rPr>
        <w:t>Структурні складові ринку сек’юритизації</w:t>
      </w:r>
      <w:bookmarkEnd w:id="50"/>
      <w:bookmarkEnd w:id="51"/>
      <w:bookmarkEnd w:id="52"/>
      <w:bookmarkEnd w:id="53"/>
    </w:p>
    <w:p w14:paraId="1A84AF21" w14:textId="6ED4ABA7" w:rsidR="00430085" w:rsidRPr="0024327D" w:rsidRDefault="00F3764C" w:rsidP="00501D25">
      <w:pPr>
        <w:rPr>
          <w:lang w:val="uk-UA"/>
        </w:rPr>
      </w:pPr>
      <w:r w:rsidRPr="0024327D">
        <w:rPr>
          <w:lang w:val="uk-UA"/>
        </w:rPr>
        <w:t xml:space="preserve">У </w:t>
      </w:r>
      <w:r w:rsidR="00181273" w:rsidRPr="0024327D">
        <w:rPr>
          <w:lang w:val="uk-UA"/>
        </w:rPr>
        <w:t xml:space="preserve">переважній </w:t>
      </w:r>
      <w:r w:rsidRPr="0024327D">
        <w:rPr>
          <w:lang w:val="uk-UA"/>
        </w:rPr>
        <w:t xml:space="preserve">більшості випадків (крім синтетичної сек’юритизації, </w:t>
      </w:r>
      <w:r w:rsidR="00B90888" w:rsidRPr="0024327D">
        <w:rPr>
          <w:lang w:val="uk-UA"/>
        </w:rPr>
        <w:t>щодо</w:t>
      </w:r>
      <w:r w:rsidRPr="0024327D">
        <w:rPr>
          <w:lang w:val="uk-UA"/>
        </w:rPr>
        <w:t xml:space="preserve"> якої див. пункт</w:t>
      </w:r>
      <w:r w:rsidR="00EF257C" w:rsidRPr="0024327D">
        <w:rPr>
          <w:lang w:val="uk-UA"/>
        </w:rPr>
        <w:t xml:space="preserve"> 3.3.1</w:t>
      </w:r>
      <w:r w:rsidR="002533E7" w:rsidRPr="0024327D">
        <w:rPr>
          <w:lang w:val="uk-UA"/>
        </w:rPr>
        <w:t>)</w:t>
      </w:r>
      <w:r w:rsidR="00430085" w:rsidRPr="0024327D">
        <w:rPr>
          <w:lang w:val="uk-UA"/>
        </w:rPr>
        <w:t xml:space="preserve"> </w:t>
      </w:r>
      <w:r w:rsidRPr="0024327D">
        <w:rPr>
          <w:lang w:val="uk-UA"/>
        </w:rPr>
        <w:t>сек’юритизації структуровані за наведено</w:t>
      </w:r>
      <w:r w:rsidR="005918FA" w:rsidRPr="0024327D">
        <w:rPr>
          <w:lang w:val="uk-UA"/>
        </w:rPr>
        <w:t>ю</w:t>
      </w:r>
      <w:r w:rsidRPr="0024327D">
        <w:rPr>
          <w:lang w:val="uk-UA"/>
        </w:rPr>
        <w:t xml:space="preserve"> нижче схемою. Банк або інший суб’єкт господарювання, що </w:t>
      </w:r>
      <w:r w:rsidR="00DF0148" w:rsidRPr="0024327D">
        <w:rPr>
          <w:lang w:val="uk-UA"/>
        </w:rPr>
        <w:t xml:space="preserve">створив активи, передає їх якимось способом (на схемі показано </w:t>
      </w:r>
      <w:r w:rsidR="006228FD" w:rsidRPr="0024327D">
        <w:rPr>
          <w:lang w:val="uk-UA"/>
        </w:rPr>
        <w:t xml:space="preserve">відступлення права вимоги за </w:t>
      </w:r>
      <w:r w:rsidR="00DF0148" w:rsidRPr="0024327D">
        <w:rPr>
          <w:lang w:val="uk-UA"/>
        </w:rPr>
        <w:t>актив</w:t>
      </w:r>
      <w:r w:rsidR="006228FD" w:rsidRPr="0024327D">
        <w:rPr>
          <w:lang w:val="uk-UA"/>
        </w:rPr>
        <w:t>ами</w:t>
      </w:r>
      <w:r w:rsidR="00DF0148" w:rsidRPr="0024327D">
        <w:rPr>
          <w:lang w:val="uk-UA"/>
        </w:rPr>
        <w:t>; це спрощений варіант, який обговорюватиметься нижче) новоствореному суб’єкту господарювання (</w:t>
      </w:r>
      <w:r w:rsidR="00380AA1" w:rsidRPr="0024327D">
        <w:rPr>
          <w:lang w:val="uk-UA"/>
        </w:rPr>
        <w:t>к</w:t>
      </w:r>
      <w:r w:rsidR="00DF0148" w:rsidRPr="0024327D">
        <w:rPr>
          <w:lang w:val="uk-UA"/>
        </w:rPr>
        <w:t>омпанії спеціального призначення</w:t>
      </w:r>
      <w:r w:rsidR="00430085" w:rsidRPr="0024327D">
        <w:rPr>
          <w:lang w:val="uk-UA"/>
        </w:rPr>
        <w:t>)</w:t>
      </w:r>
      <w:r w:rsidR="00DF0148" w:rsidRPr="0024327D">
        <w:rPr>
          <w:lang w:val="uk-UA"/>
        </w:rPr>
        <w:t>, який фінансує передачу за рахунок продажу облігацій інвесторам</w:t>
      </w:r>
      <w:r w:rsidR="00430085" w:rsidRPr="0024327D">
        <w:rPr>
          <w:lang w:val="uk-UA"/>
        </w:rPr>
        <w:t xml:space="preserve">. </w:t>
      </w:r>
      <w:r w:rsidR="00DF0148" w:rsidRPr="0024327D">
        <w:rPr>
          <w:lang w:val="uk-UA"/>
        </w:rPr>
        <w:t xml:space="preserve">Ці облігації забезпечуються активами, а </w:t>
      </w:r>
      <w:r w:rsidR="00E03B8C" w:rsidRPr="0024327D">
        <w:rPr>
          <w:lang w:val="uk-UA"/>
        </w:rPr>
        <w:t xml:space="preserve">номінальна </w:t>
      </w:r>
      <w:r w:rsidR="00DF0148" w:rsidRPr="0024327D">
        <w:rPr>
          <w:lang w:val="uk-UA"/>
        </w:rPr>
        <w:t>вартість та</w:t>
      </w:r>
      <w:r w:rsidR="00336CA6" w:rsidRPr="0024327D">
        <w:rPr>
          <w:lang w:val="uk-UA"/>
        </w:rPr>
        <w:t xml:space="preserve"> відсотки</w:t>
      </w:r>
      <w:r w:rsidR="009E252D" w:rsidRPr="0024327D">
        <w:rPr>
          <w:lang w:val="uk-UA"/>
        </w:rPr>
        <w:t>,</w:t>
      </w:r>
      <w:r w:rsidR="00DF0148" w:rsidRPr="0024327D">
        <w:rPr>
          <w:lang w:val="uk-UA"/>
        </w:rPr>
        <w:t xml:space="preserve"> </w:t>
      </w:r>
      <w:r w:rsidR="009E252D" w:rsidRPr="0024327D">
        <w:rPr>
          <w:lang w:val="uk-UA"/>
        </w:rPr>
        <w:t xml:space="preserve">сплачувані </w:t>
      </w:r>
      <w:r w:rsidR="00DF0148" w:rsidRPr="0024327D">
        <w:rPr>
          <w:lang w:val="uk-UA"/>
        </w:rPr>
        <w:t>за цими облігаціями</w:t>
      </w:r>
      <w:r w:rsidR="009E252D" w:rsidRPr="0024327D">
        <w:rPr>
          <w:lang w:val="uk-UA"/>
        </w:rPr>
        <w:t>,</w:t>
      </w:r>
      <w:r w:rsidR="00DF0148" w:rsidRPr="0024327D">
        <w:rPr>
          <w:lang w:val="uk-UA"/>
        </w:rPr>
        <w:t xml:space="preserve"> залежатимуть від </w:t>
      </w:r>
      <w:r w:rsidR="00E03B8C" w:rsidRPr="0024327D">
        <w:rPr>
          <w:lang w:val="uk-UA"/>
        </w:rPr>
        <w:t xml:space="preserve">виплат за </w:t>
      </w:r>
      <w:r w:rsidR="00DF0148" w:rsidRPr="0024327D">
        <w:rPr>
          <w:lang w:val="uk-UA"/>
        </w:rPr>
        <w:t>актив</w:t>
      </w:r>
      <w:r w:rsidR="00E03B8C" w:rsidRPr="0024327D">
        <w:rPr>
          <w:lang w:val="uk-UA"/>
        </w:rPr>
        <w:t>ами, включеними до складу забезпечення</w:t>
      </w:r>
      <w:r w:rsidR="0097216B" w:rsidRPr="0024327D">
        <w:rPr>
          <w:lang w:val="uk-UA"/>
        </w:rPr>
        <w:t>.</w:t>
      </w:r>
    </w:p>
    <w:p w14:paraId="23D2732F" w14:textId="32B9B2A0" w:rsidR="008335D2" w:rsidRPr="0024327D" w:rsidRDefault="008335D2" w:rsidP="00501D25">
      <w:pPr>
        <w:rPr>
          <w:lang w:val="uk-UA"/>
        </w:rPr>
      </w:pPr>
      <w:r w:rsidRPr="0024327D">
        <w:rPr>
          <w:noProof/>
          <w:lang w:val="uk-UA" w:eastAsia="uk-UA"/>
        </w:rPr>
        <mc:AlternateContent>
          <mc:Choice Requires="wps">
            <w:drawing>
              <wp:anchor distT="0" distB="0" distL="114300" distR="114300" simplePos="0" relativeHeight="251658240" behindDoc="0" locked="0" layoutInCell="1" allowOverlap="1" wp14:anchorId="21DE7F7E" wp14:editId="26A07EE0">
                <wp:simplePos x="0" y="0"/>
                <wp:positionH relativeFrom="margin">
                  <wp:align>left</wp:align>
                </wp:positionH>
                <wp:positionV relativeFrom="paragraph">
                  <wp:posOffset>93345</wp:posOffset>
                </wp:positionV>
                <wp:extent cx="2000885" cy="335604"/>
                <wp:effectExtent l="0" t="0" r="18415" b="26670"/>
                <wp:wrapNone/>
                <wp:docPr id="1" name="Rectangle 1"/>
                <wp:cNvGraphicFramePr/>
                <a:graphic xmlns:a="http://schemas.openxmlformats.org/drawingml/2006/main">
                  <a:graphicData uri="http://schemas.microsoft.com/office/word/2010/wordprocessingShape">
                    <wps:wsp>
                      <wps:cNvSpPr/>
                      <wps:spPr>
                        <a:xfrm>
                          <a:off x="0" y="0"/>
                          <a:ext cx="2000885" cy="33560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40D2F" w14:textId="53926C1A" w:rsidR="005634FA" w:rsidRPr="00F3764C" w:rsidRDefault="005634FA" w:rsidP="00563325">
                            <w:pPr>
                              <w:spacing w:before="0" w:after="0"/>
                              <w:jc w:val="center"/>
                              <w:rPr>
                                <w:color w:val="000000" w:themeColor="text1"/>
                                <w:sz w:val="26"/>
                                <w:szCs w:val="26"/>
                                <w:lang w:val="uk-UA"/>
                              </w:rPr>
                            </w:pPr>
                            <w:r w:rsidRPr="000F68CD">
                              <w:rPr>
                                <w:b/>
                                <w:bCs/>
                                <w:color w:val="000000" w:themeColor="text1"/>
                                <w:sz w:val="26"/>
                                <w:szCs w:val="26"/>
                                <w:lang w:val="uk-UA"/>
                              </w:rPr>
                              <w:t>ОРИГІНАТОР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7F7E" id="Rectangle 1" o:spid="_x0000_s1026" style="position:absolute;left:0;text-align:left;margin-left:0;margin-top:7.35pt;width:157.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" fillcolor="#bdd6ee [1300]" strokecolor="#1f4d78 [1604]" strokeweight="1pt">
                <v:textbox>
                  <w:txbxContent>
                    <w:p w14:paraId="2EA40D2F" w14:textId="53926C1A" w:rsidR="005634FA" w:rsidRPr="00F3764C" w:rsidRDefault="005634FA" w:rsidP="00563325">
                      <w:pPr>
                        <w:spacing w:before="0" w:after="0"/>
                        <w:jc w:val="center"/>
                        <w:rPr>
                          <w:color w:val="000000" w:themeColor="text1"/>
                          <w:sz w:val="26"/>
                          <w:szCs w:val="26"/>
                          <w:lang w:val="uk-UA"/>
                        </w:rPr>
                      </w:pPr>
                      <w:r w:rsidRPr="000F68CD">
                        <w:rPr>
                          <w:b/>
                          <w:bCs/>
                          <w:color w:val="000000" w:themeColor="text1"/>
                          <w:sz w:val="26"/>
                          <w:szCs w:val="26"/>
                          <w:lang w:val="uk-UA"/>
                        </w:rPr>
                        <w:t>ОРИГІНАТОР</w:t>
                      </w:r>
                    </w:p>
                  </w:txbxContent>
                </v:textbox>
                <w10:wrap anchorx="margin"/>
              </v:rect>
            </w:pict>
          </mc:Fallback>
        </mc:AlternateContent>
      </w:r>
    </w:p>
    <w:p w14:paraId="2B8B650F" w14:textId="34849BFD" w:rsidR="008335D2" w:rsidRPr="0024327D" w:rsidRDefault="004B26B2" w:rsidP="00501D25">
      <w:pPr>
        <w:rPr>
          <w:lang w:val="uk-UA"/>
        </w:rPr>
      </w:pPr>
      <w:r w:rsidRPr="0024327D">
        <w:rPr>
          <w:noProof/>
          <w:lang w:val="uk-UA" w:eastAsia="uk-UA"/>
        </w:rPr>
        <mc:AlternateContent>
          <mc:Choice Requires="wps">
            <w:drawing>
              <wp:anchor distT="0" distB="0" distL="114300" distR="114300" simplePos="0" relativeHeight="251658263" behindDoc="0" locked="0" layoutInCell="1" allowOverlap="1" wp14:anchorId="50468479" wp14:editId="4A1B5853">
                <wp:simplePos x="0" y="0"/>
                <wp:positionH relativeFrom="column">
                  <wp:posOffset>153670</wp:posOffset>
                </wp:positionH>
                <wp:positionV relativeFrom="paragraph">
                  <wp:posOffset>87630</wp:posOffset>
                </wp:positionV>
                <wp:extent cx="1727200" cy="603250"/>
                <wp:effectExtent l="0" t="0" r="0" b="0"/>
                <wp:wrapNone/>
                <wp:docPr id="5" name="Rectangle 5"/>
                <wp:cNvGraphicFramePr/>
                <a:graphic xmlns:a="http://schemas.openxmlformats.org/drawingml/2006/main">
                  <a:graphicData uri="http://schemas.microsoft.com/office/word/2010/wordprocessingShape">
                    <wps:wsp>
                      <wps:cNvSpPr/>
                      <wps:spPr>
                        <a:xfrm>
                          <a:off x="0" y="0"/>
                          <a:ext cx="1727200" cy="603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28549" w14:textId="335ACB6D" w:rsidR="005634FA" w:rsidRPr="000F68CD" w:rsidRDefault="005634FA" w:rsidP="004B26B2">
                            <w:pPr>
                              <w:jc w:val="center"/>
                              <w:rPr>
                                <w:b/>
                                <w:bCs/>
                                <w:color w:val="000000" w:themeColor="text1"/>
                                <w:sz w:val="24"/>
                                <w:szCs w:val="24"/>
                                <w:lang w:val="uk-UA"/>
                              </w:rPr>
                            </w:pPr>
                            <w:r w:rsidRPr="000F68CD">
                              <w:rPr>
                                <w:b/>
                                <w:bCs/>
                                <w:color w:val="000000" w:themeColor="text1"/>
                                <w:sz w:val="24"/>
                                <w:szCs w:val="24"/>
                                <w:lang w:val="uk-UA"/>
                              </w:rPr>
                              <w:t xml:space="preserve">Відступлення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8479" id="Rectangle 5" o:spid="_x0000_s1027" style="position:absolute;left:0;text-align:left;margin-left:12.1pt;margin-top:6.9pt;width:136pt;height:4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" filled="f" stroked="f" strokeweight="1pt">
                <v:textbox>
                  <w:txbxContent>
                    <w:p w14:paraId="0E728549" w14:textId="335ACB6D" w:rsidR="005634FA" w:rsidRPr="000F68CD" w:rsidRDefault="005634FA" w:rsidP="004B26B2">
                      <w:pPr>
                        <w:jc w:val="center"/>
                        <w:rPr>
                          <w:b/>
                          <w:bCs/>
                          <w:color w:val="000000" w:themeColor="text1"/>
                          <w:sz w:val="24"/>
                          <w:szCs w:val="24"/>
                          <w:lang w:val="uk-UA"/>
                        </w:rPr>
                      </w:pPr>
                      <w:r w:rsidRPr="000F68CD">
                        <w:rPr>
                          <w:b/>
                          <w:bCs/>
                          <w:color w:val="000000" w:themeColor="text1"/>
                          <w:sz w:val="24"/>
                          <w:szCs w:val="24"/>
                          <w:lang w:val="uk-UA"/>
                        </w:rPr>
                        <w:t xml:space="preserve">Відступлення </w:t>
                      </w:r>
                    </w:p>
                  </w:txbxContent>
                </v:textbox>
              </v:rect>
            </w:pict>
          </mc:Fallback>
        </mc:AlternateContent>
      </w:r>
      <w:r w:rsidR="00563325" w:rsidRPr="0024327D">
        <w:rPr>
          <w:noProof/>
          <w:lang w:val="uk-UA" w:eastAsia="uk-UA"/>
        </w:rPr>
        <mc:AlternateContent>
          <mc:Choice Requires="wps">
            <w:drawing>
              <wp:anchor distT="0" distB="0" distL="114300" distR="114300" simplePos="0" relativeHeight="251658254" behindDoc="0" locked="0" layoutInCell="1" allowOverlap="1" wp14:anchorId="76AC9032" wp14:editId="1677E45A">
                <wp:simplePos x="0" y="0"/>
                <wp:positionH relativeFrom="column">
                  <wp:posOffset>305800</wp:posOffset>
                </wp:positionH>
                <wp:positionV relativeFrom="paragraph">
                  <wp:posOffset>175584</wp:posOffset>
                </wp:positionV>
                <wp:extent cx="0" cy="481519"/>
                <wp:effectExtent l="57150" t="0" r="57150" b="52070"/>
                <wp:wrapNone/>
                <wp:docPr id="33" name="Straight Arrow Connector 33"/>
                <wp:cNvGraphicFramePr/>
                <a:graphic xmlns:a="http://schemas.openxmlformats.org/drawingml/2006/main">
                  <a:graphicData uri="http://schemas.microsoft.com/office/word/2010/wordprocessingShape">
                    <wps:wsp>
                      <wps:cNvCnPr/>
                      <wps:spPr>
                        <a:xfrm>
                          <a:off x="0" y="0"/>
                          <a:ext cx="0" cy="481519"/>
                        </a:xfrm>
                        <a:prstGeom prst="straightConnector1">
                          <a:avLst/>
                        </a:prstGeom>
                        <a:ln w="28575" cmpd="sng">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46C248" id="_x0000_t32" coordsize="21600,21600" o:spt="32" o:oned="t" path="m,l21600,21600e" filled="f">
                <v:path arrowok="t" fillok="f" o:connecttype="none"/>
                <o:lock v:ext="edit" shapetype="t"/>
              </v:shapetype>
              <v:shape id="Straight Arrow Connector 33" o:spid="_x0000_s1026" type="#_x0000_t32" style="position:absolute;margin-left:24.1pt;margin-top:13.85pt;width:0;height:37.9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" strokecolor="#5b9bd5 [3204]" strokeweight="2.25pt">
                <v:stroke endarrow="block" joinstyle="miter"/>
              </v:shape>
            </w:pict>
          </mc:Fallback>
        </mc:AlternateContent>
      </w:r>
    </w:p>
    <w:p w14:paraId="2C087FA8" w14:textId="27245078" w:rsidR="008335D2" w:rsidRPr="0024327D" w:rsidRDefault="008335D2" w:rsidP="00501D25">
      <w:pPr>
        <w:rPr>
          <w:lang w:val="uk-UA"/>
        </w:rPr>
      </w:pPr>
    </w:p>
    <w:p w14:paraId="35348E7D" w14:textId="7937F230" w:rsidR="008335D2" w:rsidRPr="0024327D" w:rsidRDefault="00380AA1" w:rsidP="00501D25">
      <w:pPr>
        <w:rPr>
          <w:lang w:val="uk-UA"/>
        </w:rPr>
      </w:pPr>
      <w:r w:rsidRPr="0024327D">
        <w:rPr>
          <w:noProof/>
          <w:lang w:val="uk-UA" w:eastAsia="uk-UA"/>
        </w:rPr>
        <mc:AlternateContent>
          <mc:Choice Requires="wps">
            <w:drawing>
              <wp:anchor distT="0" distB="0" distL="114300" distR="114300" simplePos="0" relativeHeight="251658244" behindDoc="0" locked="0" layoutInCell="1" allowOverlap="1" wp14:anchorId="4C2DD31B" wp14:editId="0E8D980C">
                <wp:simplePos x="0" y="0"/>
                <wp:positionH relativeFrom="column">
                  <wp:posOffset>1998450</wp:posOffset>
                </wp:positionH>
                <wp:positionV relativeFrom="paragraph">
                  <wp:posOffset>196390</wp:posOffset>
                </wp:positionV>
                <wp:extent cx="1224000" cy="341235"/>
                <wp:effectExtent l="0" t="0" r="0" b="0"/>
                <wp:wrapNone/>
                <wp:docPr id="11" name="Rectangle 11"/>
                <wp:cNvGraphicFramePr/>
                <a:graphic xmlns:a="http://schemas.openxmlformats.org/drawingml/2006/main">
                  <a:graphicData uri="http://schemas.microsoft.com/office/word/2010/wordprocessingShape">
                    <wps:wsp>
                      <wps:cNvSpPr/>
                      <wps:spPr>
                        <a:xfrm>
                          <a:off x="0" y="0"/>
                          <a:ext cx="1224000" cy="341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12174" w14:textId="51E02FA8" w:rsidR="005634FA" w:rsidRPr="000F68CD" w:rsidRDefault="005634FA" w:rsidP="008335D2">
                            <w:pPr>
                              <w:jc w:val="center"/>
                              <w:rPr>
                                <w:b/>
                                <w:bCs/>
                                <w:color w:val="000000" w:themeColor="text1"/>
                                <w:sz w:val="24"/>
                                <w:szCs w:val="24"/>
                                <w:lang w:val="uk-UA"/>
                              </w:rPr>
                            </w:pPr>
                            <w:r w:rsidRPr="000F68CD">
                              <w:rPr>
                                <w:b/>
                                <w:bCs/>
                                <w:color w:val="000000" w:themeColor="text1"/>
                                <w:sz w:val="24"/>
                                <w:szCs w:val="24"/>
                                <w:lang w:val="uk-UA"/>
                              </w:rPr>
                              <w:t>Облігації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DD31B" id="Rectangle 11" o:spid="_x0000_s1028" style="position:absolute;left:0;text-align:left;margin-left:157.35pt;margin-top:15.45pt;width:96.4pt;height:2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" filled="f" stroked="f" strokeweight="1pt">
                <v:textbox>
                  <w:txbxContent>
                    <w:p w14:paraId="5E812174" w14:textId="51E02FA8" w:rsidR="005634FA" w:rsidRPr="000F68CD" w:rsidRDefault="005634FA" w:rsidP="008335D2">
                      <w:pPr>
                        <w:jc w:val="center"/>
                        <w:rPr>
                          <w:b/>
                          <w:bCs/>
                          <w:color w:val="000000" w:themeColor="text1"/>
                          <w:sz w:val="24"/>
                          <w:szCs w:val="24"/>
                          <w:lang w:val="uk-UA"/>
                        </w:rPr>
                      </w:pPr>
                      <w:r w:rsidRPr="000F68CD">
                        <w:rPr>
                          <w:b/>
                          <w:bCs/>
                          <w:color w:val="000000" w:themeColor="text1"/>
                          <w:sz w:val="24"/>
                          <w:szCs w:val="24"/>
                          <w:lang w:val="uk-UA"/>
                        </w:rPr>
                        <w:t>Облігації</w:t>
                      </w:r>
                    </w:p>
                  </w:txbxContent>
                </v:textbox>
              </v:rect>
            </w:pict>
          </mc:Fallback>
        </mc:AlternateContent>
      </w:r>
      <w:r w:rsidR="00563325" w:rsidRPr="0024327D">
        <w:rPr>
          <w:noProof/>
          <w:lang w:val="uk-UA" w:eastAsia="uk-UA"/>
        </w:rPr>
        <mc:AlternateContent>
          <mc:Choice Requires="wps">
            <w:drawing>
              <wp:anchor distT="0" distB="0" distL="114300" distR="114300" simplePos="0" relativeHeight="251658241" behindDoc="0" locked="0" layoutInCell="1" allowOverlap="1" wp14:anchorId="01D53030" wp14:editId="0BBCB688">
                <wp:simplePos x="0" y="0"/>
                <wp:positionH relativeFrom="column">
                  <wp:posOffset>-15055</wp:posOffset>
                </wp:positionH>
                <wp:positionV relativeFrom="paragraph">
                  <wp:posOffset>174235</wp:posOffset>
                </wp:positionV>
                <wp:extent cx="2013626" cy="826851"/>
                <wp:effectExtent l="0" t="0" r="24765" b="11430"/>
                <wp:wrapNone/>
                <wp:docPr id="2" name="Rectangle 2"/>
                <wp:cNvGraphicFramePr/>
                <a:graphic xmlns:a="http://schemas.openxmlformats.org/drawingml/2006/main">
                  <a:graphicData uri="http://schemas.microsoft.com/office/word/2010/wordprocessingShape">
                    <wps:wsp>
                      <wps:cNvSpPr/>
                      <wps:spPr>
                        <a:xfrm>
                          <a:off x="0" y="0"/>
                          <a:ext cx="2013626" cy="82685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4FD1C" w14:textId="19AA0272" w:rsidR="005634FA" w:rsidRPr="000F68CD" w:rsidRDefault="005634FA" w:rsidP="00563325">
                            <w:pPr>
                              <w:spacing w:before="0" w:after="0" w:line="240" w:lineRule="auto"/>
                              <w:jc w:val="center"/>
                              <w:rPr>
                                <w:b/>
                                <w:bCs/>
                                <w:color w:val="000000" w:themeColor="text1"/>
                                <w:sz w:val="24"/>
                                <w:szCs w:val="24"/>
                                <w:lang w:val="uk-UA"/>
                              </w:rPr>
                            </w:pPr>
                            <w:r w:rsidRPr="000F68CD">
                              <w:rPr>
                                <w:b/>
                                <w:bCs/>
                                <w:color w:val="000000" w:themeColor="text1"/>
                                <w:sz w:val="24"/>
                                <w:szCs w:val="24"/>
                                <w:lang w:val="uk-UA"/>
                              </w:rPr>
                              <w:t>КОМПАНІЯ СПЕЦІАЛЬНОГО ПРИЗНАЧЕННЯ</w:t>
                            </w:r>
                          </w:p>
                          <w:p w14:paraId="2A2C7FAB" w14:textId="77777777" w:rsidR="005634FA" w:rsidRPr="000F68CD" w:rsidRDefault="005634FA" w:rsidP="008335D2">
                            <w:pPr>
                              <w:jc w:val="center"/>
                              <w:rPr>
                                <w:b/>
                                <w:bCs/>
                                <w:color w:val="000000" w:themeColor="text1"/>
                                <w:sz w:val="28"/>
                                <w:szCs w:val="28"/>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53030" id="Rectangle 2" o:spid="_x0000_s1029" style="position:absolute;left:0;text-align:left;margin-left:-1.2pt;margin-top:13.7pt;width:158.55pt;height:6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" fillcolor="#bdd6ee [1300]" strokecolor="#1f4d78 [1604]" strokeweight="1pt">
                <v:textbox>
                  <w:txbxContent>
                    <w:p w14:paraId="0F84FD1C" w14:textId="19AA0272" w:rsidR="005634FA" w:rsidRPr="000F68CD" w:rsidRDefault="005634FA" w:rsidP="00563325">
                      <w:pPr>
                        <w:spacing w:before="0" w:after="0" w:line="240" w:lineRule="auto"/>
                        <w:jc w:val="center"/>
                        <w:rPr>
                          <w:b/>
                          <w:bCs/>
                          <w:color w:val="000000" w:themeColor="text1"/>
                          <w:sz w:val="24"/>
                          <w:szCs w:val="24"/>
                          <w:lang w:val="uk-UA"/>
                        </w:rPr>
                      </w:pPr>
                      <w:r w:rsidRPr="000F68CD">
                        <w:rPr>
                          <w:b/>
                          <w:bCs/>
                          <w:color w:val="000000" w:themeColor="text1"/>
                          <w:sz w:val="24"/>
                          <w:szCs w:val="24"/>
                          <w:lang w:val="uk-UA"/>
                        </w:rPr>
                        <w:t>КОМПАНІЯ СПЕЦІАЛЬНОГО ПРИЗНАЧЕННЯ</w:t>
                      </w:r>
                    </w:p>
                    <w:p w14:paraId="2A2C7FAB" w14:textId="77777777" w:rsidR="005634FA" w:rsidRPr="000F68CD" w:rsidRDefault="005634FA" w:rsidP="008335D2">
                      <w:pPr>
                        <w:jc w:val="center"/>
                        <w:rPr>
                          <w:b/>
                          <w:bCs/>
                          <w:color w:val="000000" w:themeColor="text1"/>
                          <w:sz w:val="28"/>
                          <w:szCs w:val="28"/>
                          <w:lang w:val="uk-UA"/>
                        </w:rPr>
                      </w:pPr>
                    </w:p>
                  </w:txbxContent>
                </v:textbox>
              </v:rect>
            </w:pict>
          </mc:Fallback>
        </mc:AlternateContent>
      </w:r>
    </w:p>
    <w:p w14:paraId="289C40E2" w14:textId="418C699B" w:rsidR="008335D2" w:rsidRPr="0024327D" w:rsidRDefault="00F3764C" w:rsidP="00501D25">
      <w:pPr>
        <w:rPr>
          <w:lang w:val="uk-UA"/>
        </w:rPr>
      </w:pPr>
      <w:r w:rsidRPr="0024327D">
        <w:rPr>
          <w:noProof/>
          <w:lang w:val="uk-UA" w:eastAsia="uk-UA"/>
        </w:rPr>
        <mc:AlternateContent>
          <mc:Choice Requires="wps">
            <w:drawing>
              <wp:anchor distT="0" distB="0" distL="114300" distR="114300" simplePos="0" relativeHeight="251658243" behindDoc="0" locked="0" layoutInCell="1" allowOverlap="1" wp14:anchorId="38774552" wp14:editId="617C4B32">
                <wp:simplePos x="0" y="0"/>
                <wp:positionH relativeFrom="column">
                  <wp:posOffset>3268870</wp:posOffset>
                </wp:positionH>
                <wp:positionV relativeFrom="paragraph">
                  <wp:posOffset>124015</wp:posOffset>
                </wp:positionV>
                <wp:extent cx="1222258" cy="477585"/>
                <wp:effectExtent l="0" t="0" r="16510" b="17780"/>
                <wp:wrapNone/>
                <wp:docPr id="7" name="Rectangle 7"/>
                <wp:cNvGraphicFramePr/>
                <a:graphic xmlns:a="http://schemas.openxmlformats.org/drawingml/2006/main">
                  <a:graphicData uri="http://schemas.microsoft.com/office/word/2010/wordprocessingShape">
                    <wps:wsp>
                      <wps:cNvSpPr/>
                      <wps:spPr>
                        <a:xfrm>
                          <a:off x="0" y="0"/>
                          <a:ext cx="1222258" cy="47758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732250" w14:textId="1A8BF3D7" w:rsidR="005634FA" w:rsidRPr="000F68CD" w:rsidRDefault="005634FA" w:rsidP="008335D2">
                            <w:pPr>
                              <w:jc w:val="center"/>
                              <w:rPr>
                                <w:b/>
                                <w:bCs/>
                                <w:color w:val="000000" w:themeColor="text1"/>
                                <w:sz w:val="24"/>
                                <w:szCs w:val="24"/>
                                <w:lang w:val="uk-UA"/>
                              </w:rPr>
                            </w:pPr>
                            <w:r w:rsidRPr="000F68CD">
                              <w:rPr>
                                <w:b/>
                                <w:bCs/>
                                <w:color w:val="000000" w:themeColor="text1"/>
                                <w:sz w:val="24"/>
                                <w:szCs w:val="24"/>
                                <w:lang w:val="uk-UA"/>
                              </w:rPr>
                              <w:t>Інвестори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4552" id="Rectangle 7" o:spid="_x0000_s1030" style="position:absolute;left:0;text-align:left;margin-left:257.4pt;margin-top:9.75pt;width:96.25pt;height:3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" fillcolor="#bdd6ee [1300]" strokecolor="#1f4d78 [1604]" strokeweight="1pt">
                <v:textbox>
                  <w:txbxContent>
                    <w:p w14:paraId="55732250" w14:textId="1A8BF3D7" w:rsidR="005634FA" w:rsidRPr="000F68CD" w:rsidRDefault="005634FA" w:rsidP="008335D2">
                      <w:pPr>
                        <w:jc w:val="center"/>
                        <w:rPr>
                          <w:b/>
                          <w:bCs/>
                          <w:color w:val="000000" w:themeColor="text1"/>
                          <w:sz w:val="24"/>
                          <w:szCs w:val="24"/>
                          <w:lang w:val="uk-UA"/>
                        </w:rPr>
                      </w:pPr>
                      <w:r w:rsidRPr="000F68CD">
                        <w:rPr>
                          <w:b/>
                          <w:bCs/>
                          <w:color w:val="000000" w:themeColor="text1"/>
                          <w:sz w:val="24"/>
                          <w:szCs w:val="24"/>
                          <w:lang w:val="uk-UA"/>
                        </w:rPr>
                        <w:t>Інвестори</w:t>
                      </w:r>
                    </w:p>
                  </w:txbxContent>
                </v:textbox>
              </v:rect>
            </w:pict>
          </mc:Fallback>
        </mc:AlternateContent>
      </w:r>
    </w:p>
    <w:p w14:paraId="6FED810B" w14:textId="60A1BB67" w:rsidR="008335D2" w:rsidRPr="0024327D" w:rsidRDefault="00573829" w:rsidP="00501D25">
      <w:pPr>
        <w:rPr>
          <w:lang w:val="uk-UA"/>
        </w:rPr>
      </w:pPr>
      <w:r w:rsidRPr="0024327D">
        <w:rPr>
          <w:noProof/>
          <w:lang w:val="uk-UA" w:eastAsia="uk-UA"/>
        </w:rPr>
        <mc:AlternateContent>
          <mc:Choice Requires="wps">
            <w:drawing>
              <wp:anchor distT="0" distB="0" distL="114300" distR="114300" simplePos="0" relativeHeight="251658242" behindDoc="0" locked="0" layoutInCell="1" allowOverlap="1" wp14:anchorId="73687155" wp14:editId="0C7E500A">
                <wp:simplePos x="0" y="0"/>
                <wp:positionH relativeFrom="column">
                  <wp:posOffset>373380</wp:posOffset>
                </wp:positionH>
                <wp:positionV relativeFrom="paragraph">
                  <wp:posOffset>121920</wp:posOffset>
                </wp:positionV>
                <wp:extent cx="1205611" cy="335605"/>
                <wp:effectExtent l="0" t="0" r="13970" b="26670"/>
                <wp:wrapNone/>
                <wp:docPr id="3" name="Oval 3"/>
                <wp:cNvGraphicFramePr/>
                <a:graphic xmlns:a="http://schemas.openxmlformats.org/drawingml/2006/main">
                  <a:graphicData uri="http://schemas.microsoft.com/office/word/2010/wordprocessingShape">
                    <wps:wsp>
                      <wps:cNvSpPr/>
                      <wps:spPr>
                        <a:xfrm>
                          <a:off x="0" y="0"/>
                          <a:ext cx="1205611" cy="3356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59730" w14:textId="16376032" w:rsidR="005634FA" w:rsidRPr="000F68CD" w:rsidRDefault="005634FA" w:rsidP="00563325">
                            <w:pPr>
                              <w:spacing w:before="0" w:after="0" w:line="240" w:lineRule="auto"/>
                              <w:jc w:val="center"/>
                              <w:rPr>
                                <w:lang w:val="uk-UA"/>
                              </w:rPr>
                            </w:pPr>
                            <w:r w:rsidRPr="000F68CD">
                              <w:rPr>
                                <w:lang w:val="uk-UA"/>
                              </w:rPr>
                              <w:t>АКТИВИ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87155" id="Oval 3" o:spid="_x0000_s1031" style="position:absolute;left:0;text-align:left;margin-left:29.4pt;margin-top:9.6pt;width:94.95pt;height:2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" fillcolor="#5b9bd5 [3204]" strokecolor="#1f4d78 [1604]" strokeweight="1pt">
                <v:stroke joinstyle="miter"/>
                <v:textbox>
                  <w:txbxContent>
                    <w:p w14:paraId="04759730" w14:textId="16376032" w:rsidR="005634FA" w:rsidRPr="000F68CD" w:rsidRDefault="005634FA" w:rsidP="00563325">
                      <w:pPr>
                        <w:spacing w:before="0" w:after="0" w:line="240" w:lineRule="auto"/>
                        <w:jc w:val="center"/>
                        <w:rPr>
                          <w:lang w:val="uk-UA"/>
                        </w:rPr>
                      </w:pPr>
                      <w:r w:rsidRPr="000F68CD">
                        <w:rPr>
                          <w:lang w:val="uk-UA"/>
                        </w:rPr>
                        <w:t>АКТИВИ</w:t>
                      </w:r>
                    </w:p>
                  </w:txbxContent>
                </v:textbox>
              </v:oval>
            </w:pict>
          </mc:Fallback>
        </mc:AlternateContent>
      </w:r>
      <w:r w:rsidR="00563325" w:rsidRPr="0024327D">
        <w:rPr>
          <w:noProof/>
          <w:lang w:val="uk-UA" w:eastAsia="uk-UA"/>
        </w:rPr>
        <mc:AlternateContent>
          <mc:Choice Requires="wps">
            <w:drawing>
              <wp:anchor distT="0" distB="0" distL="114300" distR="114300" simplePos="0" relativeHeight="251658255" behindDoc="0" locked="0" layoutInCell="1" allowOverlap="1" wp14:anchorId="2297EBF6" wp14:editId="6B88FD5B">
                <wp:simplePos x="0" y="0"/>
                <wp:positionH relativeFrom="column">
                  <wp:posOffset>2066505</wp:posOffset>
                </wp:positionH>
                <wp:positionV relativeFrom="paragraph">
                  <wp:posOffset>82631</wp:posOffset>
                </wp:positionV>
                <wp:extent cx="1181911" cy="9728"/>
                <wp:effectExtent l="0" t="76200" r="18415" b="85725"/>
                <wp:wrapNone/>
                <wp:docPr id="34" name="Straight Arrow Connector 34"/>
                <wp:cNvGraphicFramePr/>
                <a:graphic xmlns:a="http://schemas.openxmlformats.org/drawingml/2006/main">
                  <a:graphicData uri="http://schemas.microsoft.com/office/word/2010/wordprocessingShape">
                    <wps:wsp>
                      <wps:cNvCnPr/>
                      <wps:spPr>
                        <a:xfrm flipV="1">
                          <a:off x="0" y="0"/>
                          <a:ext cx="1181911" cy="972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B072C7" id="_x0000_t32" coordsize="21600,21600" o:spt="32" o:oned="t" path="m,l21600,21600e" filled="f">
                <v:path arrowok="t" fillok="f" o:connecttype="none"/>
                <o:lock v:ext="edit" shapetype="t"/>
              </v:shapetype>
              <v:shape id="Straight Arrow Connector 34" o:spid="_x0000_s1026" type="#_x0000_t32" style="position:absolute;margin-left:162.7pt;margin-top:6.5pt;width:93.05pt;height:.75pt;flip:y;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" strokecolor="#5b9bd5 [3204]" strokeweight="2.25pt">
                <v:stroke endarrow="block" joinstyle="miter"/>
              </v:shape>
            </w:pict>
          </mc:Fallback>
        </mc:AlternateContent>
      </w:r>
    </w:p>
    <w:p w14:paraId="11E22E62" w14:textId="792F2733" w:rsidR="008335D2" w:rsidRPr="0024327D" w:rsidRDefault="008335D2" w:rsidP="00501D25">
      <w:pPr>
        <w:rPr>
          <w:lang w:val="uk-UA"/>
        </w:rPr>
      </w:pPr>
    </w:p>
    <w:p w14:paraId="611AD994" w14:textId="3D708769" w:rsidR="008335D2" w:rsidRPr="0024327D" w:rsidRDefault="008335D2" w:rsidP="00501D25">
      <w:pPr>
        <w:rPr>
          <w:lang w:val="uk-UA"/>
        </w:rPr>
      </w:pPr>
    </w:p>
    <w:p w14:paraId="6A515D46" w14:textId="25F66BFA" w:rsidR="00DD3B5B" w:rsidRPr="0024327D" w:rsidRDefault="00DF0148" w:rsidP="00501D25">
      <w:pPr>
        <w:rPr>
          <w:lang w:val="uk-UA"/>
        </w:rPr>
      </w:pPr>
      <w:r w:rsidRPr="0024327D">
        <w:rPr>
          <w:lang w:val="uk-UA"/>
        </w:rPr>
        <w:t xml:space="preserve">Для успішної сек’юритизації </w:t>
      </w:r>
      <w:r w:rsidR="00E75893" w:rsidRPr="0024327D">
        <w:rPr>
          <w:lang w:val="uk-UA"/>
        </w:rPr>
        <w:t xml:space="preserve">необхідні декілька </w:t>
      </w:r>
      <w:r w:rsidR="008F29BB" w:rsidRPr="0024327D">
        <w:rPr>
          <w:lang w:val="uk-UA"/>
        </w:rPr>
        <w:t xml:space="preserve">юридичних </w:t>
      </w:r>
      <w:r w:rsidRPr="0024327D">
        <w:rPr>
          <w:lang w:val="uk-UA"/>
        </w:rPr>
        <w:t>структурних елементів</w:t>
      </w:r>
      <w:r w:rsidR="00E95F83" w:rsidRPr="0024327D">
        <w:rPr>
          <w:lang w:val="uk-UA"/>
        </w:rPr>
        <w:t xml:space="preserve">, </w:t>
      </w:r>
      <w:r w:rsidR="00E75893" w:rsidRPr="0024327D">
        <w:rPr>
          <w:lang w:val="uk-UA"/>
        </w:rPr>
        <w:t xml:space="preserve">що </w:t>
      </w:r>
      <w:r w:rsidRPr="0024327D">
        <w:rPr>
          <w:lang w:val="uk-UA"/>
        </w:rPr>
        <w:t>описан</w:t>
      </w:r>
      <w:r w:rsidR="00E75893" w:rsidRPr="0024327D">
        <w:rPr>
          <w:lang w:val="uk-UA"/>
        </w:rPr>
        <w:t>і</w:t>
      </w:r>
      <w:r w:rsidRPr="0024327D">
        <w:rPr>
          <w:lang w:val="uk-UA"/>
        </w:rPr>
        <w:t xml:space="preserve"> нижче</w:t>
      </w:r>
      <w:r w:rsidR="00E95F83" w:rsidRPr="0024327D">
        <w:rPr>
          <w:lang w:val="uk-UA"/>
        </w:rPr>
        <w:t>.</w:t>
      </w:r>
    </w:p>
    <w:p w14:paraId="4E744907" w14:textId="797ADE5B" w:rsidR="00DD3B5B" w:rsidRPr="0024327D" w:rsidRDefault="00DF0148" w:rsidP="002A17E0">
      <w:pPr>
        <w:pStyle w:val="3"/>
        <w:ind w:left="864"/>
        <w:rPr>
          <w:lang w:val="uk-UA"/>
        </w:rPr>
      </w:pPr>
      <w:bookmarkStart w:id="54" w:name="_Toc95480986"/>
      <w:r w:rsidRPr="0024327D">
        <w:rPr>
          <w:lang w:val="uk-UA"/>
        </w:rPr>
        <w:t>Компанія спеціального призначення</w:t>
      </w:r>
      <w:bookmarkEnd w:id="54"/>
    </w:p>
    <w:p w14:paraId="6914FA5A" w14:textId="2EC3F9AC" w:rsidR="00DF0148" w:rsidRPr="0024327D" w:rsidRDefault="00E75893" w:rsidP="00DF0148">
      <w:pPr>
        <w:rPr>
          <w:lang w:val="uk-UA"/>
        </w:rPr>
      </w:pPr>
      <w:r w:rsidRPr="0024327D">
        <w:rPr>
          <w:lang w:val="uk-UA"/>
        </w:rPr>
        <w:t>Юридична особа</w:t>
      </w:r>
      <w:r w:rsidR="00DF0148" w:rsidRPr="0024327D">
        <w:rPr>
          <w:lang w:val="uk-UA"/>
        </w:rPr>
        <w:t>, як</w:t>
      </w:r>
      <w:r w:rsidRPr="0024327D">
        <w:rPr>
          <w:lang w:val="uk-UA"/>
        </w:rPr>
        <w:t>а</w:t>
      </w:r>
      <w:r w:rsidR="00DF0148" w:rsidRPr="0024327D">
        <w:rPr>
          <w:lang w:val="uk-UA"/>
        </w:rPr>
        <w:t xml:space="preserve"> володіє активами та </w:t>
      </w:r>
      <w:r w:rsidR="00336CA6" w:rsidRPr="0024327D">
        <w:rPr>
          <w:lang w:val="uk-UA"/>
        </w:rPr>
        <w:t xml:space="preserve"> здійснює емісію </w:t>
      </w:r>
      <w:r w:rsidR="00DF0148" w:rsidRPr="0024327D">
        <w:rPr>
          <w:lang w:val="uk-UA"/>
        </w:rPr>
        <w:t xml:space="preserve">облігації, має бути </w:t>
      </w:r>
      <w:r w:rsidR="000716BD" w:rsidRPr="0024327D">
        <w:rPr>
          <w:lang w:val="uk-UA"/>
        </w:rPr>
        <w:t xml:space="preserve">номінально </w:t>
      </w:r>
      <w:r w:rsidR="00DF0148" w:rsidRPr="0024327D">
        <w:rPr>
          <w:lang w:val="uk-UA"/>
        </w:rPr>
        <w:t>незалежн</w:t>
      </w:r>
      <w:r w:rsidR="00D326A1" w:rsidRPr="0024327D">
        <w:rPr>
          <w:lang w:val="uk-UA"/>
        </w:rPr>
        <w:t>ою</w:t>
      </w:r>
      <w:r w:rsidR="00DF0148" w:rsidRPr="0024327D">
        <w:rPr>
          <w:lang w:val="uk-UA"/>
        </w:rPr>
        <w:t xml:space="preserve"> від </w:t>
      </w:r>
      <w:r w:rsidR="00C20067" w:rsidRPr="0024327D">
        <w:rPr>
          <w:lang w:val="uk-UA"/>
        </w:rPr>
        <w:t>оригінатора</w:t>
      </w:r>
      <w:r w:rsidR="00DF0148" w:rsidRPr="0024327D">
        <w:rPr>
          <w:lang w:val="uk-UA"/>
        </w:rPr>
        <w:t xml:space="preserve">, щоб уникнути консолідації при процедурі банкрутства та </w:t>
      </w:r>
      <w:r w:rsidR="00D326A1" w:rsidRPr="0024327D">
        <w:rPr>
          <w:lang w:val="uk-UA"/>
        </w:rPr>
        <w:t>ліквідації, а також щоб</w:t>
      </w:r>
      <w:r w:rsidR="00373F95" w:rsidRPr="0024327D">
        <w:rPr>
          <w:lang w:val="uk-UA"/>
        </w:rPr>
        <w:t xml:space="preserve"> </w:t>
      </w:r>
      <w:r w:rsidR="00DF0148" w:rsidRPr="0024327D">
        <w:rPr>
          <w:lang w:val="uk-UA"/>
        </w:rPr>
        <w:t xml:space="preserve">уникнути консолідації фінансової звітності </w:t>
      </w:r>
      <w:r w:rsidR="000716BD" w:rsidRPr="0024327D">
        <w:rPr>
          <w:lang w:val="uk-UA"/>
        </w:rPr>
        <w:t xml:space="preserve">або </w:t>
      </w:r>
      <w:r w:rsidR="00336CA6" w:rsidRPr="0024327D">
        <w:rPr>
          <w:lang w:val="uk-UA"/>
        </w:rPr>
        <w:t xml:space="preserve"> регулятивного </w:t>
      </w:r>
      <w:r w:rsidR="00DF0148" w:rsidRPr="0024327D">
        <w:rPr>
          <w:lang w:val="uk-UA"/>
        </w:rPr>
        <w:t>капіталу.</w:t>
      </w:r>
      <w:r w:rsidR="000716BD" w:rsidRPr="0024327D">
        <w:rPr>
          <w:rStyle w:val="af2"/>
          <w:lang w:val="uk-UA"/>
        </w:rPr>
        <w:footnoteReference w:id="22"/>
      </w:r>
      <w:r w:rsidR="000716BD" w:rsidRPr="0024327D">
        <w:rPr>
          <w:lang w:val="uk-UA"/>
        </w:rPr>
        <w:t xml:space="preserve"> </w:t>
      </w:r>
      <w:r w:rsidR="00DF0148" w:rsidRPr="0024327D">
        <w:rPr>
          <w:lang w:val="uk-UA"/>
        </w:rPr>
        <w:t>Крім того, рейтингові агентства вимагатимуть</w:t>
      </w:r>
      <w:r w:rsidR="000716BD" w:rsidRPr="0024327D">
        <w:rPr>
          <w:lang w:val="uk-UA"/>
        </w:rPr>
        <w:t xml:space="preserve">, щоб компанія спеціального призначення мала незалежні </w:t>
      </w:r>
      <w:r w:rsidR="00FF20FA" w:rsidRPr="0024327D">
        <w:rPr>
          <w:lang w:val="uk-UA"/>
        </w:rPr>
        <w:t xml:space="preserve">механізми </w:t>
      </w:r>
      <w:r w:rsidR="000716BD" w:rsidRPr="0024327D">
        <w:rPr>
          <w:lang w:val="uk-UA"/>
        </w:rPr>
        <w:t>контролю, що</w:t>
      </w:r>
      <w:r w:rsidR="00DF0148" w:rsidRPr="0024327D">
        <w:rPr>
          <w:lang w:val="uk-UA"/>
        </w:rPr>
        <w:t xml:space="preserve"> гаранту</w:t>
      </w:r>
      <w:r w:rsidR="009E252D" w:rsidRPr="0024327D">
        <w:rPr>
          <w:lang w:val="uk-UA"/>
        </w:rPr>
        <w:t>ють</w:t>
      </w:r>
      <w:r w:rsidR="00DF0148" w:rsidRPr="0024327D">
        <w:rPr>
          <w:lang w:val="uk-UA"/>
        </w:rPr>
        <w:t>, що в</w:t>
      </w:r>
      <w:r w:rsidR="000716BD" w:rsidRPr="0024327D">
        <w:rPr>
          <w:lang w:val="uk-UA"/>
        </w:rPr>
        <w:t>она</w:t>
      </w:r>
      <w:r w:rsidR="00DF0148" w:rsidRPr="0024327D">
        <w:rPr>
          <w:lang w:val="uk-UA"/>
        </w:rPr>
        <w:t xml:space="preserve"> діє в інтересах власників облігацій.</w:t>
      </w:r>
    </w:p>
    <w:p w14:paraId="03E2028B" w14:textId="6E33C053" w:rsidR="000716BD" w:rsidRPr="0024327D" w:rsidRDefault="000716BD" w:rsidP="00501D25">
      <w:pPr>
        <w:rPr>
          <w:lang w:val="uk-UA"/>
        </w:rPr>
      </w:pPr>
      <w:r w:rsidRPr="0024327D">
        <w:rPr>
          <w:lang w:val="uk-UA"/>
        </w:rPr>
        <w:t xml:space="preserve">Як правило, </w:t>
      </w:r>
      <w:r w:rsidR="00133A77" w:rsidRPr="0024327D">
        <w:rPr>
          <w:lang w:val="uk-UA"/>
        </w:rPr>
        <w:t>к</w:t>
      </w:r>
      <w:r w:rsidRPr="0024327D">
        <w:rPr>
          <w:lang w:val="uk-UA"/>
        </w:rPr>
        <w:t>омпанія спеціального призначення повністю або частково належить</w:t>
      </w:r>
      <w:r w:rsidR="00025214" w:rsidRPr="0024327D">
        <w:rPr>
          <w:lang w:val="uk-UA"/>
        </w:rPr>
        <w:t xml:space="preserve"> юридичній особі</w:t>
      </w:r>
      <w:r w:rsidRPr="0024327D">
        <w:rPr>
          <w:lang w:val="uk-UA"/>
        </w:rPr>
        <w:t>, як</w:t>
      </w:r>
      <w:r w:rsidR="00025214" w:rsidRPr="0024327D">
        <w:rPr>
          <w:lang w:val="uk-UA"/>
        </w:rPr>
        <w:t>а</w:t>
      </w:r>
      <w:r w:rsidRPr="0024327D">
        <w:rPr>
          <w:lang w:val="uk-UA"/>
        </w:rPr>
        <w:t xml:space="preserve"> не є </w:t>
      </w:r>
      <w:r w:rsidR="001732D3" w:rsidRPr="0024327D">
        <w:rPr>
          <w:lang w:val="uk-UA"/>
        </w:rPr>
        <w:t>о</w:t>
      </w:r>
      <w:r w:rsidR="005B1EE8" w:rsidRPr="0024327D">
        <w:rPr>
          <w:lang w:val="uk-UA"/>
        </w:rPr>
        <w:t>ригінатором</w:t>
      </w:r>
      <w:r w:rsidRPr="0024327D">
        <w:rPr>
          <w:lang w:val="uk-UA"/>
        </w:rPr>
        <w:t xml:space="preserve">, і в багатьох юрисдикціях вона також має незалежних директорів. Існує багато різних підходів до форми власності; зокрема, можливі такі форми як траст, який забезпечує довірче зберігання акцій </w:t>
      </w:r>
      <w:r w:rsidR="00AE60EC" w:rsidRPr="0024327D">
        <w:rPr>
          <w:lang w:val="uk-UA"/>
        </w:rPr>
        <w:t>к</w:t>
      </w:r>
      <w:r w:rsidRPr="0024327D">
        <w:rPr>
          <w:lang w:val="uk-UA"/>
        </w:rPr>
        <w:t xml:space="preserve">омпанії спеціального </w:t>
      </w:r>
      <w:r w:rsidR="009E252D" w:rsidRPr="0024327D">
        <w:rPr>
          <w:lang w:val="uk-UA"/>
        </w:rPr>
        <w:t xml:space="preserve">призначення </w:t>
      </w:r>
      <w:r w:rsidRPr="0024327D">
        <w:rPr>
          <w:lang w:val="uk-UA"/>
        </w:rPr>
        <w:t xml:space="preserve">для </w:t>
      </w:r>
      <w:r w:rsidR="00A16F44" w:rsidRPr="0024327D">
        <w:rPr>
          <w:lang w:val="uk-UA"/>
        </w:rPr>
        <w:t>“</w:t>
      </w:r>
      <w:r w:rsidRPr="0024327D">
        <w:rPr>
          <w:lang w:val="uk-UA"/>
        </w:rPr>
        <w:t>загальних благодійних цілей</w:t>
      </w:r>
      <w:r w:rsidR="00E84BFE" w:rsidRPr="0024327D">
        <w:rPr>
          <w:lang w:val="uk-UA"/>
        </w:rPr>
        <w:t>”</w:t>
      </w:r>
      <w:r w:rsidRPr="0024327D">
        <w:rPr>
          <w:lang w:val="uk-UA"/>
        </w:rPr>
        <w:t xml:space="preserve">; товариство з обмеженою відповідальністю, один з </w:t>
      </w:r>
      <w:r w:rsidR="00025214" w:rsidRPr="0024327D">
        <w:rPr>
          <w:lang w:val="uk-UA"/>
        </w:rPr>
        <w:t xml:space="preserve">учасників </w:t>
      </w:r>
      <w:r w:rsidRPr="0024327D">
        <w:rPr>
          <w:lang w:val="uk-UA"/>
        </w:rPr>
        <w:t>якого, у свою чергу, є</w:t>
      </w:r>
      <w:r w:rsidR="00025214" w:rsidRPr="0024327D">
        <w:rPr>
          <w:lang w:val="uk-UA"/>
        </w:rPr>
        <w:t xml:space="preserve"> юридичною особою</w:t>
      </w:r>
      <w:r w:rsidRPr="0024327D">
        <w:rPr>
          <w:lang w:val="uk-UA"/>
        </w:rPr>
        <w:t>, що не має жодної іншої мети ніж недопущення консолідації. За відсутності повністю відповідних правових концепцій у національному (наприклад, українському) законодавстві, можна ввести у закон конкретну нову концепцію або використовувати найбільш прийнятн</w:t>
      </w:r>
      <w:r w:rsidR="00CA743D" w:rsidRPr="0024327D">
        <w:rPr>
          <w:lang w:val="uk-UA"/>
        </w:rPr>
        <w:t>ий</w:t>
      </w:r>
      <w:r w:rsidRPr="0024327D">
        <w:rPr>
          <w:lang w:val="uk-UA"/>
        </w:rPr>
        <w:t xml:space="preserve"> </w:t>
      </w:r>
      <w:r w:rsidR="00280B7B" w:rsidRPr="0024327D">
        <w:rPr>
          <w:lang w:val="uk-UA"/>
        </w:rPr>
        <w:t xml:space="preserve">з існуючих інститутів для </w:t>
      </w:r>
      <w:r w:rsidR="00CA743D" w:rsidRPr="0024327D">
        <w:rPr>
          <w:lang w:val="uk-UA"/>
        </w:rPr>
        <w:t xml:space="preserve">того, щоб йому належала компанія спеціального призначення </w:t>
      </w:r>
      <w:r w:rsidRPr="0024327D">
        <w:rPr>
          <w:lang w:val="uk-UA"/>
        </w:rPr>
        <w:t>(наприклад,</w:t>
      </w:r>
      <w:r w:rsidR="00D468A4" w:rsidRPr="0024327D">
        <w:rPr>
          <w:lang w:val="uk-UA"/>
        </w:rPr>
        <w:t xml:space="preserve"> </w:t>
      </w:r>
      <w:r w:rsidR="00B3696D" w:rsidRPr="0024327D">
        <w:rPr>
          <w:lang w:val="uk-UA"/>
        </w:rPr>
        <w:t>адміністратора за випуском облігацій</w:t>
      </w:r>
      <w:r w:rsidRPr="0024327D">
        <w:rPr>
          <w:lang w:val="uk-UA"/>
        </w:rPr>
        <w:t xml:space="preserve">) або </w:t>
      </w:r>
      <w:r w:rsidR="00076F64" w:rsidRPr="0024327D">
        <w:rPr>
          <w:lang w:val="uk-UA"/>
        </w:rPr>
        <w:t xml:space="preserve">розширити </w:t>
      </w:r>
      <w:r w:rsidR="00114CC7" w:rsidRPr="0024327D">
        <w:rPr>
          <w:lang w:val="uk-UA"/>
        </w:rPr>
        <w:t xml:space="preserve">функції </w:t>
      </w:r>
      <w:r w:rsidR="00076F64" w:rsidRPr="0024327D">
        <w:rPr>
          <w:lang w:val="uk-UA"/>
        </w:rPr>
        <w:t xml:space="preserve">юридичних осіб з </w:t>
      </w:r>
      <w:r w:rsidRPr="0024327D">
        <w:rPr>
          <w:lang w:val="uk-UA"/>
        </w:rPr>
        <w:t>подібн</w:t>
      </w:r>
      <w:r w:rsidR="00114CC7" w:rsidRPr="0024327D">
        <w:rPr>
          <w:lang w:val="uk-UA"/>
        </w:rPr>
        <w:t>ими</w:t>
      </w:r>
      <w:r w:rsidRPr="0024327D">
        <w:rPr>
          <w:lang w:val="uk-UA"/>
        </w:rPr>
        <w:t xml:space="preserve"> функці</w:t>
      </w:r>
      <w:r w:rsidR="00114CC7" w:rsidRPr="0024327D">
        <w:rPr>
          <w:lang w:val="uk-UA"/>
        </w:rPr>
        <w:t>ями</w:t>
      </w:r>
      <w:r w:rsidRPr="0024327D">
        <w:rPr>
          <w:lang w:val="uk-UA"/>
        </w:rPr>
        <w:t xml:space="preserve"> (наприклад, компанії з управління активами, які </w:t>
      </w:r>
      <w:r w:rsidR="00114CC7" w:rsidRPr="0024327D">
        <w:rPr>
          <w:lang w:val="uk-UA"/>
        </w:rPr>
        <w:t>управляють пайовими фондами</w:t>
      </w:r>
      <w:r w:rsidRPr="0024327D">
        <w:rPr>
          <w:lang w:val="uk-UA"/>
        </w:rPr>
        <w:t>).</w:t>
      </w:r>
      <w:r w:rsidR="00334481" w:rsidRPr="0024327D">
        <w:rPr>
          <w:lang w:val="uk-UA"/>
        </w:rPr>
        <w:t xml:space="preserve"> Наразі за українським законодавством адміністратор за випуском облігацій </w:t>
      </w:r>
      <w:r w:rsidR="00721EF9" w:rsidRPr="0024327D">
        <w:rPr>
          <w:lang w:val="uk-UA"/>
        </w:rPr>
        <w:t>призначається</w:t>
      </w:r>
      <w:r w:rsidR="009B4797" w:rsidRPr="0024327D">
        <w:rPr>
          <w:lang w:val="uk-UA"/>
        </w:rPr>
        <w:t xml:space="preserve"> </w:t>
      </w:r>
      <w:r w:rsidR="00E07C5F" w:rsidRPr="0024327D">
        <w:rPr>
          <w:lang w:val="uk-UA"/>
        </w:rPr>
        <w:t xml:space="preserve">емітентом облігацій </w:t>
      </w:r>
      <w:r w:rsidR="00E07C5F" w:rsidRPr="0024327D">
        <w:rPr>
          <w:lang w:val="uk-UA"/>
        </w:rPr>
        <w:lastRenderedPageBreak/>
        <w:t>відповідного випуску</w:t>
      </w:r>
      <w:r w:rsidR="00D52AA5" w:rsidRPr="0024327D">
        <w:rPr>
          <w:lang w:val="uk-UA"/>
        </w:rPr>
        <w:t xml:space="preserve"> або власниками облігацій</w:t>
      </w:r>
      <w:r w:rsidR="001901FE" w:rsidRPr="0024327D">
        <w:rPr>
          <w:lang w:val="uk-UA"/>
        </w:rPr>
        <w:t xml:space="preserve"> </w:t>
      </w:r>
      <w:r w:rsidR="00D25CDC" w:rsidRPr="0024327D">
        <w:rPr>
          <w:lang w:val="uk-UA"/>
        </w:rPr>
        <w:t xml:space="preserve">і </w:t>
      </w:r>
      <w:r w:rsidR="00334481" w:rsidRPr="0024327D">
        <w:rPr>
          <w:lang w:val="uk-UA"/>
        </w:rPr>
        <w:t xml:space="preserve">не може бути </w:t>
      </w:r>
      <w:r w:rsidR="00210BB6" w:rsidRPr="0024327D">
        <w:rPr>
          <w:lang w:val="uk-UA"/>
        </w:rPr>
        <w:t>пов’язан</w:t>
      </w:r>
      <w:r w:rsidR="00721EF9" w:rsidRPr="0024327D">
        <w:rPr>
          <w:lang w:val="uk-UA"/>
        </w:rPr>
        <w:t>ий</w:t>
      </w:r>
      <w:r w:rsidR="00210BB6" w:rsidRPr="0024327D">
        <w:rPr>
          <w:lang w:val="uk-UA"/>
        </w:rPr>
        <w:t xml:space="preserve"> відносинами контролю з емітентом облігацій або особою</w:t>
      </w:r>
      <w:r w:rsidR="00424A70" w:rsidRPr="0024327D">
        <w:rPr>
          <w:lang w:val="uk-UA"/>
        </w:rPr>
        <w:t>, яка надає забезпечення</w:t>
      </w:r>
      <w:r w:rsidR="00210BB6" w:rsidRPr="0024327D">
        <w:rPr>
          <w:lang w:val="uk-UA"/>
        </w:rPr>
        <w:t xml:space="preserve"> </w:t>
      </w:r>
      <w:r w:rsidR="00424A70" w:rsidRPr="0024327D">
        <w:rPr>
          <w:lang w:val="uk-UA"/>
        </w:rPr>
        <w:t xml:space="preserve">за такими облігаціями. </w:t>
      </w:r>
      <w:r w:rsidR="00287DD5" w:rsidRPr="0024327D">
        <w:rPr>
          <w:lang w:val="uk-UA"/>
        </w:rPr>
        <w:t xml:space="preserve">Відповідно, необхідні зміни в закон, щоб дозволити </w:t>
      </w:r>
      <w:r w:rsidR="00B65CE0" w:rsidRPr="0024327D">
        <w:rPr>
          <w:lang w:val="uk-UA"/>
        </w:rPr>
        <w:t xml:space="preserve">оригінатору призначати </w:t>
      </w:r>
      <w:r w:rsidR="00287DD5" w:rsidRPr="0024327D">
        <w:rPr>
          <w:lang w:val="uk-UA"/>
        </w:rPr>
        <w:t>адміністратор</w:t>
      </w:r>
      <w:r w:rsidR="00764E55" w:rsidRPr="0024327D">
        <w:rPr>
          <w:lang w:val="uk-UA"/>
        </w:rPr>
        <w:t>а</w:t>
      </w:r>
      <w:r w:rsidR="004346F1" w:rsidRPr="0024327D">
        <w:rPr>
          <w:lang w:val="uk-UA"/>
        </w:rPr>
        <w:t xml:space="preserve">, а такому адміністратору – </w:t>
      </w:r>
      <w:r w:rsidR="00287DD5" w:rsidRPr="0024327D">
        <w:rPr>
          <w:lang w:val="uk-UA"/>
        </w:rPr>
        <w:t xml:space="preserve"> створювати компанію спеціального призначення. </w:t>
      </w:r>
      <w:r w:rsidR="009F015D" w:rsidRPr="0024327D">
        <w:rPr>
          <w:lang w:val="uk-UA"/>
        </w:rPr>
        <w:t xml:space="preserve">Додатково, зміни в українське законодавство потрібні для того, </w:t>
      </w:r>
      <w:r w:rsidR="003F4972" w:rsidRPr="0024327D">
        <w:rPr>
          <w:lang w:val="uk-UA"/>
        </w:rPr>
        <w:t>щоб дозволити компаніям з управління активами займатися такою діяльністю</w:t>
      </w:r>
      <w:r w:rsidR="003F4972" w:rsidRPr="0024327D">
        <w:rPr>
          <w:color w:val="333333"/>
          <w:shd w:val="clear" w:color="auto" w:fill="FFFFFF"/>
          <w:lang w:val="uk-UA"/>
        </w:rPr>
        <w:t>.</w:t>
      </w:r>
    </w:p>
    <w:p w14:paraId="75915346" w14:textId="3638279C" w:rsidR="00AB16CB" w:rsidRPr="0024327D" w:rsidRDefault="00AB16CB" w:rsidP="00501D25">
      <w:pPr>
        <w:rPr>
          <w:lang w:val="uk-UA"/>
        </w:rPr>
      </w:pPr>
      <w:r w:rsidRPr="0024327D">
        <w:rPr>
          <w:lang w:val="uk-UA"/>
        </w:rPr>
        <w:t xml:space="preserve">Щоб забезпечити, що </w:t>
      </w:r>
      <w:r w:rsidR="00662CC8" w:rsidRPr="0024327D">
        <w:rPr>
          <w:lang w:val="uk-UA"/>
        </w:rPr>
        <w:t>к</w:t>
      </w:r>
      <w:r w:rsidRPr="0024327D">
        <w:rPr>
          <w:lang w:val="uk-UA"/>
        </w:rPr>
        <w:t>омпанія спеціального призначення сама</w:t>
      </w:r>
      <w:r w:rsidR="00662CC8" w:rsidRPr="0024327D">
        <w:rPr>
          <w:lang w:val="uk-UA"/>
        </w:rPr>
        <w:t xml:space="preserve"> не потрапить у банкрутство</w:t>
      </w:r>
      <w:r w:rsidRPr="0024327D">
        <w:rPr>
          <w:lang w:val="uk-UA"/>
        </w:rPr>
        <w:t>, її діяльність буде обмежена придбанням та фінансуванням активів (і абсолютно необхідною допоміжною діяльністю, такою як обслуговування активів та хеджування</w:t>
      </w:r>
      <w:r w:rsidR="00662CC8" w:rsidRPr="0024327D">
        <w:rPr>
          <w:lang w:val="uk-UA"/>
        </w:rPr>
        <w:t xml:space="preserve"> ризиків</w:t>
      </w:r>
      <w:r w:rsidRPr="0024327D">
        <w:rPr>
          <w:lang w:val="uk-UA"/>
        </w:rPr>
        <w:t>).</w:t>
      </w:r>
      <w:r w:rsidRPr="0024327D">
        <w:rPr>
          <w:rStyle w:val="af2"/>
          <w:lang w:val="uk-UA"/>
        </w:rPr>
        <w:footnoteReference w:id="23"/>
      </w:r>
      <w:r w:rsidRPr="0024327D">
        <w:rPr>
          <w:lang w:val="uk-UA"/>
        </w:rPr>
        <w:t xml:space="preserve"> Крім того, інвестори в облігації не матимуть права звертатися до суду із клопотаннями про порушення провадження про визнання неплатоспроможності у разі невиконання зобов’язань за будь-якими облігаціями.</w:t>
      </w:r>
    </w:p>
    <w:p w14:paraId="6EB13340" w14:textId="2F4DFBD9" w:rsidR="00DD3B5B" w:rsidRPr="0024327D" w:rsidRDefault="00AC03F1" w:rsidP="00501D25">
      <w:pPr>
        <w:rPr>
          <w:lang w:val="uk-UA"/>
        </w:rPr>
      </w:pPr>
      <w:r w:rsidRPr="0024327D">
        <w:rPr>
          <w:lang w:val="uk-UA"/>
        </w:rPr>
        <w:t>Організаційно-п</w:t>
      </w:r>
      <w:r w:rsidR="00AB16CB" w:rsidRPr="0024327D">
        <w:rPr>
          <w:lang w:val="uk-UA"/>
        </w:rPr>
        <w:t xml:space="preserve">равова форма </w:t>
      </w:r>
      <w:r w:rsidRPr="0024327D">
        <w:rPr>
          <w:lang w:val="uk-UA"/>
        </w:rPr>
        <w:t>к</w:t>
      </w:r>
      <w:r w:rsidR="00AB16CB" w:rsidRPr="0024327D">
        <w:rPr>
          <w:lang w:val="uk-UA"/>
        </w:rPr>
        <w:t xml:space="preserve">омпанії спеціального призначення залежить від </w:t>
      </w:r>
      <w:r w:rsidR="00A473AE" w:rsidRPr="0024327D">
        <w:rPr>
          <w:lang w:val="uk-UA"/>
        </w:rPr>
        <w:t xml:space="preserve">конкретної </w:t>
      </w:r>
      <w:r w:rsidR="00AB16CB" w:rsidRPr="0024327D">
        <w:rPr>
          <w:lang w:val="uk-UA"/>
        </w:rPr>
        <w:t xml:space="preserve">юрисдикції; наприклад, це може бути фонд або нефінансова корпорація. У деяких країнах для </w:t>
      </w:r>
      <w:r w:rsidR="00194375" w:rsidRPr="0024327D">
        <w:rPr>
          <w:lang w:val="uk-UA"/>
        </w:rPr>
        <w:t>к</w:t>
      </w:r>
      <w:r w:rsidR="00AB16CB" w:rsidRPr="0024327D">
        <w:rPr>
          <w:lang w:val="uk-UA"/>
        </w:rPr>
        <w:t>омпанії спеціального призначення було створено нову організаційно-правову форму (наприклад, у Франції законодав</w:t>
      </w:r>
      <w:r w:rsidR="00A473AE" w:rsidRPr="0024327D">
        <w:rPr>
          <w:lang w:val="uk-UA"/>
        </w:rPr>
        <w:t>чо встановлено таку форму</w:t>
      </w:r>
      <w:r w:rsidR="00AB16CB" w:rsidRPr="0024327D">
        <w:rPr>
          <w:lang w:val="uk-UA"/>
        </w:rPr>
        <w:t xml:space="preserve"> як </w:t>
      </w:r>
      <w:r w:rsidR="00E84BFE" w:rsidRPr="0024327D">
        <w:rPr>
          <w:lang w:val="uk-UA"/>
        </w:rPr>
        <w:t>“</w:t>
      </w:r>
      <w:r w:rsidR="00AB16CB" w:rsidRPr="0024327D">
        <w:rPr>
          <w:lang w:val="uk-UA"/>
        </w:rPr>
        <w:t xml:space="preserve">fonds commun </w:t>
      </w:r>
      <w:r w:rsidR="00AF6D74" w:rsidRPr="0024327D">
        <w:rPr>
          <w:lang w:val="en-US"/>
        </w:rPr>
        <w:t>de</w:t>
      </w:r>
      <w:r w:rsidR="00AF6D74" w:rsidRPr="0024327D">
        <w:rPr>
          <w:lang w:val="uk-UA"/>
        </w:rPr>
        <w:t xml:space="preserve"> </w:t>
      </w:r>
      <w:r w:rsidR="00AB16CB" w:rsidRPr="0024327D">
        <w:rPr>
          <w:lang w:val="uk-UA"/>
        </w:rPr>
        <w:t>créances</w:t>
      </w:r>
      <w:r w:rsidR="00E84BFE" w:rsidRPr="0024327D">
        <w:rPr>
          <w:lang w:val="uk-UA"/>
        </w:rPr>
        <w:t>”</w:t>
      </w:r>
      <w:r w:rsidR="00AB16CB" w:rsidRPr="0024327D">
        <w:rPr>
          <w:lang w:val="uk-UA"/>
        </w:rPr>
        <w:t>). В інших юрисдикціях використовувались</w:t>
      </w:r>
      <w:r w:rsidR="00BC590E" w:rsidRPr="0024327D">
        <w:rPr>
          <w:lang w:val="uk-UA"/>
        </w:rPr>
        <w:t xml:space="preserve"> юридичні особи</w:t>
      </w:r>
      <w:r w:rsidR="00A473AE" w:rsidRPr="0024327D">
        <w:rPr>
          <w:lang w:val="uk-UA"/>
        </w:rPr>
        <w:t xml:space="preserve">, </w:t>
      </w:r>
      <w:r w:rsidR="00AB16CB" w:rsidRPr="0024327D">
        <w:rPr>
          <w:lang w:val="uk-UA"/>
        </w:rPr>
        <w:t>створені відповідно до іноземного законодавства.</w:t>
      </w:r>
    </w:p>
    <w:p w14:paraId="13C4AE11" w14:textId="4D5C9873" w:rsidR="00DD3B5B" w:rsidRPr="0024327D" w:rsidRDefault="00A473AE" w:rsidP="002A17E0">
      <w:pPr>
        <w:pStyle w:val="3"/>
        <w:ind w:left="864"/>
        <w:rPr>
          <w:lang w:val="uk-UA"/>
        </w:rPr>
      </w:pPr>
      <w:bookmarkStart w:id="55" w:name="_Toc95480987"/>
      <w:r w:rsidRPr="0024327D">
        <w:rPr>
          <w:lang w:val="uk-UA"/>
        </w:rPr>
        <w:t>Передача активів</w:t>
      </w:r>
      <w:bookmarkEnd w:id="55"/>
    </w:p>
    <w:p w14:paraId="7B5672E0" w14:textId="28717E4F" w:rsidR="00DD3B5B" w:rsidRPr="0024327D" w:rsidRDefault="0055008D" w:rsidP="00C040CE">
      <w:pPr>
        <w:rPr>
          <w:lang w:val="uk-UA"/>
        </w:rPr>
      </w:pPr>
      <w:r w:rsidRPr="0024327D">
        <w:rPr>
          <w:lang w:val="uk-UA"/>
        </w:rPr>
        <w:t>Необхідно</w:t>
      </w:r>
      <w:r w:rsidR="00A473AE" w:rsidRPr="0024327D">
        <w:rPr>
          <w:lang w:val="uk-UA"/>
        </w:rPr>
        <w:t>, щоб а</w:t>
      </w:r>
      <w:r w:rsidR="00C040CE" w:rsidRPr="0024327D">
        <w:rPr>
          <w:lang w:val="uk-UA"/>
        </w:rPr>
        <w:t xml:space="preserve">ктиви були передані </w:t>
      </w:r>
      <w:r w:rsidRPr="0024327D">
        <w:rPr>
          <w:lang w:val="uk-UA"/>
        </w:rPr>
        <w:t>к</w:t>
      </w:r>
      <w:r w:rsidR="00C040CE" w:rsidRPr="0024327D">
        <w:rPr>
          <w:lang w:val="uk-UA"/>
        </w:rPr>
        <w:t>омпанії спеціального призначення</w:t>
      </w:r>
      <w:r w:rsidR="00A473AE" w:rsidRPr="0024327D">
        <w:rPr>
          <w:lang w:val="uk-UA"/>
        </w:rPr>
        <w:t xml:space="preserve">. </w:t>
      </w:r>
      <w:r w:rsidR="007B2BC0" w:rsidRPr="0024327D">
        <w:rPr>
          <w:lang w:val="uk-UA"/>
        </w:rPr>
        <w:t xml:space="preserve">Для цього </w:t>
      </w:r>
      <w:r w:rsidR="00692791" w:rsidRPr="0024327D">
        <w:rPr>
          <w:lang w:val="uk-UA"/>
        </w:rPr>
        <w:t xml:space="preserve">у більшості юрисдикцій </w:t>
      </w:r>
      <w:r w:rsidR="007B2BC0" w:rsidRPr="0024327D">
        <w:rPr>
          <w:lang w:val="uk-UA"/>
        </w:rPr>
        <w:t>і</w:t>
      </w:r>
      <w:r w:rsidR="00A473AE" w:rsidRPr="0024327D">
        <w:rPr>
          <w:lang w:val="uk-UA"/>
        </w:rPr>
        <w:t xml:space="preserve">снує безліч способів, зокрема, </w:t>
      </w:r>
      <w:r w:rsidR="007411C4" w:rsidRPr="0024327D">
        <w:rPr>
          <w:lang w:val="uk-UA"/>
        </w:rPr>
        <w:t>відступлення (</w:t>
      </w:r>
      <w:r w:rsidR="00A473AE" w:rsidRPr="0024327D">
        <w:rPr>
          <w:lang w:val="uk-UA"/>
        </w:rPr>
        <w:t>продаж</w:t>
      </w:r>
      <w:r w:rsidR="007411C4" w:rsidRPr="0024327D">
        <w:rPr>
          <w:lang w:val="uk-UA"/>
        </w:rPr>
        <w:t>)</w:t>
      </w:r>
      <w:r w:rsidR="00A473AE" w:rsidRPr="0024327D">
        <w:rPr>
          <w:lang w:val="uk-UA"/>
        </w:rPr>
        <w:t xml:space="preserve"> </w:t>
      </w:r>
      <w:r w:rsidR="00C040CE" w:rsidRPr="0024327D">
        <w:rPr>
          <w:lang w:val="uk-UA"/>
        </w:rPr>
        <w:t xml:space="preserve">права вимоги або </w:t>
      </w:r>
      <w:r w:rsidR="00B90888" w:rsidRPr="0024327D">
        <w:rPr>
          <w:lang w:val="uk-UA"/>
        </w:rPr>
        <w:t xml:space="preserve">укладення </w:t>
      </w:r>
      <w:r w:rsidR="00C040CE" w:rsidRPr="0024327D">
        <w:rPr>
          <w:lang w:val="uk-UA"/>
        </w:rPr>
        <w:t>деклараці</w:t>
      </w:r>
      <w:r w:rsidR="00B90888" w:rsidRPr="0024327D">
        <w:rPr>
          <w:lang w:val="uk-UA"/>
        </w:rPr>
        <w:t>ї</w:t>
      </w:r>
      <w:r w:rsidR="00C040CE" w:rsidRPr="0024327D">
        <w:rPr>
          <w:lang w:val="uk-UA"/>
        </w:rPr>
        <w:t xml:space="preserve"> про створення трас</w:t>
      </w:r>
      <w:r w:rsidR="00692791" w:rsidRPr="0024327D">
        <w:rPr>
          <w:lang w:val="uk-UA"/>
        </w:rPr>
        <w:t>т</w:t>
      </w:r>
      <w:r w:rsidR="00C040CE" w:rsidRPr="0024327D">
        <w:rPr>
          <w:lang w:val="uk-UA"/>
        </w:rPr>
        <w:t>у щодо прав вимоги</w:t>
      </w:r>
      <w:r w:rsidR="00DD3B5B" w:rsidRPr="0024327D">
        <w:rPr>
          <w:lang w:val="uk-UA"/>
        </w:rPr>
        <w:t>.</w:t>
      </w:r>
      <w:r w:rsidR="00E41276" w:rsidRPr="0024327D">
        <w:rPr>
          <w:rStyle w:val="af2"/>
          <w:lang w:val="uk-UA"/>
        </w:rPr>
        <w:footnoteReference w:id="24"/>
      </w:r>
    </w:p>
    <w:p w14:paraId="3E81FE20" w14:textId="36E83CD8" w:rsidR="00DD3B5B" w:rsidRPr="0024327D" w:rsidRDefault="00C040CE" w:rsidP="00501D25">
      <w:pPr>
        <w:rPr>
          <w:lang w:val="uk-UA"/>
        </w:rPr>
      </w:pPr>
      <w:r w:rsidRPr="0024327D">
        <w:rPr>
          <w:lang w:val="uk-UA"/>
        </w:rPr>
        <w:t>Необхідно, що</w:t>
      </w:r>
      <w:r w:rsidR="00B90888" w:rsidRPr="0024327D">
        <w:rPr>
          <w:lang w:val="uk-UA"/>
        </w:rPr>
        <w:t>б</w:t>
      </w:r>
      <w:r w:rsidRPr="0024327D">
        <w:rPr>
          <w:lang w:val="uk-UA"/>
        </w:rPr>
        <w:t xml:space="preserve"> використовуваний метод</w:t>
      </w:r>
      <w:r w:rsidR="00DD3B5B" w:rsidRPr="0024327D">
        <w:rPr>
          <w:lang w:val="uk-UA"/>
        </w:rPr>
        <w:t>:</w:t>
      </w:r>
    </w:p>
    <w:p w14:paraId="1BFEEA1E" w14:textId="0F4ECE70" w:rsidR="00DD3B5B" w:rsidRPr="0024327D" w:rsidRDefault="00C040CE" w:rsidP="002C613C">
      <w:pPr>
        <w:pStyle w:val="a4"/>
        <w:numPr>
          <w:ilvl w:val="0"/>
          <w:numId w:val="2"/>
        </w:numPr>
        <w:rPr>
          <w:lang w:val="uk-UA"/>
        </w:rPr>
      </w:pPr>
      <w:r w:rsidRPr="0024327D">
        <w:rPr>
          <w:lang w:val="uk-UA"/>
        </w:rPr>
        <w:t xml:space="preserve">забезпечував наявність прямого законного права вимоги щодо активів, яке, наприклад, не може бути оскаржене незабезпеченими кредиторами </w:t>
      </w:r>
      <w:r w:rsidR="001732D3" w:rsidRPr="0024327D">
        <w:rPr>
          <w:lang w:val="uk-UA"/>
        </w:rPr>
        <w:t>о</w:t>
      </w:r>
      <w:r w:rsidR="007411C4" w:rsidRPr="0024327D">
        <w:rPr>
          <w:lang w:val="uk-UA"/>
        </w:rPr>
        <w:t>ригінатора</w:t>
      </w:r>
      <w:r w:rsidRPr="0024327D">
        <w:rPr>
          <w:lang w:val="uk-UA"/>
        </w:rPr>
        <w:t xml:space="preserve">. Цього можна досягти, зокрема, шляхом забезпечення </w:t>
      </w:r>
      <w:r w:rsidR="007B2BC0" w:rsidRPr="0024327D">
        <w:rPr>
          <w:lang w:val="uk-UA"/>
        </w:rPr>
        <w:t xml:space="preserve">неможливості </w:t>
      </w:r>
      <w:r w:rsidR="00666686" w:rsidRPr="0024327D">
        <w:rPr>
          <w:lang w:val="uk-UA"/>
        </w:rPr>
        <w:t xml:space="preserve">перекваліфікації </w:t>
      </w:r>
      <w:r w:rsidR="007B2BC0" w:rsidRPr="0024327D">
        <w:rPr>
          <w:lang w:val="uk-UA"/>
        </w:rPr>
        <w:t xml:space="preserve">або визнання </w:t>
      </w:r>
      <w:r w:rsidR="00692791" w:rsidRPr="0024327D">
        <w:rPr>
          <w:lang w:val="uk-UA"/>
        </w:rPr>
        <w:t xml:space="preserve">її </w:t>
      </w:r>
      <w:r w:rsidR="007B2BC0" w:rsidRPr="0024327D">
        <w:rPr>
          <w:lang w:val="uk-UA"/>
        </w:rPr>
        <w:t>недійсною</w:t>
      </w:r>
      <w:r w:rsidRPr="0024327D">
        <w:rPr>
          <w:lang w:val="uk-UA"/>
        </w:rPr>
        <w:t xml:space="preserve"> у судовому порядку, якщо </w:t>
      </w:r>
      <w:r w:rsidR="0057157A" w:rsidRPr="0024327D">
        <w:rPr>
          <w:lang w:val="uk-UA"/>
        </w:rPr>
        <w:t xml:space="preserve">щодо </w:t>
      </w:r>
      <w:r w:rsidR="001732D3" w:rsidRPr="0024327D">
        <w:rPr>
          <w:lang w:val="uk-UA"/>
        </w:rPr>
        <w:t>о</w:t>
      </w:r>
      <w:r w:rsidR="00444C88" w:rsidRPr="0024327D">
        <w:rPr>
          <w:lang w:val="uk-UA"/>
        </w:rPr>
        <w:t xml:space="preserve">ригінатора </w:t>
      </w:r>
      <w:r w:rsidRPr="0024327D">
        <w:rPr>
          <w:lang w:val="uk-UA"/>
        </w:rPr>
        <w:t xml:space="preserve">згодом </w:t>
      </w:r>
      <w:r w:rsidR="0057157A" w:rsidRPr="0024327D">
        <w:rPr>
          <w:lang w:val="uk-UA"/>
        </w:rPr>
        <w:t xml:space="preserve">буде </w:t>
      </w:r>
      <w:r w:rsidRPr="0024327D">
        <w:rPr>
          <w:lang w:val="uk-UA"/>
        </w:rPr>
        <w:t>розпоч</w:t>
      </w:r>
      <w:r w:rsidR="0057157A" w:rsidRPr="0024327D">
        <w:rPr>
          <w:lang w:val="uk-UA"/>
        </w:rPr>
        <w:t>ата</w:t>
      </w:r>
      <w:r w:rsidR="00373F95" w:rsidRPr="0024327D">
        <w:rPr>
          <w:lang w:val="uk-UA"/>
        </w:rPr>
        <w:t xml:space="preserve"> </w:t>
      </w:r>
      <w:r w:rsidRPr="0024327D">
        <w:rPr>
          <w:lang w:val="uk-UA"/>
        </w:rPr>
        <w:t>процедур</w:t>
      </w:r>
      <w:r w:rsidR="0057157A" w:rsidRPr="0024327D">
        <w:rPr>
          <w:lang w:val="uk-UA"/>
        </w:rPr>
        <w:t>а</w:t>
      </w:r>
      <w:r w:rsidR="00947C83" w:rsidRPr="0024327D">
        <w:rPr>
          <w:lang w:val="uk-UA"/>
        </w:rPr>
        <w:t xml:space="preserve"> </w:t>
      </w:r>
      <w:r w:rsidR="00685C6F" w:rsidRPr="0024327D">
        <w:rPr>
          <w:lang w:val="uk-UA"/>
        </w:rPr>
        <w:t>неплатоспроможності</w:t>
      </w:r>
      <w:r w:rsidR="0057157A" w:rsidRPr="0024327D">
        <w:rPr>
          <w:lang w:val="uk-UA"/>
        </w:rPr>
        <w:t xml:space="preserve"> або ліквідації</w:t>
      </w:r>
      <w:r w:rsidR="00002406" w:rsidRPr="0024327D">
        <w:rPr>
          <w:lang w:val="uk-UA"/>
        </w:rPr>
        <w:t>;</w:t>
      </w:r>
      <w:r w:rsidR="00744BCB" w:rsidRPr="0024327D">
        <w:rPr>
          <w:rStyle w:val="af2"/>
          <w:lang w:val="uk-UA"/>
        </w:rPr>
        <w:footnoteReference w:id="25"/>
      </w:r>
    </w:p>
    <w:p w14:paraId="1D68483C" w14:textId="3D6E412B" w:rsidR="00DD3B5B" w:rsidRPr="0024327D" w:rsidRDefault="00C040CE" w:rsidP="00501D25">
      <w:pPr>
        <w:pStyle w:val="a4"/>
        <w:numPr>
          <w:ilvl w:val="0"/>
          <w:numId w:val="2"/>
        </w:numPr>
        <w:rPr>
          <w:lang w:val="uk-UA"/>
        </w:rPr>
      </w:pPr>
      <w:r w:rsidRPr="0024327D">
        <w:rPr>
          <w:lang w:val="uk-UA"/>
        </w:rPr>
        <w:t>забезпечував передачу як первинн</w:t>
      </w:r>
      <w:r w:rsidR="002B26A5" w:rsidRPr="0024327D">
        <w:rPr>
          <w:lang w:val="uk-UA"/>
        </w:rPr>
        <w:t>их</w:t>
      </w:r>
      <w:r w:rsidRPr="0024327D">
        <w:rPr>
          <w:lang w:val="uk-UA"/>
        </w:rPr>
        <w:t xml:space="preserve"> актив</w:t>
      </w:r>
      <w:r w:rsidR="002B26A5" w:rsidRPr="0024327D">
        <w:rPr>
          <w:lang w:val="uk-UA"/>
        </w:rPr>
        <w:t>ів</w:t>
      </w:r>
      <w:r w:rsidRPr="0024327D">
        <w:rPr>
          <w:lang w:val="uk-UA"/>
        </w:rPr>
        <w:t xml:space="preserve"> (наприклад, прав</w:t>
      </w:r>
      <w:r w:rsidR="002B26A5" w:rsidRPr="0024327D">
        <w:rPr>
          <w:lang w:val="uk-UA"/>
        </w:rPr>
        <w:t>а</w:t>
      </w:r>
      <w:r w:rsidRPr="0024327D">
        <w:rPr>
          <w:lang w:val="uk-UA"/>
        </w:rPr>
        <w:t xml:space="preserve"> на отримання </w:t>
      </w:r>
      <w:r w:rsidR="002B26A5" w:rsidRPr="0024327D">
        <w:rPr>
          <w:lang w:val="uk-UA"/>
        </w:rPr>
        <w:t xml:space="preserve">процентів </w:t>
      </w:r>
      <w:r w:rsidRPr="0024327D">
        <w:rPr>
          <w:lang w:val="uk-UA"/>
        </w:rPr>
        <w:t xml:space="preserve">та виплат за кредитним договором), так і </w:t>
      </w:r>
      <w:r w:rsidR="00FB3C23" w:rsidRPr="0024327D">
        <w:rPr>
          <w:lang w:val="uk-UA"/>
        </w:rPr>
        <w:t xml:space="preserve">пов’язаних </w:t>
      </w:r>
      <w:r w:rsidRPr="0024327D">
        <w:rPr>
          <w:lang w:val="uk-UA"/>
        </w:rPr>
        <w:t xml:space="preserve">прав (наприклад, </w:t>
      </w:r>
      <w:r w:rsidR="002B26A5" w:rsidRPr="0024327D">
        <w:rPr>
          <w:lang w:val="uk-UA"/>
        </w:rPr>
        <w:t>прав</w:t>
      </w:r>
      <w:r w:rsidR="007B2BC0" w:rsidRPr="0024327D">
        <w:rPr>
          <w:lang w:val="uk-UA"/>
        </w:rPr>
        <w:t>а</w:t>
      </w:r>
      <w:r w:rsidR="002B26A5" w:rsidRPr="0024327D">
        <w:rPr>
          <w:lang w:val="uk-UA"/>
        </w:rPr>
        <w:t xml:space="preserve"> на предмет </w:t>
      </w:r>
      <w:r w:rsidR="006F1C57" w:rsidRPr="0024327D">
        <w:rPr>
          <w:lang w:val="uk-UA"/>
        </w:rPr>
        <w:t xml:space="preserve">забезпечення </w:t>
      </w:r>
      <w:r w:rsidR="002B26A5" w:rsidRPr="0024327D">
        <w:rPr>
          <w:lang w:val="uk-UA"/>
        </w:rPr>
        <w:t>за кредитом</w:t>
      </w:r>
      <w:r w:rsidR="00DD3B5B" w:rsidRPr="0024327D">
        <w:rPr>
          <w:lang w:val="uk-UA"/>
        </w:rPr>
        <w:t>);</w:t>
      </w:r>
    </w:p>
    <w:p w14:paraId="44A7D647" w14:textId="6CA321A0" w:rsidR="00DD3B5B" w:rsidRPr="0024327D" w:rsidRDefault="00631398" w:rsidP="00EF2A41">
      <w:pPr>
        <w:pStyle w:val="a4"/>
        <w:numPr>
          <w:ilvl w:val="0"/>
          <w:numId w:val="2"/>
        </w:numPr>
        <w:rPr>
          <w:lang w:val="uk-UA"/>
        </w:rPr>
      </w:pPr>
      <w:r w:rsidRPr="0024327D">
        <w:rPr>
          <w:lang w:val="uk-UA"/>
        </w:rPr>
        <w:t xml:space="preserve">не суперечив </w:t>
      </w:r>
      <w:r w:rsidR="002B26A5" w:rsidRPr="0024327D">
        <w:rPr>
          <w:lang w:val="uk-UA"/>
        </w:rPr>
        <w:t xml:space="preserve">умовам </w:t>
      </w:r>
      <w:r w:rsidR="009D3E60" w:rsidRPr="0024327D">
        <w:rPr>
          <w:lang w:val="uk-UA"/>
        </w:rPr>
        <w:t xml:space="preserve">договорів щодо </w:t>
      </w:r>
      <w:r w:rsidR="002B26A5" w:rsidRPr="0024327D">
        <w:rPr>
          <w:lang w:val="uk-UA"/>
        </w:rPr>
        <w:t>активів</w:t>
      </w:r>
      <w:r w:rsidR="00FB3CE9" w:rsidRPr="0024327D">
        <w:rPr>
          <w:lang w:val="uk-UA"/>
        </w:rPr>
        <w:t>, включених до забезпечення</w:t>
      </w:r>
      <w:r w:rsidR="002B26A5" w:rsidRPr="0024327D">
        <w:rPr>
          <w:lang w:val="uk-UA"/>
        </w:rPr>
        <w:t xml:space="preserve">. У деяких випадках </w:t>
      </w:r>
      <w:r w:rsidR="00675A26" w:rsidRPr="0024327D">
        <w:rPr>
          <w:lang w:val="uk-UA"/>
        </w:rPr>
        <w:t xml:space="preserve">договори </w:t>
      </w:r>
      <w:r w:rsidR="002B26A5" w:rsidRPr="0024327D">
        <w:rPr>
          <w:lang w:val="uk-UA"/>
        </w:rPr>
        <w:t>про іпотечн</w:t>
      </w:r>
      <w:r w:rsidR="00675A26" w:rsidRPr="0024327D">
        <w:rPr>
          <w:lang w:val="uk-UA"/>
        </w:rPr>
        <w:t xml:space="preserve">е кредитування </w:t>
      </w:r>
      <w:r w:rsidR="002B26A5" w:rsidRPr="0024327D">
        <w:rPr>
          <w:lang w:val="uk-UA"/>
        </w:rPr>
        <w:t>м</w:t>
      </w:r>
      <w:r w:rsidR="00675A26" w:rsidRPr="0024327D">
        <w:rPr>
          <w:lang w:val="uk-UA"/>
        </w:rPr>
        <w:t xml:space="preserve">істять </w:t>
      </w:r>
      <w:r w:rsidR="002B26A5" w:rsidRPr="0024327D">
        <w:rPr>
          <w:lang w:val="uk-UA"/>
        </w:rPr>
        <w:t xml:space="preserve">обмеження щодо можливості </w:t>
      </w:r>
      <w:r w:rsidR="00675A26" w:rsidRPr="0024327D">
        <w:rPr>
          <w:lang w:val="uk-UA"/>
        </w:rPr>
        <w:t xml:space="preserve">передачі активів </w:t>
      </w:r>
      <w:r w:rsidR="001732D3" w:rsidRPr="0024327D">
        <w:rPr>
          <w:lang w:val="uk-UA"/>
        </w:rPr>
        <w:t>о</w:t>
      </w:r>
      <w:r w:rsidR="00444C88" w:rsidRPr="0024327D">
        <w:rPr>
          <w:lang w:val="uk-UA"/>
        </w:rPr>
        <w:t>ригінатором</w:t>
      </w:r>
      <w:r w:rsidR="00675A26" w:rsidRPr="0024327D">
        <w:rPr>
          <w:lang w:val="uk-UA"/>
        </w:rPr>
        <w:t>, зокрема,</w:t>
      </w:r>
      <w:r w:rsidR="002B26A5" w:rsidRPr="0024327D">
        <w:rPr>
          <w:lang w:val="uk-UA"/>
        </w:rPr>
        <w:t xml:space="preserve"> </w:t>
      </w:r>
      <w:r w:rsidR="00675A26" w:rsidRPr="0024327D">
        <w:rPr>
          <w:lang w:val="uk-UA"/>
        </w:rPr>
        <w:t>положення про</w:t>
      </w:r>
      <w:r w:rsidR="002B26A5" w:rsidRPr="0024327D">
        <w:rPr>
          <w:lang w:val="uk-UA"/>
        </w:rPr>
        <w:t xml:space="preserve"> банківську таємницю та правила</w:t>
      </w:r>
      <w:r w:rsidRPr="0024327D">
        <w:rPr>
          <w:lang w:val="uk-UA"/>
        </w:rPr>
        <w:t xml:space="preserve"> про</w:t>
      </w:r>
      <w:r w:rsidR="002B26A5" w:rsidRPr="0024327D">
        <w:rPr>
          <w:lang w:val="uk-UA"/>
        </w:rPr>
        <w:t xml:space="preserve"> захист</w:t>
      </w:r>
      <w:r w:rsidRPr="0024327D">
        <w:rPr>
          <w:lang w:val="uk-UA"/>
        </w:rPr>
        <w:t xml:space="preserve"> персональних</w:t>
      </w:r>
      <w:r w:rsidR="002B26A5" w:rsidRPr="0024327D">
        <w:rPr>
          <w:lang w:val="uk-UA"/>
        </w:rPr>
        <w:t xml:space="preserve"> даних. </w:t>
      </w:r>
      <w:r w:rsidR="00675A26" w:rsidRPr="0024327D">
        <w:rPr>
          <w:lang w:val="uk-UA"/>
        </w:rPr>
        <w:t xml:space="preserve">У деяких юрисдикціях цього можна уникнути: переписати </w:t>
      </w:r>
      <w:r w:rsidR="002B26A5" w:rsidRPr="0024327D">
        <w:rPr>
          <w:lang w:val="uk-UA"/>
        </w:rPr>
        <w:t xml:space="preserve">стандартну документацію, </w:t>
      </w:r>
      <w:r w:rsidR="00675A26" w:rsidRPr="0024327D">
        <w:rPr>
          <w:lang w:val="uk-UA"/>
        </w:rPr>
        <w:t xml:space="preserve">надати </w:t>
      </w:r>
      <w:r w:rsidR="002B26A5" w:rsidRPr="0024327D">
        <w:rPr>
          <w:lang w:val="uk-UA"/>
        </w:rPr>
        <w:t>позичальникам</w:t>
      </w:r>
      <w:r w:rsidR="00675A26" w:rsidRPr="0024327D">
        <w:rPr>
          <w:lang w:val="uk-UA"/>
        </w:rPr>
        <w:t xml:space="preserve"> письмові повідомлення </w:t>
      </w:r>
      <w:r w:rsidR="002B26A5" w:rsidRPr="0024327D">
        <w:rPr>
          <w:lang w:val="uk-UA"/>
        </w:rPr>
        <w:t xml:space="preserve">про внесення змін до умов або </w:t>
      </w:r>
      <w:r w:rsidR="00A16F44" w:rsidRPr="0024327D">
        <w:rPr>
          <w:lang w:val="uk-UA"/>
        </w:rPr>
        <w:t>“</w:t>
      </w:r>
      <w:r w:rsidR="007B2BC0" w:rsidRPr="0024327D">
        <w:rPr>
          <w:lang w:val="uk-UA"/>
        </w:rPr>
        <w:t>перекрити</w:t>
      </w:r>
      <w:r w:rsidR="00E84BFE" w:rsidRPr="0024327D">
        <w:rPr>
          <w:lang w:val="uk-UA"/>
        </w:rPr>
        <w:t>”</w:t>
      </w:r>
      <w:r w:rsidR="007B2BC0" w:rsidRPr="0024327D">
        <w:rPr>
          <w:lang w:val="uk-UA"/>
        </w:rPr>
        <w:t xml:space="preserve"> проблему на законодавчому рівні, </w:t>
      </w:r>
      <w:r w:rsidR="002B26A5" w:rsidRPr="0024327D">
        <w:rPr>
          <w:lang w:val="uk-UA"/>
        </w:rPr>
        <w:t xml:space="preserve">наприклад, визначивши </w:t>
      </w:r>
      <w:r w:rsidR="009154DB" w:rsidRPr="0024327D">
        <w:rPr>
          <w:lang w:val="uk-UA"/>
        </w:rPr>
        <w:t>к</w:t>
      </w:r>
      <w:r w:rsidR="007B2BC0" w:rsidRPr="0024327D">
        <w:rPr>
          <w:lang w:val="uk-UA"/>
        </w:rPr>
        <w:t xml:space="preserve">омпанію спеціального призначення організацією, </w:t>
      </w:r>
      <w:r w:rsidR="002B26A5" w:rsidRPr="0024327D">
        <w:rPr>
          <w:lang w:val="uk-UA"/>
        </w:rPr>
        <w:t xml:space="preserve">якій дозволено розкриття інформації (наприклад, </w:t>
      </w:r>
      <w:r w:rsidR="007B2BC0" w:rsidRPr="0024327D">
        <w:rPr>
          <w:lang w:val="uk-UA"/>
        </w:rPr>
        <w:t xml:space="preserve">поряд з </w:t>
      </w:r>
      <w:r w:rsidR="002B26A5" w:rsidRPr="0024327D">
        <w:rPr>
          <w:lang w:val="uk-UA"/>
        </w:rPr>
        <w:t>аудиторами або регулятор</w:t>
      </w:r>
      <w:r w:rsidR="007B2BC0" w:rsidRPr="0024327D">
        <w:rPr>
          <w:lang w:val="uk-UA"/>
        </w:rPr>
        <w:t>ними органами</w:t>
      </w:r>
      <w:r w:rsidR="002B26A5" w:rsidRPr="0024327D">
        <w:rPr>
          <w:lang w:val="uk-UA"/>
        </w:rPr>
        <w:t xml:space="preserve">). Крім того, </w:t>
      </w:r>
      <w:r w:rsidR="007B2BC0" w:rsidRPr="0024327D">
        <w:rPr>
          <w:lang w:val="uk-UA"/>
        </w:rPr>
        <w:t>у деяких договорах</w:t>
      </w:r>
      <w:r w:rsidR="002B26A5" w:rsidRPr="0024327D">
        <w:rPr>
          <w:lang w:val="uk-UA"/>
        </w:rPr>
        <w:t xml:space="preserve"> та/або юрисдикці</w:t>
      </w:r>
      <w:r w:rsidR="007B2BC0" w:rsidRPr="0024327D">
        <w:rPr>
          <w:lang w:val="uk-UA"/>
        </w:rPr>
        <w:t xml:space="preserve">ях </w:t>
      </w:r>
      <w:r w:rsidR="00EF2A41" w:rsidRPr="0024327D">
        <w:rPr>
          <w:lang w:val="uk-UA"/>
        </w:rPr>
        <w:t xml:space="preserve">презюмується таємниця договору, і це має вирішуватися </w:t>
      </w:r>
      <w:r w:rsidR="00F63D59" w:rsidRPr="0024327D">
        <w:rPr>
          <w:lang w:val="uk-UA"/>
        </w:rPr>
        <w:t>на законодавчому рівні</w:t>
      </w:r>
      <w:r w:rsidR="00DE7BD1" w:rsidRPr="0024327D">
        <w:rPr>
          <w:lang w:val="uk-UA"/>
        </w:rPr>
        <w:t>;</w:t>
      </w:r>
    </w:p>
    <w:p w14:paraId="3677967B" w14:textId="082AD64C" w:rsidR="00EF2A41" w:rsidRPr="0024327D" w:rsidRDefault="00EF2A41" w:rsidP="00D501BB">
      <w:pPr>
        <w:pStyle w:val="a4"/>
        <w:numPr>
          <w:ilvl w:val="0"/>
          <w:numId w:val="2"/>
        </w:numPr>
        <w:rPr>
          <w:lang w:val="uk-UA"/>
        </w:rPr>
      </w:pPr>
      <w:r w:rsidRPr="0024327D">
        <w:rPr>
          <w:lang w:val="uk-UA"/>
        </w:rPr>
        <w:lastRenderedPageBreak/>
        <w:t>в ідеалі спосіб передачі активів повинен не до</w:t>
      </w:r>
      <w:r w:rsidR="00FD06AF" w:rsidRPr="0024327D">
        <w:rPr>
          <w:lang w:val="uk-UA"/>
        </w:rPr>
        <w:t xml:space="preserve">зволяти </w:t>
      </w:r>
      <w:r w:rsidRPr="0024327D">
        <w:rPr>
          <w:lang w:val="uk-UA"/>
        </w:rPr>
        <w:t>позичальникам</w:t>
      </w:r>
      <w:r w:rsidR="00692791" w:rsidRPr="0024327D">
        <w:rPr>
          <w:lang w:val="uk-UA"/>
        </w:rPr>
        <w:t>-учасникам</w:t>
      </w:r>
      <w:r w:rsidR="00FD06AF" w:rsidRPr="0024327D">
        <w:rPr>
          <w:lang w:val="uk-UA"/>
        </w:rPr>
        <w:t xml:space="preserve"> </w:t>
      </w:r>
      <w:r w:rsidRPr="0024327D">
        <w:rPr>
          <w:lang w:val="uk-UA"/>
        </w:rPr>
        <w:t xml:space="preserve">пулу </w:t>
      </w:r>
      <w:r w:rsidR="00FD06AF" w:rsidRPr="0024327D">
        <w:rPr>
          <w:lang w:val="uk-UA"/>
        </w:rPr>
        <w:t>зді</w:t>
      </w:r>
      <w:r w:rsidR="00033D9D" w:rsidRPr="0024327D">
        <w:rPr>
          <w:lang w:val="uk-UA"/>
        </w:rPr>
        <w:t>й</w:t>
      </w:r>
      <w:r w:rsidR="00FD06AF" w:rsidRPr="0024327D">
        <w:rPr>
          <w:lang w:val="uk-UA"/>
        </w:rPr>
        <w:t xml:space="preserve">снювати </w:t>
      </w:r>
      <w:r w:rsidR="00F63D59" w:rsidRPr="0024327D">
        <w:rPr>
          <w:lang w:val="uk-UA"/>
        </w:rPr>
        <w:t xml:space="preserve">зустрічне зарахування вимог за </w:t>
      </w:r>
      <w:r w:rsidR="00FD06AF" w:rsidRPr="0024327D">
        <w:rPr>
          <w:lang w:val="uk-UA"/>
        </w:rPr>
        <w:t>їх</w:t>
      </w:r>
      <w:r w:rsidR="00F63D59" w:rsidRPr="0024327D">
        <w:rPr>
          <w:lang w:val="uk-UA"/>
        </w:rPr>
        <w:t>німи</w:t>
      </w:r>
      <w:r w:rsidRPr="0024327D">
        <w:rPr>
          <w:lang w:val="uk-UA"/>
        </w:rPr>
        <w:t xml:space="preserve"> зобов'язан</w:t>
      </w:r>
      <w:r w:rsidR="00F63D59" w:rsidRPr="0024327D">
        <w:rPr>
          <w:lang w:val="uk-UA"/>
        </w:rPr>
        <w:t>нями</w:t>
      </w:r>
      <w:r w:rsidRPr="0024327D">
        <w:rPr>
          <w:lang w:val="uk-UA"/>
        </w:rPr>
        <w:t xml:space="preserve"> за </w:t>
      </w:r>
      <w:r w:rsidR="00FD06AF" w:rsidRPr="0024327D">
        <w:rPr>
          <w:lang w:val="uk-UA"/>
        </w:rPr>
        <w:t xml:space="preserve">кредитом </w:t>
      </w:r>
      <w:r w:rsidRPr="0024327D">
        <w:rPr>
          <w:lang w:val="uk-UA"/>
        </w:rPr>
        <w:t xml:space="preserve">та іпотекою </w:t>
      </w:r>
      <w:r w:rsidR="002E5EC3" w:rsidRPr="0024327D">
        <w:rPr>
          <w:lang w:val="uk-UA"/>
        </w:rPr>
        <w:t>проти</w:t>
      </w:r>
      <w:r w:rsidR="00FD06AF" w:rsidRPr="0024327D">
        <w:rPr>
          <w:lang w:val="uk-UA"/>
        </w:rPr>
        <w:t xml:space="preserve"> </w:t>
      </w:r>
      <w:r w:rsidRPr="0024327D">
        <w:rPr>
          <w:lang w:val="uk-UA"/>
        </w:rPr>
        <w:t>будь-яки</w:t>
      </w:r>
      <w:r w:rsidR="00FD06AF" w:rsidRPr="0024327D">
        <w:rPr>
          <w:lang w:val="uk-UA"/>
        </w:rPr>
        <w:t xml:space="preserve">х їх </w:t>
      </w:r>
      <w:r w:rsidR="002E5EC3" w:rsidRPr="0024327D">
        <w:rPr>
          <w:lang w:val="uk-UA"/>
        </w:rPr>
        <w:t xml:space="preserve">вимог до </w:t>
      </w:r>
      <w:r w:rsidR="001732D3" w:rsidRPr="0024327D">
        <w:rPr>
          <w:lang w:val="uk-UA"/>
        </w:rPr>
        <w:t>о</w:t>
      </w:r>
      <w:r w:rsidR="009D4175" w:rsidRPr="0024327D">
        <w:rPr>
          <w:lang w:val="uk-UA"/>
        </w:rPr>
        <w:t xml:space="preserve">ригінатора </w:t>
      </w:r>
      <w:r w:rsidRPr="0024327D">
        <w:rPr>
          <w:lang w:val="uk-UA"/>
        </w:rPr>
        <w:t xml:space="preserve">- наприклад, </w:t>
      </w:r>
      <w:r w:rsidR="00FD06AF" w:rsidRPr="0024327D">
        <w:rPr>
          <w:lang w:val="uk-UA"/>
        </w:rPr>
        <w:t xml:space="preserve">їх </w:t>
      </w:r>
      <w:r w:rsidRPr="0024327D">
        <w:rPr>
          <w:lang w:val="uk-UA"/>
        </w:rPr>
        <w:t>поточни</w:t>
      </w:r>
      <w:r w:rsidR="00FD06AF" w:rsidRPr="0024327D">
        <w:rPr>
          <w:lang w:val="uk-UA"/>
        </w:rPr>
        <w:t>х</w:t>
      </w:r>
      <w:r w:rsidRPr="0024327D">
        <w:rPr>
          <w:lang w:val="uk-UA"/>
        </w:rPr>
        <w:t xml:space="preserve"> або депозитн</w:t>
      </w:r>
      <w:r w:rsidR="00FD06AF" w:rsidRPr="0024327D">
        <w:rPr>
          <w:lang w:val="uk-UA"/>
        </w:rPr>
        <w:t>и</w:t>
      </w:r>
      <w:r w:rsidR="002E5EC3" w:rsidRPr="0024327D">
        <w:rPr>
          <w:lang w:val="uk-UA"/>
        </w:rPr>
        <w:t>х</w:t>
      </w:r>
      <w:r w:rsidR="00FD06AF" w:rsidRPr="0024327D">
        <w:rPr>
          <w:lang w:val="uk-UA"/>
        </w:rPr>
        <w:t xml:space="preserve"> рахунків</w:t>
      </w:r>
      <w:r w:rsidRPr="0024327D">
        <w:rPr>
          <w:lang w:val="uk-UA"/>
        </w:rPr>
        <w:t>. Однак</w:t>
      </w:r>
      <w:r w:rsidR="00FD06AF" w:rsidRPr="0024327D">
        <w:rPr>
          <w:lang w:val="uk-UA"/>
        </w:rPr>
        <w:t xml:space="preserve">, як </w:t>
      </w:r>
      <w:r w:rsidR="00B90888" w:rsidRPr="0024327D">
        <w:rPr>
          <w:lang w:val="uk-UA"/>
        </w:rPr>
        <w:t xml:space="preserve">показує </w:t>
      </w:r>
      <w:r w:rsidR="00FD06AF" w:rsidRPr="0024327D">
        <w:rPr>
          <w:lang w:val="uk-UA"/>
        </w:rPr>
        <w:t xml:space="preserve">практика, це досить проблематичне </w:t>
      </w:r>
      <w:r w:rsidRPr="0024327D">
        <w:rPr>
          <w:lang w:val="uk-UA"/>
        </w:rPr>
        <w:t xml:space="preserve">питання, оскільки </w:t>
      </w:r>
      <w:r w:rsidR="00FD06AF" w:rsidRPr="0024327D">
        <w:rPr>
          <w:lang w:val="uk-UA"/>
        </w:rPr>
        <w:t xml:space="preserve">встановлення </w:t>
      </w:r>
      <w:r w:rsidRPr="0024327D">
        <w:rPr>
          <w:lang w:val="uk-UA"/>
        </w:rPr>
        <w:t xml:space="preserve">такого обмеження </w:t>
      </w:r>
      <w:r w:rsidR="00FD06AF" w:rsidRPr="0024327D">
        <w:rPr>
          <w:lang w:val="uk-UA"/>
        </w:rPr>
        <w:t xml:space="preserve">щодо </w:t>
      </w:r>
      <w:r w:rsidRPr="0024327D">
        <w:rPr>
          <w:lang w:val="uk-UA"/>
        </w:rPr>
        <w:t xml:space="preserve">позичальників може суперечити принципу непогіршення становища позичальників після включення </w:t>
      </w:r>
      <w:r w:rsidR="002E5EC3" w:rsidRPr="0024327D">
        <w:rPr>
          <w:lang w:val="uk-UA"/>
        </w:rPr>
        <w:t xml:space="preserve">їхньої заборгованості </w:t>
      </w:r>
      <w:r w:rsidRPr="0024327D">
        <w:rPr>
          <w:lang w:val="uk-UA"/>
        </w:rPr>
        <w:t xml:space="preserve">до </w:t>
      </w:r>
      <w:r w:rsidR="00FD06AF" w:rsidRPr="0024327D">
        <w:rPr>
          <w:lang w:val="uk-UA"/>
        </w:rPr>
        <w:t xml:space="preserve">складу </w:t>
      </w:r>
      <w:r w:rsidRPr="0024327D">
        <w:rPr>
          <w:lang w:val="uk-UA"/>
        </w:rPr>
        <w:t>пулу. Тому слід виробити зважену позицію</w:t>
      </w:r>
      <w:r w:rsidR="00FD06AF" w:rsidRPr="0024327D">
        <w:rPr>
          <w:lang w:val="uk-UA"/>
        </w:rPr>
        <w:t>.</w:t>
      </w:r>
    </w:p>
    <w:p w14:paraId="27F8A1EF" w14:textId="6C06C983" w:rsidR="00DD3B5B" w:rsidRPr="0024327D" w:rsidRDefault="00FD06AF" w:rsidP="00501D25">
      <w:pPr>
        <w:rPr>
          <w:lang w:val="uk-UA"/>
        </w:rPr>
      </w:pPr>
      <w:r w:rsidRPr="0024327D">
        <w:rPr>
          <w:lang w:val="uk-UA"/>
        </w:rPr>
        <w:t>У разі виконання усіх вищезазначених критерії</w:t>
      </w:r>
      <w:r w:rsidR="00FA79A8" w:rsidRPr="0024327D">
        <w:rPr>
          <w:lang w:val="uk-UA"/>
        </w:rPr>
        <w:t>в</w:t>
      </w:r>
      <w:r w:rsidRPr="0024327D">
        <w:rPr>
          <w:lang w:val="uk-UA"/>
        </w:rPr>
        <w:t xml:space="preserve"> передача може вважатися </w:t>
      </w:r>
      <w:r w:rsidR="00A16F44" w:rsidRPr="0024327D">
        <w:rPr>
          <w:lang w:val="uk-UA"/>
        </w:rPr>
        <w:t>“</w:t>
      </w:r>
      <w:r w:rsidR="00C32EA6" w:rsidRPr="0024327D">
        <w:rPr>
          <w:lang w:val="uk-UA"/>
        </w:rPr>
        <w:t xml:space="preserve">належним </w:t>
      </w:r>
      <w:r w:rsidR="00E84BFE" w:rsidRPr="0024327D">
        <w:rPr>
          <w:lang w:val="uk-UA"/>
        </w:rPr>
        <w:t>продажем”</w:t>
      </w:r>
      <w:r w:rsidR="00B23364" w:rsidRPr="0024327D">
        <w:rPr>
          <w:lang w:val="uk-UA"/>
        </w:rPr>
        <w:t xml:space="preserve"> (‘</w:t>
      </w:r>
      <w:r w:rsidR="00B23364" w:rsidRPr="0024327D">
        <w:rPr>
          <w:i/>
          <w:iCs/>
          <w:lang w:val="uk-UA"/>
        </w:rPr>
        <w:t>true sale</w:t>
      </w:r>
      <w:r w:rsidR="00B23364" w:rsidRPr="0024327D">
        <w:rPr>
          <w:lang w:val="uk-UA"/>
        </w:rPr>
        <w:t>’)</w:t>
      </w:r>
      <w:r w:rsidR="00002406" w:rsidRPr="0024327D">
        <w:rPr>
          <w:lang w:val="uk-UA"/>
        </w:rPr>
        <w:t>.</w:t>
      </w:r>
    </w:p>
    <w:p w14:paraId="086913F6" w14:textId="086B38C8" w:rsidR="00DD3B5B" w:rsidRPr="0024327D" w:rsidRDefault="00FD06AF" w:rsidP="002A17E0">
      <w:pPr>
        <w:pStyle w:val="3"/>
        <w:ind w:left="864"/>
        <w:rPr>
          <w:lang w:val="uk-UA"/>
        </w:rPr>
      </w:pPr>
      <w:bookmarkStart w:id="56" w:name="_Toc95480988"/>
      <w:bookmarkStart w:id="57" w:name="_Toc462854313"/>
      <w:bookmarkStart w:id="58" w:name="_Toc464582334"/>
      <w:r w:rsidRPr="0024327D">
        <w:rPr>
          <w:lang w:val="uk-UA"/>
        </w:rPr>
        <w:t>Створення забезпечення</w:t>
      </w:r>
      <w:bookmarkEnd w:id="56"/>
    </w:p>
    <w:p w14:paraId="422F7871" w14:textId="5F4BD183" w:rsidR="00DD3B5B" w:rsidRPr="0024327D" w:rsidRDefault="00692791" w:rsidP="00692791">
      <w:pPr>
        <w:rPr>
          <w:lang w:val="uk-UA"/>
        </w:rPr>
      </w:pPr>
      <w:r w:rsidRPr="0024327D">
        <w:rPr>
          <w:lang w:val="uk-UA"/>
        </w:rPr>
        <w:t xml:space="preserve">В ідеалі </w:t>
      </w:r>
      <w:r w:rsidR="00257E5F" w:rsidRPr="0024327D">
        <w:rPr>
          <w:lang w:val="uk-UA"/>
        </w:rPr>
        <w:t xml:space="preserve">вимоги </w:t>
      </w:r>
      <w:r w:rsidRPr="0024327D">
        <w:rPr>
          <w:lang w:val="uk-UA"/>
        </w:rPr>
        <w:t>кредитор</w:t>
      </w:r>
      <w:r w:rsidR="00257E5F" w:rsidRPr="0024327D">
        <w:rPr>
          <w:lang w:val="uk-UA"/>
        </w:rPr>
        <w:t>ів</w:t>
      </w:r>
      <w:r w:rsidRPr="0024327D">
        <w:rPr>
          <w:lang w:val="uk-UA"/>
        </w:rPr>
        <w:t xml:space="preserve"> </w:t>
      </w:r>
      <w:r w:rsidR="00257E5F" w:rsidRPr="0024327D">
        <w:rPr>
          <w:lang w:val="uk-UA"/>
        </w:rPr>
        <w:t>к</w:t>
      </w:r>
      <w:r w:rsidRPr="0024327D">
        <w:rPr>
          <w:lang w:val="uk-UA"/>
        </w:rPr>
        <w:t xml:space="preserve">омпанії спеціального призначення повинні </w:t>
      </w:r>
      <w:r w:rsidR="00257E5F" w:rsidRPr="0024327D">
        <w:rPr>
          <w:lang w:val="uk-UA"/>
        </w:rPr>
        <w:t>забезпечуватись її активами</w:t>
      </w:r>
      <w:r w:rsidRPr="0024327D">
        <w:rPr>
          <w:lang w:val="uk-UA"/>
        </w:rPr>
        <w:t xml:space="preserve">. Кредиторами є, переважно, власники облігацій, але кредиторами можуть бути також контрагенти за </w:t>
      </w:r>
      <w:r w:rsidR="00257E5F" w:rsidRPr="0024327D">
        <w:rPr>
          <w:lang w:val="uk-UA"/>
        </w:rPr>
        <w:t xml:space="preserve">деривативними контрактами </w:t>
      </w:r>
      <w:r w:rsidRPr="0024327D">
        <w:rPr>
          <w:lang w:val="uk-UA"/>
        </w:rPr>
        <w:t xml:space="preserve">та, наприклад, треті особи, такі як організації, що використовуються для обслуговування активів. </w:t>
      </w:r>
      <w:r w:rsidR="00326E9E" w:rsidRPr="0024327D">
        <w:rPr>
          <w:lang w:val="uk-UA"/>
        </w:rPr>
        <w:t xml:space="preserve">Черговість задоволення вимог </w:t>
      </w:r>
      <w:r w:rsidRPr="0024327D">
        <w:rPr>
          <w:lang w:val="uk-UA"/>
        </w:rPr>
        <w:t xml:space="preserve">таких кредиторів, зокрема, власників різних класів облігацій, визначатиметься </w:t>
      </w:r>
      <w:r w:rsidR="00C32EA6" w:rsidRPr="0024327D">
        <w:rPr>
          <w:lang w:val="uk-UA"/>
        </w:rPr>
        <w:t xml:space="preserve">умовами випуску або подібним інструментом договірного характеру (наприклад, </w:t>
      </w:r>
      <w:r w:rsidRPr="0024327D">
        <w:rPr>
          <w:lang w:val="uk-UA"/>
        </w:rPr>
        <w:t>договором між кредиторами</w:t>
      </w:r>
      <w:r w:rsidR="00C32EA6" w:rsidRPr="0024327D">
        <w:rPr>
          <w:lang w:val="uk-UA"/>
        </w:rPr>
        <w:t>)</w:t>
      </w:r>
      <w:r w:rsidR="00DD3B5B" w:rsidRPr="0024327D">
        <w:rPr>
          <w:lang w:val="uk-UA"/>
        </w:rPr>
        <w:t xml:space="preserve">. </w:t>
      </w:r>
    </w:p>
    <w:p w14:paraId="5DCE6298" w14:textId="3DFB5685" w:rsidR="00692791" w:rsidRPr="0024327D" w:rsidRDefault="00692791" w:rsidP="00501D25">
      <w:pPr>
        <w:rPr>
          <w:lang w:val="uk-UA"/>
        </w:rPr>
      </w:pPr>
      <w:r w:rsidRPr="0024327D">
        <w:rPr>
          <w:lang w:val="uk-UA"/>
        </w:rPr>
        <w:t>У деяких</w:t>
      </w:r>
      <w:r w:rsidR="00336CA6" w:rsidRPr="0024327D">
        <w:rPr>
          <w:lang w:val="uk-UA"/>
        </w:rPr>
        <w:t xml:space="preserve"> юрисдикціях</w:t>
      </w:r>
      <w:r w:rsidRPr="0024327D">
        <w:rPr>
          <w:lang w:val="uk-UA"/>
        </w:rPr>
        <w:t xml:space="preserve"> </w:t>
      </w:r>
      <w:r w:rsidR="004C2F23" w:rsidRPr="0024327D">
        <w:rPr>
          <w:lang w:val="uk-UA"/>
        </w:rPr>
        <w:t>забезпечення утримує довірчий управитель облігаціями</w:t>
      </w:r>
      <w:r w:rsidR="00850E81" w:rsidRPr="0024327D">
        <w:rPr>
          <w:lang w:val="uk-UA"/>
        </w:rPr>
        <w:t xml:space="preserve"> в інтересах</w:t>
      </w:r>
      <w:r w:rsidR="004C2F23" w:rsidRPr="0024327D">
        <w:rPr>
          <w:lang w:val="uk-UA"/>
        </w:rPr>
        <w:t xml:space="preserve"> </w:t>
      </w:r>
      <w:r w:rsidRPr="0024327D">
        <w:rPr>
          <w:lang w:val="uk-UA"/>
        </w:rPr>
        <w:t>забезпечених кредиторів.</w:t>
      </w:r>
    </w:p>
    <w:p w14:paraId="6CEF6C97" w14:textId="57732045" w:rsidR="00DD3B5B" w:rsidRPr="0024327D" w:rsidRDefault="008B4B7F" w:rsidP="00501D25">
      <w:pPr>
        <w:rPr>
          <w:lang w:val="uk-UA"/>
        </w:rPr>
      </w:pPr>
      <w:r w:rsidRPr="0024327D">
        <w:rPr>
          <w:lang w:val="uk-UA"/>
        </w:rPr>
        <w:t xml:space="preserve">Створення права </w:t>
      </w:r>
      <w:r w:rsidR="009C72C5" w:rsidRPr="0024327D">
        <w:rPr>
          <w:lang w:val="uk-UA"/>
        </w:rPr>
        <w:t>забезпечення</w:t>
      </w:r>
      <w:r w:rsidRPr="0024327D">
        <w:rPr>
          <w:lang w:val="uk-UA"/>
        </w:rPr>
        <w:t xml:space="preserve"> на активи</w:t>
      </w:r>
      <w:r w:rsidR="009C72C5" w:rsidRPr="0024327D">
        <w:rPr>
          <w:lang w:val="uk-UA"/>
        </w:rPr>
        <w:t xml:space="preserve"> </w:t>
      </w:r>
      <w:r w:rsidRPr="0024327D">
        <w:rPr>
          <w:lang w:val="uk-UA"/>
        </w:rPr>
        <w:t xml:space="preserve">не є обов’язковим, </w:t>
      </w:r>
      <w:r w:rsidR="009C72C5" w:rsidRPr="0024327D">
        <w:rPr>
          <w:lang w:val="uk-UA"/>
        </w:rPr>
        <w:t xml:space="preserve">у разі можливості достатнього обмеження діяльності </w:t>
      </w:r>
      <w:r w:rsidRPr="0024327D">
        <w:rPr>
          <w:lang w:val="uk-UA"/>
        </w:rPr>
        <w:t>к</w:t>
      </w:r>
      <w:r w:rsidR="009C72C5" w:rsidRPr="0024327D">
        <w:rPr>
          <w:lang w:val="uk-UA"/>
        </w:rPr>
        <w:t>омпанії спеціального призначення таким чином, щоб її ді</w:t>
      </w:r>
      <w:r w:rsidR="00544F24" w:rsidRPr="0024327D">
        <w:rPr>
          <w:lang w:val="uk-UA"/>
        </w:rPr>
        <w:t>яльність</w:t>
      </w:r>
      <w:r w:rsidR="009C72C5" w:rsidRPr="0024327D">
        <w:rPr>
          <w:lang w:val="uk-UA"/>
        </w:rPr>
        <w:t xml:space="preserve"> </w:t>
      </w:r>
      <w:r w:rsidR="00686A4A" w:rsidRPr="0024327D">
        <w:rPr>
          <w:lang w:val="uk-UA"/>
        </w:rPr>
        <w:t xml:space="preserve">обмежувалась </w:t>
      </w:r>
      <w:r w:rsidR="006A4514" w:rsidRPr="0024327D">
        <w:rPr>
          <w:lang w:val="uk-UA"/>
        </w:rPr>
        <w:t>т</w:t>
      </w:r>
      <w:r w:rsidR="00544F24" w:rsidRPr="0024327D">
        <w:rPr>
          <w:lang w:val="uk-UA"/>
        </w:rPr>
        <w:t xml:space="preserve">ими ж діями, що і </w:t>
      </w:r>
      <w:r w:rsidR="00686A4A" w:rsidRPr="0024327D">
        <w:rPr>
          <w:lang w:val="uk-UA"/>
        </w:rPr>
        <w:t>в</w:t>
      </w:r>
      <w:r w:rsidR="00373F95" w:rsidRPr="0024327D">
        <w:rPr>
          <w:lang w:val="uk-UA"/>
        </w:rPr>
        <w:t xml:space="preserve"> </w:t>
      </w:r>
      <w:r w:rsidR="009C72C5" w:rsidRPr="0024327D">
        <w:rPr>
          <w:lang w:val="uk-UA"/>
        </w:rPr>
        <w:t xml:space="preserve">разі </w:t>
      </w:r>
      <w:r w:rsidR="004117E6" w:rsidRPr="0024327D">
        <w:rPr>
          <w:lang w:val="uk-UA"/>
        </w:rPr>
        <w:t>існування забезпечення</w:t>
      </w:r>
      <w:r w:rsidR="00DD3B5B" w:rsidRPr="0024327D">
        <w:rPr>
          <w:lang w:val="uk-UA"/>
        </w:rPr>
        <w:t xml:space="preserve">. </w:t>
      </w:r>
    </w:p>
    <w:p w14:paraId="3825D471" w14:textId="2BAF11EF" w:rsidR="00DD3B5B" w:rsidRPr="0024327D" w:rsidRDefault="0044107A" w:rsidP="002A17E0">
      <w:pPr>
        <w:pStyle w:val="3"/>
        <w:ind w:left="864"/>
        <w:rPr>
          <w:lang w:val="uk-UA"/>
        </w:rPr>
      </w:pPr>
      <w:bookmarkStart w:id="59" w:name="_Toc513553422"/>
      <w:bookmarkStart w:id="60" w:name="_Toc6942245"/>
      <w:bookmarkStart w:id="61" w:name="_Toc5081033"/>
      <w:bookmarkStart w:id="62" w:name="_Toc27153444"/>
      <w:bookmarkStart w:id="63" w:name="_Toc95480989"/>
      <w:r w:rsidRPr="0024327D">
        <w:rPr>
          <w:lang w:val="uk-UA"/>
        </w:rPr>
        <w:t xml:space="preserve">Зниження </w:t>
      </w:r>
      <w:r w:rsidR="004117E6" w:rsidRPr="0024327D">
        <w:rPr>
          <w:lang w:val="uk-UA"/>
        </w:rPr>
        <w:t>кредитно</w:t>
      </w:r>
      <w:r w:rsidRPr="0024327D">
        <w:rPr>
          <w:lang w:val="uk-UA"/>
        </w:rPr>
        <w:t>го ризику</w:t>
      </w:r>
      <w:bookmarkEnd w:id="57"/>
      <w:bookmarkEnd w:id="58"/>
      <w:bookmarkEnd w:id="59"/>
      <w:bookmarkEnd w:id="60"/>
      <w:bookmarkEnd w:id="61"/>
      <w:bookmarkEnd w:id="62"/>
      <w:bookmarkEnd w:id="63"/>
    </w:p>
    <w:p w14:paraId="1E53C8FF" w14:textId="3F7E6F49" w:rsidR="00DD3B5B" w:rsidRPr="0024327D" w:rsidRDefault="004117E6" w:rsidP="00501D25">
      <w:pPr>
        <w:rPr>
          <w:lang w:val="uk-UA"/>
        </w:rPr>
      </w:pPr>
      <w:r w:rsidRPr="0024327D">
        <w:rPr>
          <w:lang w:val="uk-UA"/>
        </w:rPr>
        <w:t xml:space="preserve">Для досягнення найвищого можливого кредитного рейтингу </w:t>
      </w:r>
      <w:r w:rsidR="00110EBC" w:rsidRPr="0024327D">
        <w:rPr>
          <w:lang w:val="uk-UA"/>
        </w:rPr>
        <w:t xml:space="preserve">потрібно, щоб облігації мали характеристики, які забезпечують захист </w:t>
      </w:r>
      <w:r w:rsidRPr="0024327D">
        <w:rPr>
          <w:lang w:val="uk-UA"/>
        </w:rPr>
        <w:t>власників облігацій. Най</w:t>
      </w:r>
      <w:r w:rsidR="00110EBC" w:rsidRPr="0024327D">
        <w:rPr>
          <w:lang w:val="uk-UA"/>
        </w:rPr>
        <w:t xml:space="preserve">поширенішою формою </w:t>
      </w:r>
      <w:r w:rsidR="00C1577D" w:rsidRPr="0024327D">
        <w:rPr>
          <w:lang w:val="uk-UA"/>
        </w:rPr>
        <w:t>з</w:t>
      </w:r>
      <w:r w:rsidR="0044107A" w:rsidRPr="0024327D">
        <w:rPr>
          <w:lang w:val="uk-UA"/>
        </w:rPr>
        <w:t>ниження кредитного ризику</w:t>
      </w:r>
      <w:r w:rsidR="00110EBC" w:rsidRPr="0024327D">
        <w:rPr>
          <w:lang w:val="uk-UA"/>
        </w:rPr>
        <w:t xml:space="preserve"> </w:t>
      </w:r>
      <w:r w:rsidRPr="0024327D">
        <w:rPr>
          <w:lang w:val="uk-UA"/>
        </w:rPr>
        <w:t xml:space="preserve">є передача </w:t>
      </w:r>
      <w:r w:rsidR="006F07B4" w:rsidRPr="0024327D">
        <w:rPr>
          <w:lang w:val="uk-UA"/>
        </w:rPr>
        <w:t>к</w:t>
      </w:r>
      <w:r w:rsidR="00110EBC" w:rsidRPr="0024327D">
        <w:rPr>
          <w:lang w:val="uk-UA"/>
        </w:rPr>
        <w:t xml:space="preserve">омпанії спеціального призначення </w:t>
      </w:r>
      <w:r w:rsidRPr="0024327D">
        <w:rPr>
          <w:lang w:val="uk-UA"/>
        </w:rPr>
        <w:t>більш</w:t>
      </w:r>
      <w:r w:rsidR="006F07B4" w:rsidRPr="0024327D">
        <w:rPr>
          <w:lang w:val="uk-UA"/>
        </w:rPr>
        <w:t>ої кількості</w:t>
      </w:r>
      <w:r w:rsidRPr="0024327D">
        <w:rPr>
          <w:lang w:val="uk-UA"/>
        </w:rPr>
        <w:t xml:space="preserve"> активів, ніж </w:t>
      </w:r>
      <w:r w:rsidR="006F07B4" w:rsidRPr="0024327D">
        <w:rPr>
          <w:lang w:val="uk-UA"/>
        </w:rPr>
        <w:t xml:space="preserve">сума </w:t>
      </w:r>
      <w:r w:rsidRPr="0024327D">
        <w:rPr>
          <w:lang w:val="uk-UA"/>
        </w:rPr>
        <w:t xml:space="preserve">облігацій, </w:t>
      </w:r>
      <w:r w:rsidR="000D37A6" w:rsidRPr="0024327D">
        <w:rPr>
          <w:lang w:val="uk-UA"/>
        </w:rPr>
        <w:t xml:space="preserve">емісію яких вона здійснює </w:t>
      </w:r>
      <w:r w:rsidRPr="0024327D">
        <w:rPr>
          <w:lang w:val="uk-UA"/>
        </w:rPr>
        <w:t>(</w:t>
      </w:r>
      <w:r w:rsidR="006F07B4" w:rsidRPr="0024327D">
        <w:rPr>
          <w:lang w:val="uk-UA"/>
        </w:rPr>
        <w:t>надлишкове забезпечення</w:t>
      </w:r>
      <w:r w:rsidRPr="0024327D">
        <w:rPr>
          <w:lang w:val="uk-UA"/>
        </w:rPr>
        <w:t xml:space="preserve">). Різниця, як правило, фінансується </w:t>
      </w:r>
      <w:r w:rsidR="006F07B4" w:rsidRPr="0024327D">
        <w:rPr>
          <w:lang w:val="uk-UA"/>
        </w:rPr>
        <w:t>к</w:t>
      </w:r>
      <w:r w:rsidR="00110EBC" w:rsidRPr="0024327D">
        <w:rPr>
          <w:lang w:val="uk-UA"/>
        </w:rPr>
        <w:t xml:space="preserve">омпанією спеціального призначення </w:t>
      </w:r>
      <w:r w:rsidRPr="0024327D">
        <w:rPr>
          <w:lang w:val="uk-UA"/>
        </w:rPr>
        <w:t xml:space="preserve">за рахунок субординованої позики від </w:t>
      </w:r>
      <w:r w:rsidR="00110EBC" w:rsidRPr="0024327D">
        <w:rPr>
          <w:lang w:val="uk-UA"/>
        </w:rPr>
        <w:t>оригінатора</w:t>
      </w:r>
      <w:r w:rsidRPr="0024327D">
        <w:rPr>
          <w:lang w:val="uk-UA"/>
        </w:rPr>
        <w:t xml:space="preserve">. Альтернативний варіант </w:t>
      </w:r>
      <w:r w:rsidR="00110EBC" w:rsidRPr="0024327D">
        <w:rPr>
          <w:lang w:val="uk-UA"/>
        </w:rPr>
        <w:t xml:space="preserve">у формі </w:t>
      </w:r>
      <w:r w:rsidR="006F07B4" w:rsidRPr="0024327D">
        <w:rPr>
          <w:lang w:val="uk-UA"/>
        </w:rPr>
        <w:t xml:space="preserve">дисконту </w:t>
      </w:r>
      <w:r w:rsidRPr="0024327D">
        <w:rPr>
          <w:lang w:val="uk-UA"/>
        </w:rPr>
        <w:t xml:space="preserve">використовується </w:t>
      </w:r>
      <w:r w:rsidR="00110EBC" w:rsidRPr="0024327D">
        <w:rPr>
          <w:lang w:val="uk-UA"/>
        </w:rPr>
        <w:t xml:space="preserve">нечасто </w:t>
      </w:r>
      <w:r w:rsidR="0090708D" w:rsidRPr="0024327D">
        <w:rPr>
          <w:lang w:val="uk-UA"/>
        </w:rPr>
        <w:t>ч</w:t>
      </w:r>
      <w:r w:rsidRPr="0024327D">
        <w:rPr>
          <w:lang w:val="uk-UA"/>
        </w:rPr>
        <w:t xml:space="preserve">ерез бухгалтерські та податкові наслідки реалізації збитків від </w:t>
      </w:r>
      <w:r w:rsidR="0040084B" w:rsidRPr="0024327D">
        <w:rPr>
          <w:lang w:val="uk-UA"/>
        </w:rPr>
        <w:t>відступлення (</w:t>
      </w:r>
      <w:r w:rsidRPr="0024327D">
        <w:rPr>
          <w:lang w:val="uk-UA"/>
        </w:rPr>
        <w:t>продажу</w:t>
      </w:r>
      <w:r w:rsidR="0040084B" w:rsidRPr="0024327D">
        <w:rPr>
          <w:lang w:val="uk-UA"/>
        </w:rPr>
        <w:t>)</w:t>
      </w:r>
      <w:r w:rsidRPr="0024327D">
        <w:rPr>
          <w:lang w:val="uk-UA"/>
        </w:rPr>
        <w:t xml:space="preserve">. Ймовірно, одним з рідкісних винятків була б сек'юритизація </w:t>
      </w:r>
      <w:r w:rsidR="00A47552" w:rsidRPr="0024327D">
        <w:rPr>
          <w:lang w:val="uk-UA"/>
        </w:rPr>
        <w:t>непрацююч</w:t>
      </w:r>
      <w:r w:rsidR="0090708D" w:rsidRPr="0024327D">
        <w:rPr>
          <w:lang w:val="uk-UA"/>
        </w:rPr>
        <w:t>их кредитів</w:t>
      </w:r>
      <w:r w:rsidRPr="0024327D">
        <w:rPr>
          <w:lang w:val="uk-UA"/>
        </w:rPr>
        <w:t xml:space="preserve">, </w:t>
      </w:r>
      <w:r w:rsidR="0065475F" w:rsidRPr="0024327D">
        <w:rPr>
          <w:lang w:val="uk-UA"/>
        </w:rPr>
        <w:t xml:space="preserve">які зазвичай відображаються у звітності </w:t>
      </w:r>
      <w:r w:rsidR="0090708D" w:rsidRPr="0024327D">
        <w:rPr>
          <w:lang w:val="uk-UA"/>
        </w:rPr>
        <w:t>за вартістю нижче номінальної</w:t>
      </w:r>
      <w:r w:rsidR="00403C55" w:rsidRPr="0024327D">
        <w:rPr>
          <w:lang w:val="uk-UA"/>
        </w:rPr>
        <w:t>.</w:t>
      </w:r>
      <w:r w:rsidR="00403C55" w:rsidRPr="0024327D" w:rsidDel="00403C55">
        <w:rPr>
          <w:lang w:val="uk-UA"/>
        </w:rPr>
        <w:t xml:space="preserve"> </w:t>
      </w:r>
    </w:p>
    <w:p w14:paraId="0F529F3A" w14:textId="7080072D" w:rsidR="00DD3B5B" w:rsidRPr="0024327D" w:rsidRDefault="0090708D" w:rsidP="00E9742B">
      <w:pPr>
        <w:keepNext/>
        <w:keepLines/>
        <w:rPr>
          <w:lang w:val="uk-UA"/>
        </w:rPr>
      </w:pPr>
      <w:r w:rsidRPr="0024327D">
        <w:rPr>
          <w:lang w:val="uk-UA"/>
        </w:rPr>
        <w:t xml:space="preserve">Інші форми </w:t>
      </w:r>
      <w:r w:rsidR="000B0D48" w:rsidRPr="0024327D">
        <w:rPr>
          <w:lang w:val="uk-UA"/>
        </w:rPr>
        <w:t>з</w:t>
      </w:r>
      <w:r w:rsidR="0044107A" w:rsidRPr="0024327D">
        <w:rPr>
          <w:lang w:val="uk-UA"/>
        </w:rPr>
        <w:t>ниження кредитного ризику</w:t>
      </w:r>
      <w:r w:rsidRPr="0024327D">
        <w:rPr>
          <w:lang w:val="uk-UA"/>
        </w:rPr>
        <w:t xml:space="preserve"> включають</w:t>
      </w:r>
      <w:r w:rsidR="00C32EA6" w:rsidRPr="0024327D">
        <w:rPr>
          <w:lang w:val="uk-UA"/>
        </w:rPr>
        <w:t xml:space="preserve"> (але не обмежуються цим)</w:t>
      </w:r>
      <w:r w:rsidR="00DD3B5B" w:rsidRPr="0024327D">
        <w:rPr>
          <w:lang w:val="uk-UA"/>
        </w:rPr>
        <w:t>:</w:t>
      </w:r>
    </w:p>
    <w:p w14:paraId="6FB33D93" w14:textId="3206FD63" w:rsidR="00DD3B5B" w:rsidRPr="0024327D" w:rsidRDefault="0090708D" w:rsidP="00501D25">
      <w:pPr>
        <w:pStyle w:val="a4"/>
        <w:numPr>
          <w:ilvl w:val="0"/>
          <w:numId w:val="2"/>
        </w:numPr>
        <w:rPr>
          <w:lang w:val="uk-UA"/>
        </w:rPr>
      </w:pPr>
      <w:r w:rsidRPr="0024327D">
        <w:rPr>
          <w:lang w:val="uk-UA"/>
        </w:rPr>
        <w:t xml:space="preserve">поділ цінних паперів, випущених </w:t>
      </w:r>
      <w:r w:rsidR="008855A6" w:rsidRPr="0024327D">
        <w:rPr>
          <w:lang w:val="uk-UA"/>
        </w:rPr>
        <w:t>к</w:t>
      </w:r>
      <w:r w:rsidRPr="0024327D">
        <w:rPr>
          <w:lang w:val="uk-UA"/>
        </w:rPr>
        <w:t>омпанією спеціального призначення, на транші (</w:t>
      </w:r>
      <w:r w:rsidR="008855A6" w:rsidRPr="0024327D">
        <w:rPr>
          <w:lang w:val="uk-UA"/>
        </w:rPr>
        <w:t>траншування</w:t>
      </w:r>
      <w:r w:rsidRPr="0024327D">
        <w:rPr>
          <w:lang w:val="uk-UA"/>
        </w:rPr>
        <w:t>)</w:t>
      </w:r>
      <w:r w:rsidR="00DD3B5B" w:rsidRPr="0024327D">
        <w:rPr>
          <w:lang w:val="uk-UA"/>
        </w:rPr>
        <w:t xml:space="preserve">. </w:t>
      </w:r>
      <w:r w:rsidRPr="0024327D">
        <w:rPr>
          <w:lang w:val="uk-UA"/>
        </w:rPr>
        <w:t xml:space="preserve">Компанія спеціального призначення випускає облігації різних серій, при цьому деякі з них </w:t>
      </w:r>
      <w:r w:rsidR="004C4597" w:rsidRPr="0024327D">
        <w:rPr>
          <w:lang w:val="uk-UA"/>
        </w:rPr>
        <w:t xml:space="preserve">є субординованими по відношенню до </w:t>
      </w:r>
      <w:r w:rsidRPr="0024327D">
        <w:rPr>
          <w:lang w:val="uk-UA"/>
        </w:rPr>
        <w:t>інши</w:t>
      </w:r>
      <w:r w:rsidR="004C4597" w:rsidRPr="0024327D">
        <w:rPr>
          <w:lang w:val="uk-UA"/>
        </w:rPr>
        <w:t>х</w:t>
      </w:r>
      <w:r w:rsidRPr="0024327D">
        <w:rPr>
          <w:lang w:val="uk-UA"/>
        </w:rPr>
        <w:t>, а отже забезпечується захист від кредитних збитків, пов’язаних з активами, включеними до складу пулу</w:t>
      </w:r>
      <w:r w:rsidR="00F6020E" w:rsidRPr="0024327D">
        <w:rPr>
          <w:lang w:val="uk-UA"/>
        </w:rPr>
        <w:t>,</w:t>
      </w:r>
      <w:r w:rsidR="001D6FB2" w:rsidRPr="0024327D">
        <w:rPr>
          <w:rStyle w:val="af2"/>
          <w:lang w:val="uk-UA"/>
        </w:rPr>
        <w:footnoteReference w:id="26"/>
      </w:r>
    </w:p>
    <w:p w14:paraId="089EF101" w14:textId="7252169E" w:rsidR="000222D1" w:rsidRPr="0024327D" w:rsidRDefault="0085385B" w:rsidP="00501D25">
      <w:pPr>
        <w:pStyle w:val="a4"/>
        <w:numPr>
          <w:ilvl w:val="0"/>
          <w:numId w:val="2"/>
        </w:numPr>
        <w:rPr>
          <w:lang w:val="uk-UA"/>
        </w:rPr>
      </w:pPr>
      <w:r w:rsidRPr="0024327D">
        <w:rPr>
          <w:lang w:val="uk-UA"/>
        </w:rPr>
        <w:t xml:space="preserve">утримання </w:t>
      </w:r>
      <w:r w:rsidR="000222D1" w:rsidRPr="0024327D">
        <w:rPr>
          <w:lang w:val="uk-UA"/>
        </w:rPr>
        <w:t>спреду. Якщо активи</w:t>
      </w:r>
      <w:r w:rsidR="00FB3CE9" w:rsidRPr="0024327D">
        <w:rPr>
          <w:lang w:val="uk-UA"/>
        </w:rPr>
        <w:t>, включені до забезпечення,</w:t>
      </w:r>
      <w:r w:rsidR="000222D1" w:rsidRPr="0024327D">
        <w:rPr>
          <w:lang w:val="uk-UA"/>
        </w:rPr>
        <w:t xml:space="preserve"> приносять більший дохід, ніж випущені облігації, </w:t>
      </w:r>
      <w:r w:rsidRPr="0024327D">
        <w:rPr>
          <w:lang w:val="uk-UA"/>
        </w:rPr>
        <w:t>к</w:t>
      </w:r>
      <w:r w:rsidR="000222D1" w:rsidRPr="0024327D">
        <w:rPr>
          <w:lang w:val="uk-UA"/>
        </w:rPr>
        <w:t xml:space="preserve">омпанія спеціального призначення може залишити собі всю або частину </w:t>
      </w:r>
      <w:r w:rsidR="00C57112" w:rsidRPr="0024327D">
        <w:rPr>
          <w:lang w:val="uk-UA"/>
        </w:rPr>
        <w:t xml:space="preserve">відсоткової </w:t>
      </w:r>
      <w:r w:rsidR="000222D1" w:rsidRPr="0024327D">
        <w:rPr>
          <w:lang w:val="uk-UA"/>
        </w:rPr>
        <w:t xml:space="preserve">різниці для захисту від майбутніх кредитних збитків за активами, </w:t>
      </w:r>
    </w:p>
    <w:p w14:paraId="7A401886" w14:textId="73B0BE81" w:rsidR="00977962" w:rsidRPr="0024327D" w:rsidRDefault="00C53A62" w:rsidP="00501D25">
      <w:pPr>
        <w:pStyle w:val="a4"/>
        <w:numPr>
          <w:ilvl w:val="0"/>
          <w:numId w:val="2"/>
        </w:numPr>
        <w:rPr>
          <w:lang w:val="uk-UA"/>
        </w:rPr>
      </w:pPr>
      <w:r w:rsidRPr="0024327D">
        <w:rPr>
          <w:lang w:val="uk-UA"/>
        </w:rPr>
        <w:t xml:space="preserve">обмін (своп) </w:t>
      </w:r>
      <w:r w:rsidR="0087354C" w:rsidRPr="0024327D">
        <w:rPr>
          <w:lang w:val="uk-UA"/>
        </w:rPr>
        <w:t xml:space="preserve">відсоткових </w:t>
      </w:r>
      <w:r w:rsidR="00CA4302" w:rsidRPr="0024327D">
        <w:rPr>
          <w:lang w:val="uk-UA"/>
        </w:rPr>
        <w:t xml:space="preserve">ставок </w:t>
      </w:r>
      <w:r w:rsidRPr="0024327D">
        <w:rPr>
          <w:lang w:val="uk-UA"/>
        </w:rPr>
        <w:t xml:space="preserve">за активами на </w:t>
      </w:r>
      <w:r w:rsidR="0087354C" w:rsidRPr="0024327D">
        <w:rPr>
          <w:lang w:val="uk-UA"/>
        </w:rPr>
        <w:t xml:space="preserve">відсоткові </w:t>
      </w:r>
      <w:r w:rsidR="00CA4302" w:rsidRPr="0024327D">
        <w:rPr>
          <w:lang w:val="uk-UA"/>
        </w:rPr>
        <w:t>ставки</w:t>
      </w:r>
      <w:r w:rsidRPr="0024327D">
        <w:rPr>
          <w:lang w:val="uk-UA"/>
        </w:rPr>
        <w:t xml:space="preserve"> за облігаціями. Компанія спеціального призначення, як правило, укладає своп безпосередньо з </w:t>
      </w:r>
      <w:r w:rsidR="001732D3" w:rsidRPr="0024327D">
        <w:rPr>
          <w:lang w:val="uk-UA"/>
        </w:rPr>
        <w:t>о</w:t>
      </w:r>
      <w:r w:rsidR="008B3DB5" w:rsidRPr="0024327D">
        <w:rPr>
          <w:lang w:val="uk-UA"/>
        </w:rPr>
        <w:t>ригінатором</w:t>
      </w:r>
      <w:r w:rsidRPr="0024327D">
        <w:rPr>
          <w:lang w:val="uk-UA"/>
        </w:rPr>
        <w:t xml:space="preserve">, але </w:t>
      </w:r>
      <w:r w:rsidRPr="0024327D">
        <w:rPr>
          <w:lang w:val="uk-UA"/>
        </w:rPr>
        <w:lastRenderedPageBreak/>
        <w:t>рейтингові агентства вимагатимуть, щоб умови своп</w:t>
      </w:r>
      <w:r w:rsidR="00252A94" w:rsidRPr="0024327D">
        <w:rPr>
          <w:lang w:val="uk-UA"/>
        </w:rPr>
        <w:t>ів</w:t>
      </w:r>
      <w:r w:rsidRPr="0024327D">
        <w:rPr>
          <w:lang w:val="uk-UA"/>
        </w:rPr>
        <w:t xml:space="preserve"> містили положення, як</w:t>
      </w:r>
      <w:r w:rsidR="00BB1AC9" w:rsidRPr="0024327D">
        <w:rPr>
          <w:lang w:val="uk-UA"/>
        </w:rPr>
        <w:t>е</w:t>
      </w:r>
      <w:r w:rsidRPr="0024327D">
        <w:rPr>
          <w:lang w:val="uk-UA"/>
        </w:rPr>
        <w:t xml:space="preserve"> вимагає, щоб </w:t>
      </w:r>
      <w:r w:rsidR="001732D3" w:rsidRPr="0024327D">
        <w:rPr>
          <w:lang w:val="uk-UA"/>
        </w:rPr>
        <w:t>о</w:t>
      </w:r>
      <w:r w:rsidR="008B3DB5" w:rsidRPr="0024327D">
        <w:rPr>
          <w:lang w:val="uk-UA"/>
        </w:rPr>
        <w:t xml:space="preserve">ригінатор </w:t>
      </w:r>
      <w:r w:rsidRPr="0024327D">
        <w:rPr>
          <w:lang w:val="uk-UA"/>
        </w:rPr>
        <w:t>замінив себе як контрагента за с</w:t>
      </w:r>
      <w:r w:rsidR="00877756" w:rsidRPr="0024327D">
        <w:rPr>
          <w:lang w:val="uk-UA"/>
        </w:rPr>
        <w:t>воп</w:t>
      </w:r>
      <w:r w:rsidRPr="0024327D">
        <w:rPr>
          <w:lang w:val="uk-UA"/>
        </w:rPr>
        <w:t xml:space="preserve">, якщо він перестає бути достатньо кредитоспроможним; отже, у разі зниження рейтингу </w:t>
      </w:r>
      <w:r w:rsidR="001732D3" w:rsidRPr="0024327D">
        <w:rPr>
          <w:lang w:val="uk-UA"/>
        </w:rPr>
        <w:t>о</w:t>
      </w:r>
      <w:r w:rsidR="00977962" w:rsidRPr="0024327D">
        <w:rPr>
          <w:lang w:val="uk-UA"/>
        </w:rPr>
        <w:t xml:space="preserve">ригінатора </w:t>
      </w:r>
      <w:r w:rsidRPr="0024327D">
        <w:rPr>
          <w:lang w:val="uk-UA"/>
        </w:rPr>
        <w:t>необхідно знайти нового контрагента, що має кращий рейтинг</w:t>
      </w:r>
      <w:r w:rsidR="00977962" w:rsidRPr="0024327D">
        <w:rPr>
          <w:lang w:val="uk-UA"/>
        </w:rPr>
        <w:t>,</w:t>
      </w:r>
    </w:p>
    <w:p w14:paraId="7D28F0DD" w14:textId="77777777" w:rsidR="00A05D32" w:rsidRPr="0024327D" w:rsidRDefault="006C62AF" w:rsidP="00501D25">
      <w:pPr>
        <w:pStyle w:val="a4"/>
        <w:numPr>
          <w:ilvl w:val="0"/>
          <w:numId w:val="2"/>
        </w:numPr>
        <w:rPr>
          <w:lang w:val="uk-UA"/>
        </w:rPr>
      </w:pPr>
      <w:r w:rsidRPr="0024327D">
        <w:rPr>
          <w:lang w:val="uk-UA"/>
        </w:rPr>
        <w:t xml:space="preserve">резервні грошові рахунки, наприклад, коли компанія спеціального призначення </w:t>
      </w:r>
      <w:r w:rsidR="00A05D32" w:rsidRPr="0024327D">
        <w:rPr>
          <w:lang w:val="uk-UA"/>
        </w:rPr>
        <w:t>утримує кошти, отримані від власників облігацій, в резерві,</w:t>
      </w:r>
    </w:p>
    <w:p w14:paraId="300291A7" w14:textId="5E894004" w:rsidR="00DD3B5B" w:rsidRPr="0024327D" w:rsidRDefault="00A05D32" w:rsidP="00501D25">
      <w:pPr>
        <w:pStyle w:val="a4"/>
        <w:numPr>
          <w:ilvl w:val="0"/>
          <w:numId w:val="2"/>
        </w:numPr>
        <w:rPr>
          <w:lang w:val="uk-UA"/>
        </w:rPr>
      </w:pPr>
      <w:r w:rsidRPr="0024327D">
        <w:rPr>
          <w:lang w:val="uk-UA"/>
        </w:rPr>
        <w:t xml:space="preserve">гарантій від третіх осіб, наприклад, страхові </w:t>
      </w:r>
      <w:r w:rsidR="003C3181" w:rsidRPr="0024327D">
        <w:rPr>
          <w:lang w:val="uk-UA"/>
        </w:rPr>
        <w:t>поліси та акредитиви</w:t>
      </w:r>
    </w:p>
    <w:p w14:paraId="6D9A7CF2" w14:textId="1A7BB67B" w:rsidR="00DD3B5B" w:rsidRPr="0024327D" w:rsidRDefault="00C53A62" w:rsidP="00501D25">
      <w:pPr>
        <w:rPr>
          <w:lang w:val="uk-UA"/>
        </w:rPr>
      </w:pPr>
      <w:r w:rsidRPr="0024327D">
        <w:rPr>
          <w:lang w:val="uk-UA"/>
        </w:rPr>
        <w:t xml:space="preserve">Зазвичай метод </w:t>
      </w:r>
      <w:r w:rsidR="00001AD6" w:rsidRPr="0024327D">
        <w:rPr>
          <w:lang w:val="uk-UA"/>
        </w:rPr>
        <w:t>з</w:t>
      </w:r>
      <w:r w:rsidR="0044107A" w:rsidRPr="0024327D">
        <w:rPr>
          <w:lang w:val="uk-UA"/>
        </w:rPr>
        <w:t>ниження кредитного ризику</w:t>
      </w:r>
      <w:r w:rsidRPr="0024327D">
        <w:rPr>
          <w:lang w:val="uk-UA"/>
        </w:rPr>
        <w:t xml:space="preserve"> визначається для трансакції контрактом (договором), а не законом</w:t>
      </w:r>
      <w:r w:rsidR="00ED43F4" w:rsidRPr="0024327D">
        <w:rPr>
          <w:lang w:val="uk-UA"/>
        </w:rPr>
        <w:t xml:space="preserve">. Отже, вищезазначена дискусія щодо можливих методів включена в цей документ насамперед лише </w:t>
      </w:r>
      <w:r w:rsidR="00B90888" w:rsidRPr="0024327D">
        <w:rPr>
          <w:lang w:val="uk-UA"/>
        </w:rPr>
        <w:t xml:space="preserve">для </w:t>
      </w:r>
      <w:r w:rsidR="003C1C51" w:rsidRPr="0024327D">
        <w:rPr>
          <w:lang w:val="uk-UA"/>
        </w:rPr>
        <w:t>ін</w:t>
      </w:r>
      <w:r w:rsidR="00ED43F4" w:rsidRPr="0024327D">
        <w:rPr>
          <w:lang w:val="uk-UA"/>
        </w:rPr>
        <w:t>формаційних цілей.</w:t>
      </w:r>
      <w:r w:rsidR="00C32EA6" w:rsidRPr="0024327D">
        <w:rPr>
          <w:lang w:val="uk-UA"/>
        </w:rPr>
        <w:t xml:space="preserve"> </w:t>
      </w:r>
      <w:r w:rsidR="00780F16" w:rsidRPr="0024327D">
        <w:rPr>
          <w:lang w:val="uk-UA"/>
        </w:rPr>
        <w:t xml:space="preserve">При цьому законодавство має забезпечувати наявність принаймні загальних положень, які </w:t>
      </w:r>
      <w:r w:rsidR="003E3320" w:rsidRPr="0024327D">
        <w:rPr>
          <w:lang w:val="uk-UA"/>
        </w:rPr>
        <w:t xml:space="preserve">передбачатимуть можливість використання певних методів </w:t>
      </w:r>
      <w:r w:rsidR="00001AD6" w:rsidRPr="0024327D">
        <w:rPr>
          <w:lang w:val="uk-UA"/>
        </w:rPr>
        <w:t>з</w:t>
      </w:r>
      <w:r w:rsidR="003E3320" w:rsidRPr="0024327D">
        <w:rPr>
          <w:lang w:val="uk-UA"/>
        </w:rPr>
        <w:t>ниження кредитного ризику (напр</w:t>
      </w:r>
      <w:r w:rsidR="000D37A6" w:rsidRPr="0024327D">
        <w:rPr>
          <w:lang w:val="uk-UA"/>
        </w:rPr>
        <w:t>и</w:t>
      </w:r>
      <w:r w:rsidR="003E3320" w:rsidRPr="0024327D">
        <w:rPr>
          <w:lang w:val="uk-UA"/>
        </w:rPr>
        <w:t>кла</w:t>
      </w:r>
      <w:r w:rsidR="00BC5D18" w:rsidRPr="0024327D">
        <w:rPr>
          <w:lang w:val="uk-UA"/>
        </w:rPr>
        <w:t>д, поділ на транші).</w:t>
      </w:r>
    </w:p>
    <w:p w14:paraId="5AB8427A" w14:textId="002625E6" w:rsidR="00DD3B5B" w:rsidRPr="0024327D" w:rsidRDefault="00705736" w:rsidP="002A17E0">
      <w:pPr>
        <w:pStyle w:val="3"/>
        <w:ind w:left="864"/>
        <w:rPr>
          <w:lang w:val="uk-UA"/>
        </w:rPr>
      </w:pPr>
      <w:bookmarkStart w:id="64" w:name="_Toc95480990"/>
      <w:r w:rsidRPr="0024327D">
        <w:rPr>
          <w:lang w:val="uk-UA"/>
        </w:rPr>
        <w:t>Створення облігацій</w:t>
      </w:r>
      <w:bookmarkEnd w:id="64"/>
    </w:p>
    <w:p w14:paraId="69DB382E" w14:textId="61102BBB" w:rsidR="00DD3B5B" w:rsidRPr="0024327D" w:rsidRDefault="00705736" w:rsidP="00705736">
      <w:pPr>
        <w:rPr>
          <w:lang w:val="uk-UA"/>
        </w:rPr>
      </w:pPr>
      <w:r w:rsidRPr="0024327D">
        <w:rPr>
          <w:lang w:val="uk-UA"/>
        </w:rPr>
        <w:t xml:space="preserve">Облігації, </w:t>
      </w:r>
      <w:r w:rsidR="000D37A6" w:rsidRPr="0024327D">
        <w:rPr>
          <w:lang w:val="uk-UA"/>
        </w:rPr>
        <w:t xml:space="preserve">емісію яких здійснює </w:t>
      </w:r>
      <w:r w:rsidR="003C1C51" w:rsidRPr="0024327D">
        <w:rPr>
          <w:lang w:val="uk-UA"/>
        </w:rPr>
        <w:t>к</w:t>
      </w:r>
      <w:r w:rsidRPr="0024327D">
        <w:rPr>
          <w:lang w:val="uk-UA"/>
        </w:rPr>
        <w:t xml:space="preserve">омпанія спеціального призначення, будуть предметом регулювання </w:t>
      </w:r>
      <w:r w:rsidR="000836B4" w:rsidRPr="0024327D">
        <w:rPr>
          <w:lang w:val="uk-UA"/>
        </w:rPr>
        <w:t xml:space="preserve">того ж </w:t>
      </w:r>
      <w:r w:rsidR="001B1D12" w:rsidRPr="0024327D">
        <w:rPr>
          <w:lang w:val="uk-UA"/>
        </w:rPr>
        <w:t xml:space="preserve">законодавства </w:t>
      </w:r>
      <w:r w:rsidRPr="0024327D">
        <w:rPr>
          <w:lang w:val="uk-UA"/>
        </w:rPr>
        <w:t xml:space="preserve">і </w:t>
      </w:r>
      <w:r w:rsidR="000836B4" w:rsidRPr="0024327D">
        <w:rPr>
          <w:lang w:val="uk-UA"/>
        </w:rPr>
        <w:t xml:space="preserve">тих же правил щодо </w:t>
      </w:r>
      <w:r w:rsidRPr="0024327D">
        <w:rPr>
          <w:lang w:val="uk-UA"/>
        </w:rPr>
        <w:t>нагляду</w:t>
      </w:r>
      <w:r w:rsidR="000836B4" w:rsidRPr="0024327D">
        <w:rPr>
          <w:lang w:val="uk-UA"/>
        </w:rPr>
        <w:t>, які застосовуються до</w:t>
      </w:r>
      <w:r w:rsidRPr="0024327D">
        <w:rPr>
          <w:lang w:val="uk-UA"/>
        </w:rPr>
        <w:t xml:space="preserve"> випуск</w:t>
      </w:r>
      <w:r w:rsidR="000836B4" w:rsidRPr="0024327D">
        <w:rPr>
          <w:lang w:val="uk-UA"/>
        </w:rPr>
        <w:t>у</w:t>
      </w:r>
      <w:r w:rsidRPr="0024327D">
        <w:rPr>
          <w:lang w:val="uk-UA"/>
        </w:rPr>
        <w:t xml:space="preserve"> облігацій українськими компаніями та</w:t>
      </w:r>
      <w:r w:rsidR="00FF10B6" w:rsidRPr="0024327D">
        <w:rPr>
          <w:lang w:val="uk-UA"/>
        </w:rPr>
        <w:t>/</w:t>
      </w:r>
      <w:r w:rsidRPr="0024327D">
        <w:rPr>
          <w:lang w:val="uk-UA"/>
        </w:rPr>
        <w:t>або фінансовими установами</w:t>
      </w:r>
      <w:r w:rsidR="000836B4" w:rsidRPr="0024327D">
        <w:rPr>
          <w:lang w:val="uk-UA"/>
        </w:rPr>
        <w:t xml:space="preserve"> в цілому</w:t>
      </w:r>
      <w:r w:rsidR="00FF10B6" w:rsidRPr="0024327D">
        <w:rPr>
          <w:lang w:val="uk-UA"/>
        </w:rPr>
        <w:t>.</w:t>
      </w:r>
    </w:p>
    <w:p w14:paraId="55394035" w14:textId="0036F33E" w:rsidR="00705736" w:rsidRPr="0024327D" w:rsidRDefault="00267010" w:rsidP="00501D25">
      <w:pPr>
        <w:rPr>
          <w:lang w:val="uk-UA"/>
        </w:rPr>
      </w:pPr>
      <w:r w:rsidRPr="0024327D">
        <w:rPr>
          <w:lang w:val="uk-UA"/>
        </w:rPr>
        <w:t>М</w:t>
      </w:r>
      <w:r w:rsidR="00AC240F" w:rsidRPr="0024327D">
        <w:rPr>
          <w:lang w:val="uk-UA"/>
        </w:rPr>
        <w:t xml:space="preserve">ожливо, </w:t>
      </w:r>
      <w:r w:rsidR="000D2BDD" w:rsidRPr="0024327D">
        <w:rPr>
          <w:lang w:val="uk-UA"/>
        </w:rPr>
        <w:t>потребуватим</w:t>
      </w:r>
      <w:r w:rsidRPr="0024327D">
        <w:rPr>
          <w:lang w:val="uk-UA"/>
        </w:rPr>
        <w:t>еться</w:t>
      </w:r>
      <w:r w:rsidR="000D2BDD" w:rsidRPr="0024327D">
        <w:rPr>
          <w:lang w:val="uk-UA"/>
        </w:rPr>
        <w:t xml:space="preserve"> включення </w:t>
      </w:r>
      <w:r w:rsidR="00E0759D" w:rsidRPr="0024327D">
        <w:rPr>
          <w:lang w:val="uk-UA"/>
        </w:rPr>
        <w:t xml:space="preserve">інформації про </w:t>
      </w:r>
      <w:r w:rsidR="000D2BDD" w:rsidRPr="0024327D">
        <w:rPr>
          <w:lang w:val="uk-UA"/>
        </w:rPr>
        <w:t>угод</w:t>
      </w:r>
      <w:r w:rsidR="00E0759D" w:rsidRPr="0024327D">
        <w:rPr>
          <w:lang w:val="uk-UA"/>
        </w:rPr>
        <w:t>и</w:t>
      </w:r>
      <w:r w:rsidR="00AC240F" w:rsidRPr="0024327D">
        <w:rPr>
          <w:lang w:val="uk-UA"/>
        </w:rPr>
        <w:t xml:space="preserve"> між кредиторами</w:t>
      </w:r>
      <w:r w:rsidR="00705736" w:rsidRPr="0024327D">
        <w:rPr>
          <w:lang w:val="uk-UA"/>
        </w:rPr>
        <w:t xml:space="preserve"> </w:t>
      </w:r>
      <w:r w:rsidR="00EC5332" w:rsidRPr="0024327D">
        <w:rPr>
          <w:lang w:val="uk-UA"/>
        </w:rPr>
        <w:t xml:space="preserve">або подібних </w:t>
      </w:r>
      <w:r w:rsidR="001A55E0" w:rsidRPr="0024327D">
        <w:rPr>
          <w:lang w:val="uk-UA"/>
        </w:rPr>
        <w:t xml:space="preserve">положень, </w:t>
      </w:r>
      <w:r w:rsidR="00E0759D" w:rsidRPr="0024327D">
        <w:rPr>
          <w:lang w:val="uk-UA"/>
        </w:rPr>
        <w:t xml:space="preserve">до </w:t>
      </w:r>
      <w:r w:rsidR="001A55E0" w:rsidRPr="0024327D">
        <w:rPr>
          <w:lang w:val="uk-UA"/>
        </w:rPr>
        <w:t xml:space="preserve">умов емісії облігацій </w:t>
      </w:r>
      <w:r w:rsidR="00705736" w:rsidRPr="0024327D">
        <w:rPr>
          <w:lang w:val="uk-UA"/>
        </w:rPr>
        <w:t>(</w:t>
      </w:r>
      <w:r w:rsidR="00AC240F" w:rsidRPr="0024327D">
        <w:rPr>
          <w:lang w:val="uk-UA"/>
        </w:rPr>
        <w:t xml:space="preserve">у разі випуску </w:t>
      </w:r>
      <w:r w:rsidR="003C1F21" w:rsidRPr="0024327D">
        <w:rPr>
          <w:lang w:val="uk-UA"/>
        </w:rPr>
        <w:t xml:space="preserve">траншами </w:t>
      </w:r>
      <w:r w:rsidR="00AC240F" w:rsidRPr="0024327D">
        <w:rPr>
          <w:lang w:val="uk-UA"/>
        </w:rPr>
        <w:t>облігацій з різним рейтингом</w:t>
      </w:r>
      <w:r w:rsidR="00705736" w:rsidRPr="0024327D">
        <w:rPr>
          <w:lang w:val="uk-UA"/>
        </w:rPr>
        <w:t xml:space="preserve">), а також </w:t>
      </w:r>
      <w:r w:rsidR="000D2BDD" w:rsidRPr="0024327D">
        <w:rPr>
          <w:lang w:val="uk-UA"/>
        </w:rPr>
        <w:t>п</w:t>
      </w:r>
      <w:r w:rsidR="00705736" w:rsidRPr="0024327D">
        <w:rPr>
          <w:lang w:val="uk-UA"/>
        </w:rPr>
        <w:t xml:space="preserve">равил </w:t>
      </w:r>
      <w:r w:rsidR="00CE6D64" w:rsidRPr="0024327D">
        <w:rPr>
          <w:lang w:val="uk-UA"/>
        </w:rPr>
        <w:t xml:space="preserve">витребування </w:t>
      </w:r>
      <w:r w:rsidR="00705736" w:rsidRPr="0024327D">
        <w:rPr>
          <w:lang w:val="uk-UA"/>
        </w:rPr>
        <w:t xml:space="preserve">згоди, щоб </w:t>
      </w:r>
      <w:r w:rsidR="000D2BDD" w:rsidRPr="0024327D">
        <w:rPr>
          <w:lang w:val="uk-UA"/>
        </w:rPr>
        <w:t xml:space="preserve">гарантувати </w:t>
      </w:r>
      <w:r w:rsidR="00705736" w:rsidRPr="0024327D">
        <w:rPr>
          <w:lang w:val="uk-UA"/>
        </w:rPr>
        <w:t>можливість внесення змін до документ</w:t>
      </w:r>
      <w:r w:rsidR="009A08AC" w:rsidRPr="0024327D">
        <w:rPr>
          <w:lang w:val="uk-UA"/>
        </w:rPr>
        <w:t>ації</w:t>
      </w:r>
      <w:r w:rsidR="00705736" w:rsidRPr="0024327D">
        <w:rPr>
          <w:lang w:val="uk-UA"/>
        </w:rPr>
        <w:t xml:space="preserve"> за умови згоди власників облігацій.</w:t>
      </w:r>
    </w:p>
    <w:p w14:paraId="211DA12D" w14:textId="571E3749" w:rsidR="002622F8" w:rsidRPr="0024327D" w:rsidRDefault="000D2BDD" w:rsidP="00501D25">
      <w:pPr>
        <w:rPr>
          <w:lang w:val="uk-UA"/>
        </w:rPr>
      </w:pPr>
      <w:r w:rsidRPr="0024327D">
        <w:rPr>
          <w:lang w:val="uk-UA"/>
        </w:rPr>
        <w:t xml:space="preserve">Для підпорядкування </w:t>
      </w:r>
      <w:r w:rsidR="002C613C" w:rsidRPr="0024327D">
        <w:rPr>
          <w:lang w:val="uk-UA"/>
        </w:rPr>
        <w:t xml:space="preserve">облігацій </w:t>
      </w:r>
      <w:r w:rsidRPr="0024327D">
        <w:rPr>
          <w:lang w:val="uk-UA"/>
        </w:rPr>
        <w:t xml:space="preserve">одного класу (що як правило називають, наприклад, </w:t>
      </w:r>
      <w:r w:rsidR="0041533E" w:rsidRPr="0024327D">
        <w:rPr>
          <w:lang w:val="uk-UA"/>
        </w:rPr>
        <w:t>“облігаціями B”</w:t>
      </w:r>
      <w:r w:rsidRPr="0024327D">
        <w:rPr>
          <w:lang w:val="uk-UA"/>
        </w:rPr>
        <w:t>) облігаціям іншого класу (</w:t>
      </w:r>
      <w:r w:rsidR="0041533E" w:rsidRPr="0024327D">
        <w:rPr>
          <w:lang w:val="uk-UA"/>
        </w:rPr>
        <w:t xml:space="preserve">“облігаціями </w:t>
      </w:r>
      <w:r w:rsidR="00E0759D" w:rsidRPr="0024327D">
        <w:rPr>
          <w:lang w:val="uk-UA"/>
        </w:rPr>
        <w:t>А</w:t>
      </w:r>
      <w:r w:rsidR="0041533E" w:rsidRPr="0024327D">
        <w:rPr>
          <w:lang w:val="uk-UA"/>
        </w:rPr>
        <w:t>”</w:t>
      </w:r>
      <w:r w:rsidRPr="0024327D">
        <w:rPr>
          <w:lang w:val="uk-UA"/>
        </w:rPr>
        <w:t xml:space="preserve">), </w:t>
      </w:r>
      <w:r w:rsidR="002C613C" w:rsidRPr="0024327D">
        <w:rPr>
          <w:lang w:val="uk-UA"/>
        </w:rPr>
        <w:t xml:space="preserve">випущених </w:t>
      </w:r>
      <w:r w:rsidRPr="0024327D">
        <w:rPr>
          <w:lang w:val="uk-UA"/>
        </w:rPr>
        <w:t>одним суб'єктом господарювання, часто вимагається укладення</w:t>
      </w:r>
      <w:r w:rsidR="00C408BF" w:rsidRPr="0024327D">
        <w:rPr>
          <w:lang w:val="uk-UA"/>
        </w:rPr>
        <w:t xml:space="preserve"> договору</w:t>
      </w:r>
      <w:r w:rsidR="003C1F21" w:rsidRPr="0024327D">
        <w:rPr>
          <w:lang w:val="uk-UA"/>
        </w:rPr>
        <w:t xml:space="preserve">, що полегшуватиме таке </w:t>
      </w:r>
      <w:r w:rsidRPr="0024327D">
        <w:rPr>
          <w:lang w:val="uk-UA"/>
        </w:rPr>
        <w:t xml:space="preserve">підпорядкування. Зокрема, власники </w:t>
      </w:r>
      <w:r w:rsidR="002C613C" w:rsidRPr="0024327D">
        <w:rPr>
          <w:lang w:val="uk-UA"/>
        </w:rPr>
        <w:t xml:space="preserve">облігацій </w:t>
      </w:r>
      <w:r w:rsidRPr="0024327D">
        <w:rPr>
          <w:lang w:val="uk-UA"/>
        </w:rPr>
        <w:t>В повинні погодитись</w:t>
      </w:r>
      <w:r w:rsidR="002C613C" w:rsidRPr="0024327D">
        <w:rPr>
          <w:lang w:val="uk-UA"/>
        </w:rPr>
        <w:t xml:space="preserve"> на те, що вони не матимуть </w:t>
      </w:r>
      <w:r w:rsidRPr="0024327D">
        <w:rPr>
          <w:lang w:val="uk-UA"/>
        </w:rPr>
        <w:t>можливості вжи</w:t>
      </w:r>
      <w:r w:rsidR="002C613C" w:rsidRPr="0024327D">
        <w:rPr>
          <w:lang w:val="uk-UA"/>
        </w:rPr>
        <w:t xml:space="preserve">вати заходи </w:t>
      </w:r>
      <w:r w:rsidRPr="0024327D">
        <w:rPr>
          <w:lang w:val="uk-UA"/>
        </w:rPr>
        <w:t>проти емітента у разі збитк</w:t>
      </w:r>
      <w:r w:rsidR="003C1F21" w:rsidRPr="0024327D">
        <w:rPr>
          <w:lang w:val="uk-UA"/>
        </w:rPr>
        <w:t>ів</w:t>
      </w:r>
      <w:r w:rsidRPr="0024327D">
        <w:rPr>
          <w:lang w:val="uk-UA"/>
        </w:rPr>
        <w:t xml:space="preserve">, якщо </w:t>
      </w:r>
      <w:r w:rsidR="002C613C" w:rsidRPr="0024327D">
        <w:rPr>
          <w:lang w:val="uk-UA"/>
        </w:rPr>
        <w:t xml:space="preserve">такі заходи шкодять </w:t>
      </w:r>
      <w:r w:rsidRPr="0024327D">
        <w:rPr>
          <w:lang w:val="uk-UA"/>
        </w:rPr>
        <w:t xml:space="preserve">правам власників </w:t>
      </w:r>
      <w:r w:rsidR="002C613C" w:rsidRPr="0024327D">
        <w:rPr>
          <w:lang w:val="uk-UA"/>
        </w:rPr>
        <w:t>облігацій</w:t>
      </w:r>
      <w:r w:rsidRPr="0024327D">
        <w:rPr>
          <w:lang w:val="uk-UA"/>
        </w:rPr>
        <w:t xml:space="preserve"> А (застереження про </w:t>
      </w:r>
      <w:r w:rsidR="002C613C" w:rsidRPr="0024327D">
        <w:rPr>
          <w:lang w:val="uk-UA"/>
        </w:rPr>
        <w:t>неподання</w:t>
      </w:r>
      <w:r w:rsidR="000A254E" w:rsidRPr="0024327D">
        <w:rPr>
          <w:lang w:val="uk-UA"/>
        </w:rPr>
        <w:t xml:space="preserve"> позовів</w:t>
      </w:r>
      <w:r w:rsidRPr="0024327D">
        <w:rPr>
          <w:lang w:val="uk-UA"/>
        </w:rPr>
        <w:t xml:space="preserve">). Крім того, потрібно буде визначити </w:t>
      </w:r>
      <w:r w:rsidR="000A254E" w:rsidRPr="0024327D">
        <w:rPr>
          <w:lang w:val="uk-UA"/>
        </w:rPr>
        <w:t xml:space="preserve">чіткий </w:t>
      </w:r>
      <w:r w:rsidR="002C613C" w:rsidRPr="0024327D">
        <w:rPr>
          <w:lang w:val="uk-UA"/>
        </w:rPr>
        <w:t xml:space="preserve">зв’язок між </w:t>
      </w:r>
      <w:r w:rsidR="003C1F21" w:rsidRPr="0024327D">
        <w:rPr>
          <w:lang w:val="uk-UA"/>
        </w:rPr>
        <w:t>облігаціями</w:t>
      </w:r>
      <w:r w:rsidR="002C613C" w:rsidRPr="0024327D">
        <w:rPr>
          <w:lang w:val="uk-UA"/>
        </w:rPr>
        <w:t xml:space="preserve"> різних сері</w:t>
      </w:r>
      <w:r w:rsidR="003C1F21" w:rsidRPr="0024327D">
        <w:rPr>
          <w:lang w:val="uk-UA"/>
        </w:rPr>
        <w:t>й</w:t>
      </w:r>
      <w:r w:rsidRPr="0024327D">
        <w:rPr>
          <w:lang w:val="uk-UA"/>
        </w:rPr>
        <w:t xml:space="preserve">, враховуючи, наприклад, правила амортизації (при погашенні </w:t>
      </w:r>
      <w:r w:rsidR="003C1F21" w:rsidRPr="0024327D">
        <w:rPr>
          <w:lang w:val="uk-UA"/>
        </w:rPr>
        <w:t>облігацій</w:t>
      </w:r>
      <w:r w:rsidRPr="0024327D">
        <w:rPr>
          <w:lang w:val="uk-UA"/>
        </w:rPr>
        <w:t xml:space="preserve"> А, </w:t>
      </w:r>
      <w:r w:rsidR="003C1F21" w:rsidRPr="0024327D">
        <w:rPr>
          <w:lang w:val="uk-UA"/>
        </w:rPr>
        <w:t xml:space="preserve">що за строками погашення мають повний або частковий пріоритет над облігаціями </w:t>
      </w:r>
      <w:r w:rsidRPr="0024327D">
        <w:rPr>
          <w:lang w:val="uk-UA"/>
        </w:rPr>
        <w:t xml:space="preserve">В), або тимчасового призупинення виплат власникам субординованих </w:t>
      </w:r>
      <w:r w:rsidR="003C1F21" w:rsidRPr="0024327D">
        <w:rPr>
          <w:lang w:val="uk-UA"/>
        </w:rPr>
        <w:t>облігацій, якщо це</w:t>
      </w:r>
      <w:r w:rsidRPr="0024327D">
        <w:rPr>
          <w:lang w:val="uk-UA"/>
        </w:rPr>
        <w:t xml:space="preserve"> необхідно для захисту </w:t>
      </w:r>
      <w:r w:rsidR="0063776F" w:rsidRPr="0024327D">
        <w:rPr>
          <w:lang w:val="uk-UA"/>
        </w:rPr>
        <w:t xml:space="preserve">здійснення виплат за </w:t>
      </w:r>
      <w:r w:rsidR="003C1F21" w:rsidRPr="0024327D">
        <w:rPr>
          <w:lang w:val="uk-UA"/>
        </w:rPr>
        <w:t>облігаці</w:t>
      </w:r>
      <w:r w:rsidR="0063776F" w:rsidRPr="0024327D">
        <w:rPr>
          <w:lang w:val="uk-UA"/>
        </w:rPr>
        <w:t>ями</w:t>
      </w:r>
      <w:r w:rsidR="003C1F21" w:rsidRPr="0024327D">
        <w:rPr>
          <w:lang w:val="uk-UA"/>
        </w:rPr>
        <w:t xml:space="preserve"> вищого пріоритету</w:t>
      </w:r>
      <w:r w:rsidR="002622F8" w:rsidRPr="0024327D">
        <w:rPr>
          <w:lang w:val="uk-UA"/>
        </w:rPr>
        <w:t>.</w:t>
      </w:r>
      <w:r w:rsidR="001A55E0" w:rsidRPr="0024327D">
        <w:rPr>
          <w:lang w:val="uk-UA"/>
        </w:rPr>
        <w:t xml:space="preserve"> Загальні положення, які передбачатимуть можливість субординації мають бути передбачені законом; при цьому </w:t>
      </w:r>
      <w:r w:rsidR="003B3686" w:rsidRPr="0024327D">
        <w:rPr>
          <w:lang w:val="uk-UA"/>
        </w:rPr>
        <w:t>для уникнення перешкод у розвитку ринку законодавство має залишати достатню гнучкість для учасників ринку (як емітентів, так і інвесторів) щодо визначення детальних структурних елементів такої субординації.</w:t>
      </w:r>
    </w:p>
    <w:p w14:paraId="08BCFC3D" w14:textId="4407E1DC" w:rsidR="00DD3B5B" w:rsidRPr="0024327D" w:rsidRDefault="003C1F21" w:rsidP="003C1F21">
      <w:pPr>
        <w:rPr>
          <w:lang w:val="uk-UA"/>
        </w:rPr>
      </w:pPr>
      <w:r w:rsidRPr="0024327D">
        <w:rPr>
          <w:lang w:val="uk-UA"/>
        </w:rPr>
        <w:t>Якщо здійснюватиметься продаж цінних паперів інвесторам-нерезидентам, можливо, також доведеться вирішувати питання податку на доходи нерезидентів та</w:t>
      </w:r>
      <w:r w:rsidR="002612AA" w:rsidRPr="0024327D">
        <w:rPr>
          <w:lang w:val="uk-UA"/>
        </w:rPr>
        <w:t xml:space="preserve"> здійснення розрахунків</w:t>
      </w:r>
      <w:r w:rsidR="00FF10B6" w:rsidRPr="0024327D">
        <w:rPr>
          <w:lang w:val="uk-UA"/>
        </w:rPr>
        <w:t>.</w:t>
      </w:r>
    </w:p>
    <w:p w14:paraId="55256F2D" w14:textId="6B76F62A" w:rsidR="00DD3B5B" w:rsidRPr="0024327D" w:rsidRDefault="00DD3B5B" w:rsidP="000E107C">
      <w:pPr>
        <w:pStyle w:val="3"/>
        <w:rPr>
          <w:lang w:val="uk-UA"/>
        </w:rPr>
      </w:pPr>
      <w:bookmarkStart w:id="65" w:name="_Toc462854315"/>
      <w:bookmarkStart w:id="66" w:name="_Toc464582336"/>
      <w:r w:rsidRPr="0024327D">
        <w:rPr>
          <w:lang w:val="uk-UA"/>
        </w:rPr>
        <w:t xml:space="preserve"> </w:t>
      </w:r>
      <w:bookmarkStart w:id="67" w:name="_Toc95480991"/>
      <w:bookmarkEnd w:id="65"/>
      <w:bookmarkEnd w:id="66"/>
      <w:r w:rsidR="003C1F21" w:rsidRPr="0024327D">
        <w:rPr>
          <w:lang w:val="uk-UA"/>
        </w:rPr>
        <w:t>Податковий нейтралітет</w:t>
      </w:r>
      <w:bookmarkEnd w:id="67"/>
    </w:p>
    <w:p w14:paraId="0817D07E" w14:textId="3D3BDA57" w:rsidR="003C1F21" w:rsidRPr="0024327D" w:rsidRDefault="003C1F21" w:rsidP="003C1F21">
      <w:pPr>
        <w:rPr>
          <w:lang w:val="uk-UA"/>
        </w:rPr>
      </w:pPr>
      <w:r w:rsidRPr="0024327D">
        <w:rPr>
          <w:lang w:val="uk-UA"/>
        </w:rPr>
        <w:t>Необхідно, що</w:t>
      </w:r>
      <w:r w:rsidR="00B90888" w:rsidRPr="0024327D">
        <w:rPr>
          <w:lang w:val="uk-UA"/>
        </w:rPr>
        <w:t>б</w:t>
      </w:r>
      <w:r w:rsidRPr="0024327D">
        <w:rPr>
          <w:lang w:val="uk-UA"/>
        </w:rPr>
        <w:t xml:space="preserve"> усі аспекти трансакцій</w:t>
      </w:r>
      <w:r w:rsidR="000F2131" w:rsidRPr="0024327D">
        <w:rPr>
          <w:lang w:val="uk-UA"/>
        </w:rPr>
        <w:t>,</w:t>
      </w:r>
      <w:r w:rsidRPr="0024327D">
        <w:rPr>
          <w:lang w:val="uk-UA"/>
        </w:rPr>
        <w:t xml:space="preserve"> за можливості</w:t>
      </w:r>
      <w:r w:rsidR="000F2131" w:rsidRPr="0024327D">
        <w:rPr>
          <w:lang w:val="uk-UA"/>
        </w:rPr>
        <w:t>,</w:t>
      </w:r>
      <w:r w:rsidRPr="0024327D">
        <w:rPr>
          <w:lang w:val="uk-UA"/>
        </w:rPr>
        <w:t xml:space="preserve"> </w:t>
      </w:r>
      <w:r w:rsidR="0085497B" w:rsidRPr="0024327D">
        <w:rPr>
          <w:lang w:val="uk-UA"/>
        </w:rPr>
        <w:t xml:space="preserve">не призводили до виникнення </w:t>
      </w:r>
      <w:r w:rsidRPr="0024327D">
        <w:rPr>
          <w:lang w:val="uk-UA"/>
        </w:rPr>
        <w:t>у емітента облігацій/</w:t>
      </w:r>
      <w:r w:rsidR="001732D3" w:rsidRPr="0024327D">
        <w:rPr>
          <w:lang w:val="uk-UA"/>
        </w:rPr>
        <w:t>о</w:t>
      </w:r>
      <w:r w:rsidR="000F2131" w:rsidRPr="0024327D">
        <w:rPr>
          <w:lang w:val="uk-UA"/>
        </w:rPr>
        <w:t xml:space="preserve">ригінатора </w:t>
      </w:r>
      <w:r w:rsidRPr="0024327D">
        <w:rPr>
          <w:lang w:val="uk-UA"/>
        </w:rPr>
        <w:t>активів або інвестора</w:t>
      </w:r>
      <w:r w:rsidR="000F2131" w:rsidRPr="0024327D">
        <w:rPr>
          <w:lang w:val="uk-UA"/>
        </w:rPr>
        <w:t xml:space="preserve"> </w:t>
      </w:r>
      <w:r w:rsidR="0085497B" w:rsidRPr="0024327D">
        <w:rPr>
          <w:lang w:val="uk-UA"/>
        </w:rPr>
        <w:t xml:space="preserve">додаткових </w:t>
      </w:r>
      <w:r w:rsidR="000F2131" w:rsidRPr="0024327D">
        <w:rPr>
          <w:lang w:val="uk-UA"/>
        </w:rPr>
        <w:t>податкових зобов'язань</w:t>
      </w:r>
      <w:r w:rsidRPr="0024327D">
        <w:rPr>
          <w:lang w:val="uk-UA"/>
        </w:rPr>
        <w:t xml:space="preserve">, </w:t>
      </w:r>
      <w:r w:rsidR="000F2131" w:rsidRPr="0024327D">
        <w:rPr>
          <w:lang w:val="uk-UA"/>
        </w:rPr>
        <w:t>окрім тих, що стосуються</w:t>
      </w:r>
      <w:r w:rsidRPr="0024327D">
        <w:rPr>
          <w:lang w:val="uk-UA"/>
        </w:rPr>
        <w:t xml:space="preserve"> звичайного випуску облігацій</w:t>
      </w:r>
      <w:r w:rsidR="00095FD5" w:rsidRPr="0024327D">
        <w:rPr>
          <w:lang w:val="uk-UA"/>
        </w:rPr>
        <w:t>.</w:t>
      </w:r>
    </w:p>
    <w:p w14:paraId="1826E1F9" w14:textId="37C38FEB" w:rsidR="00DD3B5B" w:rsidRPr="0024327D" w:rsidRDefault="000F2131" w:rsidP="00501D25">
      <w:pPr>
        <w:rPr>
          <w:lang w:val="uk-UA"/>
        </w:rPr>
      </w:pPr>
      <w:r w:rsidRPr="0024327D">
        <w:rPr>
          <w:lang w:val="uk-UA"/>
        </w:rPr>
        <w:t>Це, серед іншого, зобов’язання щодо сплати таких податків:</w:t>
      </w:r>
    </w:p>
    <w:p w14:paraId="7500C502" w14:textId="751DABBF" w:rsidR="00DD3B5B" w:rsidRPr="0024327D" w:rsidRDefault="000F2131" w:rsidP="00501D25">
      <w:pPr>
        <w:pStyle w:val="a4"/>
        <w:numPr>
          <w:ilvl w:val="0"/>
          <w:numId w:val="2"/>
        </w:numPr>
        <w:rPr>
          <w:lang w:val="uk-UA"/>
        </w:rPr>
      </w:pPr>
      <w:r w:rsidRPr="0024327D">
        <w:rPr>
          <w:lang w:val="uk-UA"/>
        </w:rPr>
        <w:t xml:space="preserve">будь-якого податку, у тому числі державного мита, що стягується у разі передачі активів </w:t>
      </w:r>
      <w:r w:rsidR="005F6D32" w:rsidRPr="0024327D">
        <w:rPr>
          <w:lang w:val="uk-UA"/>
        </w:rPr>
        <w:t>к</w:t>
      </w:r>
      <w:r w:rsidRPr="0024327D">
        <w:rPr>
          <w:lang w:val="uk-UA"/>
        </w:rPr>
        <w:t>омпанії спеціального призначення;</w:t>
      </w:r>
    </w:p>
    <w:p w14:paraId="3992CA99" w14:textId="164CC547" w:rsidR="00DD3B5B" w:rsidRPr="0024327D" w:rsidRDefault="000F2131" w:rsidP="000F2131">
      <w:pPr>
        <w:pStyle w:val="a4"/>
        <w:numPr>
          <w:ilvl w:val="0"/>
          <w:numId w:val="2"/>
        </w:numPr>
        <w:rPr>
          <w:lang w:val="uk-UA"/>
        </w:rPr>
      </w:pPr>
      <w:r w:rsidRPr="0024327D">
        <w:rPr>
          <w:lang w:val="uk-UA"/>
        </w:rPr>
        <w:t xml:space="preserve">податку на прибуток </w:t>
      </w:r>
      <w:r w:rsidR="005F6D32" w:rsidRPr="0024327D">
        <w:rPr>
          <w:lang w:val="uk-UA"/>
        </w:rPr>
        <w:t>к</w:t>
      </w:r>
      <w:r w:rsidRPr="0024327D">
        <w:rPr>
          <w:lang w:val="uk-UA"/>
        </w:rPr>
        <w:t xml:space="preserve">омпанії спеціального призначення, крім випадків, коли такий податок </w:t>
      </w:r>
      <w:r w:rsidR="00D64B42" w:rsidRPr="0024327D">
        <w:rPr>
          <w:lang w:val="uk-UA"/>
        </w:rPr>
        <w:t xml:space="preserve">в будь-якому випадку сплачувався б </w:t>
      </w:r>
      <w:r w:rsidR="00574913" w:rsidRPr="0024327D">
        <w:rPr>
          <w:lang w:val="uk-UA"/>
        </w:rPr>
        <w:t>оригінатором</w:t>
      </w:r>
      <w:r w:rsidRPr="0024327D">
        <w:rPr>
          <w:lang w:val="uk-UA"/>
        </w:rPr>
        <w:t>;</w:t>
      </w:r>
    </w:p>
    <w:p w14:paraId="4F732693" w14:textId="14870C82" w:rsidR="00DD3B5B" w:rsidRPr="0024327D" w:rsidRDefault="000F2131" w:rsidP="00501D25">
      <w:pPr>
        <w:pStyle w:val="a4"/>
        <w:numPr>
          <w:ilvl w:val="0"/>
          <w:numId w:val="2"/>
        </w:numPr>
        <w:rPr>
          <w:lang w:val="uk-UA"/>
        </w:rPr>
      </w:pPr>
      <w:r w:rsidRPr="0024327D">
        <w:rPr>
          <w:lang w:val="uk-UA"/>
        </w:rPr>
        <w:lastRenderedPageBreak/>
        <w:t>податок</w:t>
      </w:r>
      <w:r w:rsidR="00204E96" w:rsidRPr="0024327D">
        <w:rPr>
          <w:lang w:val="uk-UA"/>
        </w:rPr>
        <w:t>, який</w:t>
      </w:r>
      <w:r w:rsidR="007D15BB" w:rsidRPr="0024327D">
        <w:rPr>
          <w:lang w:val="uk-UA"/>
        </w:rPr>
        <w:t xml:space="preserve"> виникає зважаючи</w:t>
      </w:r>
      <w:r w:rsidRPr="0024327D">
        <w:rPr>
          <w:lang w:val="uk-UA"/>
        </w:rPr>
        <w:t xml:space="preserve"> на метод </w:t>
      </w:r>
      <w:r w:rsidR="00A72E50" w:rsidRPr="0024327D">
        <w:rPr>
          <w:lang w:val="uk-UA"/>
        </w:rPr>
        <w:t xml:space="preserve">передачі прибутків з </w:t>
      </w:r>
      <w:r w:rsidR="00574913" w:rsidRPr="0024327D">
        <w:rPr>
          <w:lang w:val="uk-UA"/>
        </w:rPr>
        <w:t>к</w:t>
      </w:r>
      <w:r w:rsidR="00A72E50" w:rsidRPr="0024327D">
        <w:rPr>
          <w:lang w:val="uk-UA"/>
        </w:rPr>
        <w:t>омпанії спеціального призначення</w:t>
      </w:r>
      <w:r w:rsidR="00574913" w:rsidRPr="0024327D">
        <w:rPr>
          <w:lang w:val="uk-UA"/>
        </w:rPr>
        <w:t xml:space="preserve"> оригінатору</w:t>
      </w:r>
      <w:r w:rsidR="00A72E50" w:rsidRPr="0024327D">
        <w:rPr>
          <w:lang w:val="uk-UA"/>
        </w:rPr>
        <w:t>;</w:t>
      </w:r>
    </w:p>
    <w:p w14:paraId="0F9BAAD3" w14:textId="150A8557" w:rsidR="00DD3B5B" w:rsidRPr="0024327D" w:rsidRDefault="00A72E50" w:rsidP="00FD3E6E">
      <w:pPr>
        <w:pStyle w:val="a4"/>
        <w:numPr>
          <w:ilvl w:val="0"/>
          <w:numId w:val="2"/>
        </w:numPr>
        <w:rPr>
          <w:lang w:val="uk-UA"/>
        </w:rPr>
      </w:pPr>
      <w:r w:rsidRPr="0024327D">
        <w:rPr>
          <w:lang w:val="uk-UA"/>
        </w:rPr>
        <w:t>податок на репатріацію доходів за</w:t>
      </w:r>
      <w:r w:rsidR="00DE31C2" w:rsidRPr="0024327D">
        <w:rPr>
          <w:lang w:val="uk-UA"/>
        </w:rPr>
        <w:t xml:space="preserve"> виплатами відсотків за облігаціями</w:t>
      </w:r>
      <w:r w:rsidR="00403C55" w:rsidRPr="0024327D">
        <w:rPr>
          <w:lang w:val="uk-UA"/>
        </w:rPr>
        <w:t>.</w:t>
      </w:r>
      <w:r w:rsidR="00403C55" w:rsidRPr="0024327D" w:rsidDel="00403C55">
        <w:rPr>
          <w:b/>
          <w:lang w:val="uk-UA"/>
        </w:rPr>
        <w:t xml:space="preserve"> </w:t>
      </w:r>
    </w:p>
    <w:p w14:paraId="61F516D3" w14:textId="6115FFF1" w:rsidR="00E62E3A" w:rsidRPr="0024327D" w:rsidRDefault="00A72E50" w:rsidP="002B681C">
      <w:pPr>
        <w:autoSpaceDE w:val="0"/>
        <w:autoSpaceDN w:val="0"/>
        <w:adjustRightInd w:val="0"/>
        <w:spacing w:before="0" w:after="0" w:line="240" w:lineRule="auto"/>
        <w:rPr>
          <w:lang w:val="uk-UA"/>
        </w:rPr>
      </w:pPr>
      <w:r w:rsidRPr="0024327D">
        <w:rPr>
          <w:lang w:val="uk-UA"/>
        </w:rPr>
        <w:t xml:space="preserve">Незабезпечення податкового нейтралітету та виникнення істотно нових форм податків, скоріш за все, позбавлять трансакцію економічної привабливості для </w:t>
      </w:r>
      <w:r w:rsidR="00643B4F" w:rsidRPr="0024327D">
        <w:rPr>
          <w:lang w:val="uk-UA"/>
        </w:rPr>
        <w:t>е</w:t>
      </w:r>
      <w:r w:rsidRPr="0024327D">
        <w:rPr>
          <w:lang w:val="uk-UA"/>
        </w:rPr>
        <w:t>мітентів</w:t>
      </w:r>
      <w:r w:rsidR="008A7970" w:rsidRPr="0024327D">
        <w:rPr>
          <w:lang w:val="uk-UA"/>
        </w:rPr>
        <w:t>/оригінаторів</w:t>
      </w:r>
      <w:r w:rsidRPr="0024327D">
        <w:rPr>
          <w:lang w:val="uk-UA"/>
        </w:rPr>
        <w:t xml:space="preserve"> та суп</w:t>
      </w:r>
      <w:r w:rsidR="001209D3" w:rsidRPr="0024327D">
        <w:rPr>
          <w:lang w:val="uk-UA"/>
        </w:rPr>
        <w:t>е</w:t>
      </w:r>
      <w:r w:rsidRPr="0024327D">
        <w:rPr>
          <w:lang w:val="uk-UA"/>
        </w:rPr>
        <w:t>речитимуть меті законодав</w:t>
      </w:r>
      <w:r w:rsidR="005D5A9D" w:rsidRPr="0024327D">
        <w:rPr>
          <w:lang w:val="uk-UA"/>
        </w:rPr>
        <w:t>чого регулювання</w:t>
      </w:r>
      <w:r w:rsidR="00DD3B5B" w:rsidRPr="0024327D">
        <w:rPr>
          <w:lang w:val="uk-UA"/>
        </w:rPr>
        <w:t xml:space="preserve">. </w:t>
      </w:r>
      <w:r w:rsidR="00A05AFE" w:rsidRPr="0024327D">
        <w:rPr>
          <w:lang w:val="uk-UA"/>
        </w:rPr>
        <w:t xml:space="preserve"> Відповідно, </w:t>
      </w:r>
      <w:r w:rsidR="008E45A0" w:rsidRPr="0024327D">
        <w:rPr>
          <w:lang w:val="uk-UA"/>
        </w:rPr>
        <w:t xml:space="preserve">запровадження </w:t>
      </w:r>
      <w:r w:rsidR="00A05AFE" w:rsidRPr="0024327D">
        <w:rPr>
          <w:lang w:val="uk-UA"/>
        </w:rPr>
        <w:t>адекватн</w:t>
      </w:r>
      <w:r w:rsidR="008E45A0" w:rsidRPr="0024327D">
        <w:rPr>
          <w:lang w:val="uk-UA"/>
        </w:rPr>
        <w:t>ого</w:t>
      </w:r>
      <w:r w:rsidR="00A05AFE" w:rsidRPr="0024327D">
        <w:rPr>
          <w:lang w:val="uk-UA"/>
        </w:rPr>
        <w:t xml:space="preserve"> податков</w:t>
      </w:r>
      <w:r w:rsidR="008E45A0" w:rsidRPr="0024327D">
        <w:rPr>
          <w:lang w:val="uk-UA"/>
        </w:rPr>
        <w:t>ого</w:t>
      </w:r>
      <w:r w:rsidR="00A05AFE" w:rsidRPr="0024327D">
        <w:rPr>
          <w:lang w:val="uk-UA"/>
        </w:rPr>
        <w:t xml:space="preserve"> режим</w:t>
      </w:r>
      <w:r w:rsidR="008E45A0" w:rsidRPr="0024327D">
        <w:rPr>
          <w:lang w:val="uk-UA"/>
        </w:rPr>
        <w:t>у</w:t>
      </w:r>
      <w:r w:rsidR="00A05AFE" w:rsidRPr="0024327D">
        <w:rPr>
          <w:lang w:val="uk-UA"/>
        </w:rPr>
        <w:t xml:space="preserve"> м</w:t>
      </w:r>
      <w:r w:rsidR="008E45A0" w:rsidRPr="0024327D">
        <w:rPr>
          <w:lang w:val="uk-UA"/>
        </w:rPr>
        <w:t>ожливо</w:t>
      </w:r>
      <w:r w:rsidR="00A05AFE" w:rsidRPr="0024327D">
        <w:rPr>
          <w:lang w:val="uk-UA"/>
        </w:rPr>
        <w:t xml:space="preserve"> </w:t>
      </w:r>
      <w:r w:rsidR="008E45A0" w:rsidRPr="0024327D">
        <w:rPr>
          <w:lang w:val="uk-UA"/>
        </w:rPr>
        <w:t xml:space="preserve"> потребуватиме  внесення змін до </w:t>
      </w:r>
      <w:r w:rsidR="00A05AFE" w:rsidRPr="0024327D">
        <w:rPr>
          <w:lang w:val="uk-UA"/>
        </w:rPr>
        <w:t xml:space="preserve"> Податково</w:t>
      </w:r>
      <w:r w:rsidR="008E45A0" w:rsidRPr="0024327D">
        <w:rPr>
          <w:lang w:val="uk-UA"/>
        </w:rPr>
        <w:t>го</w:t>
      </w:r>
      <w:r w:rsidR="00A05AFE" w:rsidRPr="0024327D">
        <w:rPr>
          <w:lang w:val="uk-UA"/>
        </w:rPr>
        <w:t xml:space="preserve"> кодекс</w:t>
      </w:r>
      <w:r w:rsidR="008E45A0" w:rsidRPr="0024327D">
        <w:rPr>
          <w:lang w:val="uk-UA"/>
        </w:rPr>
        <w:t>у</w:t>
      </w:r>
      <w:r w:rsidR="00A05AFE" w:rsidRPr="0024327D">
        <w:rPr>
          <w:lang w:val="uk-UA"/>
        </w:rPr>
        <w:t xml:space="preserve"> України.</w:t>
      </w:r>
    </w:p>
    <w:p w14:paraId="12798302" w14:textId="2CB7D090" w:rsidR="00DD3B5B" w:rsidRPr="0024327D" w:rsidRDefault="001209D3" w:rsidP="000E107C">
      <w:pPr>
        <w:pStyle w:val="3"/>
        <w:rPr>
          <w:lang w:val="uk-UA"/>
        </w:rPr>
      </w:pPr>
      <w:bookmarkStart w:id="68" w:name="_Toc462854316"/>
      <w:bookmarkStart w:id="69" w:name="_Toc464582337"/>
      <w:bookmarkStart w:id="70" w:name="_Toc513553425"/>
      <w:bookmarkStart w:id="71" w:name="_Toc6942248"/>
      <w:bookmarkStart w:id="72" w:name="_Toc5081036"/>
      <w:bookmarkStart w:id="73" w:name="_Toc27153447"/>
      <w:bookmarkStart w:id="74" w:name="_Toc95480992"/>
      <w:r w:rsidRPr="0024327D">
        <w:rPr>
          <w:lang w:val="uk-UA"/>
        </w:rPr>
        <w:t>Інші структурні елементи</w:t>
      </w:r>
      <w:bookmarkEnd w:id="68"/>
      <w:bookmarkEnd w:id="69"/>
      <w:bookmarkEnd w:id="70"/>
      <w:bookmarkEnd w:id="71"/>
      <w:bookmarkEnd w:id="72"/>
      <w:bookmarkEnd w:id="73"/>
      <w:bookmarkEnd w:id="74"/>
      <w:r w:rsidR="00DD3B5B" w:rsidRPr="0024327D">
        <w:rPr>
          <w:lang w:val="uk-UA"/>
        </w:rPr>
        <w:t xml:space="preserve"> </w:t>
      </w:r>
    </w:p>
    <w:p w14:paraId="52ECB507" w14:textId="1BA3EFD4" w:rsidR="001209D3" w:rsidRPr="0024327D" w:rsidRDefault="001209D3" w:rsidP="001209D3">
      <w:pPr>
        <w:rPr>
          <w:lang w:val="uk-UA"/>
        </w:rPr>
      </w:pPr>
      <w:r w:rsidRPr="0024327D">
        <w:rPr>
          <w:lang w:val="uk-UA"/>
        </w:rPr>
        <w:t xml:space="preserve">Зазвичай для </w:t>
      </w:r>
      <w:r w:rsidR="00BC0F5E" w:rsidRPr="0024327D">
        <w:rPr>
          <w:lang w:val="uk-UA"/>
        </w:rPr>
        <w:t xml:space="preserve">структурування </w:t>
      </w:r>
      <w:r w:rsidRPr="0024327D">
        <w:rPr>
          <w:lang w:val="uk-UA"/>
        </w:rPr>
        <w:t>сек’юритизації</w:t>
      </w:r>
      <w:r w:rsidR="00BC0F5E" w:rsidRPr="0024327D">
        <w:rPr>
          <w:lang w:val="uk-UA"/>
        </w:rPr>
        <w:t xml:space="preserve"> </w:t>
      </w:r>
      <w:r w:rsidR="00136A73" w:rsidRPr="0024327D">
        <w:rPr>
          <w:lang w:val="uk-UA"/>
        </w:rPr>
        <w:t xml:space="preserve">потрібні </w:t>
      </w:r>
      <w:r w:rsidR="00BC0F5E" w:rsidRPr="0024327D">
        <w:rPr>
          <w:lang w:val="uk-UA"/>
        </w:rPr>
        <w:t xml:space="preserve">також </w:t>
      </w:r>
      <w:r w:rsidR="009B7F90" w:rsidRPr="0024327D">
        <w:rPr>
          <w:lang w:val="uk-UA"/>
        </w:rPr>
        <w:t>інші фактори</w:t>
      </w:r>
      <w:r w:rsidRPr="0024327D">
        <w:rPr>
          <w:lang w:val="uk-UA"/>
        </w:rPr>
        <w:t xml:space="preserve">, </w:t>
      </w:r>
      <w:r w:rsidR="00136A73" w:rsidRPr="0024327D">
        <w:rPr>
          <w:lang w:val="uk-UA"/>
        </w:rPr>
        <w:t>але вони регулюються</w:t>
      </w:r>
      <w:r w:rsidRPr="0024327D">
        <w:rPr>
          <w:lang w:val="uk-UA"/>
        </w:rPr>
        <w:t xml:space="preserve">, як правило, </w:t>
      </w:r>
      <w:r w:rsidR="00E91E3A" w:rsidRPr="0024327D">
        <w:rPr>
          <w:lang w:val="uk-UA"/>
        </w:rPr>
        <w:t xml:space="preserve">у </w:t>
      </w:r>
      <w:r w:rsidRPr="0024327D">
        <w:rPr>
          <w:lang w:val="uk-UA"/>
        </w:rPr>
        <w:t>договірн</w:t>
      </w:r>
      <w:r w:rsidR="00E91E3A" w:rsidRPr="0024327D">
        <w:rPr>
          <w:lang w:val="uk-UA"/>
        </w:rPr>
        <w:t>ому</w:t>
      </w:r>
      <w:r w:rsidRPr="0024327D">
        <w:rPr>
          <w:lang w:val="uk-UA"/>
        </w:rPr>
        <w:t xml:space="preserve"> </w:t>
      </w:r>
      <w:r w:rsidR="00E91E3A" w:rsidRPr="0024327D">
        <w:rPr>
          <w:lang w:val="uk-UA"/>
        </w:rPr>
        <w:t>порядку</w:t>
      </w:r>
      <w:r w:rsidRPr="0024327D">
        <w:rPr>
          <w:lang w:val="uk-UA"/>
        </w:rPr>
        <w:t>, а не визначаються</w:t>
      </w:r>
      <w:r w:rsidR="00F5028A" w:rsidRPr="0024327D">
        <w:rPr>
          <w:lang w:val="uk-UA"/>
        </w:rPr>
        <w:t xml:space="preserve"> законодавством</w:t>
      </w:r>
      <w:r w:rsidRPr="0024327D">
        <w:rPr>
          <w:lang w:val="uk-UA"/>
        </w:rPr>
        <w:t>.</w:t>
      </w:r>
    </w:p>
    <w:p w14:paraId="52464BA0" w14:textId="755BDA3C" w:rsidR="001209D3" w:rsidRPr="0024327D" w:rsidRDefault="001209D3" w:rsidP="001209D3">
      <w:pPr>
        <w:rPr>
          <w:lang w:val="uk-UA"/>
        </w:rPr>
      </w:pPr>
      <w:r w:rsidRPr="0024327D">
        <w:rPr>
          <w:lang w:val="uk-UA"/>
        </w:rPr>
        <w:t xml:space="preserve">Наприклад: </w:t>
      </w:r>
      <w:r w:rsidR="008829E3" w:rsidRPr="0024327D">
        <w:rPr>
          <w:lang w:val="uk-UA"/>
        </w:rPr>
        <w:t>оригінатору (</w:t>
      </w:r>
      <w:r w:rsidRPr="0024327D">
        <w:rPr>
          <w:lang w:val="uk-UA"/>
        </w:rPr>
        <w:t>банку</w:t>
      </w:r>
      <w:r w:rsidR="008829E3" w:rsidRPr="0024327D">
        <w:rPr>
          <w:lang w:val="uk-UA"/>
        </w:rPr>
        <w:t xml:space="preserve"> або небанківській установі)</w:t>
      </w:r>
      <w:r w:rsidRPr="0024327D">
        <w:rPr>
          <w:lang w:val="uk-UA"/>
        </w:rPr>
        <w:t xml:space="preserve"> знадобиться обслуговувати активи від імені </w:t>
      </w:r>
      <w:r w:rsidR="00136A73" w:rsidRPr="0024327D">
        <w:rPr>
          <w:lang w:val="uk-UA"/>
        </w:rPr>
        <w:t>к</w:t>
      </w:r>
      <w:r w:rsidRPr="0024327D">
        <w:rPr>
          <w:lang w:val="uk-UA"/>
        </w:rPr>
        <w:t>омпанії спеціального призначення, як правило, за окремим юридичним документом. Рейтингові агентства вимагатимуть можливості обслуговування цих активів через третю особу, якщо це буде необхідно.</w:t>
      </w:r>
    </w:p>
    <w:p w14:paraId="4FC14DEC" w14:textId="67401FA9" w:rsidR="00B96197" w:rsidRPr="0024327D" w:rsidRDefault="001209D3" w:rsidP="00BB182F">
      <w:pPr>
        <w:rPr>
          <w:lang w:val="uk-UA"/>
        </w:rPr>
      </w:pPr>
      <w:r w:rsidRPr="0024327D">
        <w:rPr>
          <w:lang w:val="uk-UA"/>
        </w:rPr>
        <w:t xml:space="preserve">Якщо </w:t>
      </w:r>
      <w:r w:rsidR="007C0F3A" w:rsidRPr="0024327D">
        <w:rPr>
          <w:lang w:val="uk-UA"/>
        </w:rPr>
        <w:t xml:space="preserve">відсоток </w:t>
      </w:r>
      <w:r w:rsidRPr="0024327D">
        <w:rPr>
          <w:lang w:val="uk-UA"/>
        </w:rPr>
        <w:t xml:space="preserve">за облігаціями менший за </w:t>
      </w:r>
      <w:r w:rsidR="007C0F3A" w:rsidRPr="0024327D">
        <w:rPr>
          <w:lang w:val="uk-UA"/>
        </w:rPr>
        <w:t xml:space="preserve">відсоток </w:t>
      </w:r>
      <w:r w:rsidRPr="0024327D">
        <w:rPr>
          <w:lang w:val="uk-UA"/>
        </w:rPr>
        <w:t>за активами</w:t>
      </w:r>
      <w:r w:rsidR="0021033A" w:rsidRPr="0024327D">
        <w:rPr>
          <w:lang w:val="uk-UA"/>
        </w:rPr>
        <w:t>, включеними до забезпечення,</w:t>
      </w:r>
      <w:r w:rsidRPr="0024327D">
        <w:rPr>
          <w:lang w:val="uk-UA"/>
        </w:rPr>
        <w:t xml:space="preserve"> - тобто </w:t>
      </w:r>
      <w:r w:rsidR="00FB50FF" w:rsidRPr="0024327D">
        <w:rPr>
          <w:lang w:val="uk-UA"/>
        </w:rPr>
        <w:t>к</w:t>
      </w:r>
      <w:r w:rsidRPr="0024327D">
        <w:rPr>
          <w:lang w:val="uk-UA"/>
        </w:rPr>
        <w:t xml:space="preserve">омпанія спеціального призначення має позитивний чистий </w:t>
      </w:r>
      <w:r w:rsidR="0087354C" w:rsidRPr="0024327D">
        <w:rPr>
          <w:lang w:val="uk-UA"/>
        </w:rPr>
        <w:t>відсоток</w:t>
      </w:r>
      <w:r w:rsidRPr="0024327D">
        <w:rPr>
          <w:lang w:val="uk-UA"/>
        </w:rPr>
        <w:t xml:space="preserve">, і якщо позитивний чистий </w:t>
      </w:r>
      <w:r w:rsidR="0087354C" w:rsidRPr="0024327D">
        <w:rPr>
          <w:lang w:val="uk-UA"/>
        </w:rPr>
        <w:t xml:space="preserve">відсоток </w:t>
      </w:r>
      <w:r w:rsidRPr="0024327D">
        <w:rPr>
          <w:lang w:val="uk-UA"/>
        </w:rPr>
        <w:t xml:space="preserve">достатній для покриття будь-яких втрат основної суми внаслідок </w:t>
      </w:r>
      <w:r w:rsidR="008A6446" w:rsidRPr="0024327D">
        <w:rPr>
          <w:lang w:val="uk-UA"/>
        </w:rPr>
        <w:t xml:space="preserve">невиконання зобов’язань за кредитами, </w:t>
      </w:r>
      <w:r w:rsidR="0021033A" w:rsidRPr="0024327D">
        <w:rPr>
          <w:lang w:val="uk-UA"/>
        </w:rPr>
        <w:t xml:space="preserve">включеними до забезпечення, </w:t>
      </w:r>
      <w:r w:rsidR="008A6446" w:rsidRPr="0024327D">
        <w:rPr>
          <w:lang w:val="uk-UA"/>
        </w:rPr>
        <w:t xml:space="preserve">різниця має перейти від </w:t>
      </w:r>
      <w:r w:rsidR="00BF1D61" w:rsidRPr="0024327D">
        <w:rPr>
          <w:lang w:val="uk-UA"/>
        </w:rPr>
        <w:t>к</w:t>
      </w:r>
      <w:r w:rsidR="008A6446" w:rsidRPr="0024327D">
        <w:rPr>
          <w:lang w:val="uk-UA"/>
        </w:rPr>
        <w:t>омпанії спеціального призначення до банку</w:t>
      </w:r>
      <w:r w:rsidR="00DD3B5B" w:rsidRPr="0024327D">
        <w:rPr>
          <w:lang w:val="uk-UA"/>
        </w:rPr>
        <w:t xml:space="preserve">. </w:t>
      </w:r>
    </w:p>
    <w:p w14:paraId="7774E54B" w14:textId="758A1094" w:rsidR="00A05AFE" w:rsidRPr="0024327D" w:rsidRDefault="00A05AFE" w:rsidP="00BB182F">
      <w:pPr>
        <w:rPr>
          <w:lang w:val="uk-UA"/>
        </w:rPr>
      </w:pPr>
      <w:r w:rsidRPr="0024327D">
        <w:rPr>
          <w:lang w:val="uk-UA"/>
        </w:rPr>
        <w:t xml:space="preserve">В Україні через певною мірою формалістичні підходи у </w:t>
      </w:r>
      <w:r w:rsidR="00DF59D3" w:rsidRPr="0024327D">
        <w:rPr>
          <w:lang w:val="uk-UA"/>
        </w:rPr>
        <w:t>застосуванні положень законодавства</w:t>
      </w:r>
      <w:r w:rsidR="00950733" w:rsidRPr="0024327D">
        <w:rPr>
          <w:lang w:val="uk-UA"/>
        </w:rPr>
        <w:t xml:space="preserve"> корисним буде встановлення на рівні законодавства можливості використання таких інструментів </w:t>
      </w:r>
      <w:r w:rsidR="00424E54" w:rsidRPr="0024327D">
        <w:rPr>
          <w:lang w:val="uk-UA"/>
        </w:rPr>
        <w:t>шляхом прямої вказівки на це в законі, та залиш</w:t>
      </w:r>
      <w:r w:rsidR="009A02FE" w:rsidRPr="0024327D">
        <w:rPr>
          <w:lang w:val="uk-UA"/>
        </w:rPr>
        <w:t>ення детального врегулювання їх умов на розсуд учасників ринку.</w:t>
      </w:r>
    </w:p>
    <w:p w14:paraId="0862FF7E" w14:textId="314393E2" w:rsidR="005F183D" w:rsidRPr="0024327D" w:rsidRDefault="005F183D" w:rsidP="00BB182F">
      <w:pPr>
        <w:rPr>
          <w:lang w:val="ru-RU"/>
        </w:rPr>
      </w:pPr>
      <w:r w:rsidRPr="0024327D">
        <w:rPr>
          <w:lang w:val="uk-UA"/>
        </w:rPr>
        <w:t xml:space="preserve">Закон також має </w:t>
      </w:r>
      <w:r w:rsidR="000F68CD" w:rsidRPr="0024327D">
        <w:rPr>
          <w:lang w:val="uk-UA"/>
        </w:rPr>
        <w:t>встановлювати</w:t>
      </w:r>
      <w:r w:rsidRPr="0024327D">
        <w:rPr>
          <w:lang w:val="uk-UA"/>
        </w:rPr>
        <w:t xml:space="preserve"> мінімальний рівень збереження ризику за активами</w:t>
      </w:r>
      <w:r w:rsidR="000F68CD" w:rsidRPr="0024327D">
        <w:rPr>
          <w:lang w:val="uk-UA"/>
        </w:rPr>
        <w:t xml:space="preserve"> оригінатором</w:t>
      </w:r>
      <w:r w:rsidRPr="0024327D">
        <w:rPr>
          <w:lang w:val="uk-UA"/>
        </w:rPr>
        <w:t xml:space="preserve"> </w:t>
      </w:r>
      <w:r w:rsidR="000F68CD" w:rsidRPr="0024327D">
        <w:rPr>
          <w:lang w:val="uk-UA"/>
        </w:rPr>
        <w:t xml:space="preserve">у розмірі </w:t>
      </w:r>
      <w:r w:rsidRPr="0024327D">
        <w:rPr>
          <w:lang w:val="uk-UA"/>
        </w:rPr>
        <w:t>5%. Компетентний орган (наприклад, НКЦПФР або НБУ) може мати повноваження встановлювати вищий рівень, а також визначати спосіб його обчислення.</w:t>
      </w:r>
    </w:p>
    <w:p w14:paraId="45D73C30" w14:textId="5A9670E8" w:rsidR="00F52B64" w:rsidRPr="0024327D" w:rsidRDefault="008A6446" w:rsidP="00BB182F">
      <w:pPr>
        <w:rPr>
          <w:b/>
          <w:bCs/>
          <w:lang w:val="uk-UA"/>
        </w:rPr>
      </w:pPr>
      <w:r w:rsidRPr="0024327D">
        <w:rPr>
          <w:b/>
          <w:bCs/>
          <w:lang w:val="uk-UA"/>
        </w:rPr>
        <w:t xml:space="preserve">Регламент </w:t>
      </w:r>
      <w:r w:rsidR="00F52B64" w:rsidRPr="0024327D">
        <w:rPr>
          <w:b/>
          <w:bCs/>
          <w:lang w:val="uk-UA"/>
        </w:rPr>
        <w:t>STS</w:t>
      </w:r>
    </w:p>
    <w:p w14:paraId="65DD9AFF" w14:textId="24B8A577" w:rsidR="00D60FD5" w:rsidRPr="0024327D" w:rsidRDefault="008A6446" w:rsidP="00D60FD5">
      <w:pPr>
        <w:rPr>
          <w:lang w:val="uk-UA"/>
        </w:rPr>
      </w:pPr>
      <w:r w:rsidRPr="0024327D">
        <w:rPr>
          <w:lang w:val="uk-UA"/>
        </w:rPr>
        <w:t xml:space="preserve">На додаток до юридичних </w:t>
      </w:r>
      <w:r w:rsidR="009A02FE" w:rsidRPr="0024327D">
        <w:rPr>
          <w:lang w:val="uk-UA"/>
        </w:rPr>
        <w:t>елементів</w:t>
      </w:r>
      <w:r w:rsidRPr="0024327D">
        <w:rPr>
          <w:lang w:val="uk-UA"/>
        </w:rPr>
        <w:t xml:space="preserve">, за законодавством ЄС сек'юритизація, </w:t>
      </w:r>
      <w:r w:rsidR="00D7497B" w:rsidRPr="0024327D">
        <w:rPr>
          <w:lang w:val="uk-UA"/>
        </w:rPr>
        <w:t>на яку поширюється більш сприятливий юридичний режим</w:t>
      </w:r>
      <w:r w:rsidRPr="0024327D">
        <w:rPr>
          <w:lang w:val="uk-UA"/>
        </w:rPr>
        <w:t xml:space="preserve">, тобто </w:t>
      </w:r>
      <w:r w:rsidR="00A16F44" w:rsidRPr="0024327D">
        <w:rPr>
          <w:lang w:val="uk-UA"/>
        </w:rPr>
        <w:t>“</w:t>
      </w:r>
      <w:r w:rsidRPr="0024327D">
        <w:rPr>
          <w:lang w:val="uk-UA"/>
        </w:rPr>
        <w:t>проста, прозора та стандартизована сек’юритизація</w:t>
      </w:r>
      <w:r w:rsidR="00A16F44" w:rsidRPr="0024327D">
        <w:rPr>
          <w:lang w:val="uk-UA"/>
        </w:rPr>
        <w:t>”</w:t>
      </w:r>
      <w:r w:rsidR="00D60FD5" w:rsidRPr="0024327D">
        <w:rPr>
          <w:lang w:val="uk-UA"/>
        </w:rPr>
        <w:t xml:space="preserve"> </w:t>
      </w:r>
      <w:r w:rsidRPr="0024327D">
        <w:rPr>
          <w:lang w:val="uk-UA"/>
        </w:rPr>
        <w:t>повинна відповідати певним додатковим мінімальним стандартам</w:t>
      </w:r>
      <w:r w:rsidR="00761400" w:rsidRPr="0024327D">
        <w:rPr>
          <w:lang w:val="uk-UA"/>
        </w:rPr>
        <w:t xml:space="preserve"> щодо структ</w:t>
      </w:r>
      <w:r w:rsidR="00B14754" w:rsidRPr="0024327D">
        <w:rPr>
          <w:lang w:val="uk-UA"/>
        </w:rPr>
        <w:t>у</w:t>
      </w:r>
      <w:r w:rsidR="00761400" w:rsidRPr="0024327D">
        <w:rPr>
          <w:lang w:val="uk-UA"/>
        </w:rPr>
        <w:t>ри</w:t>
      </w:r>
      <w:r w:rsidRPr="0024327D">
        <w:rPr>
          <w:lang w:val="uk-UA"/>
        </w:rPr>
        <w:t xml:space="preserve"> та забезпечуватися певними відповідними активами.</w:t>
      </w:r>
      <w:r w:rsidR="009A02FE" w:rsidRPr="0024327D">
        <w:rPr>
          <w:lang w:val="uk-UA"/>
        </w:rPr>
        <w:t xml:space="preserve"> </w:t>
      </w:r>
      <w:r w:rsidR="006F2D78" w:rsidRPr="0024327D">
        <w:rPr>
          <w:lang w:val="uk-UA"/>
        </w:rPr>
        <w:t xml:space="preserve">До </w:t>
      </w:r>
      <w:r w:rsidR="00D427EE" w:rsidRPr="0024327D">
        <w:rPr>
          <w:lang w:val="uk-UA"/>
        </w:rPr>
        <w:t>вступу</w:t>
      </w:r>
      <w:r w:rsidR="009A02FE" w:rsidRPr="0024327D">
        <w:rPr>
          <w:lang w:val="uk-UA"/>
        </w:rPr>
        <w:t xml:space="preserve"> Україн</w:t>
      </w:r>
      <w:r w:rsidR="006F2D78" w:rsidRPr="0024327D">
        <w:rPr>
          <w:lang w:val="uk-UA"/>
        </w:rPr>
        <w:t xml:space="preserve">и </w:t>
      </w:r>
      <w:r w:rsidR="00D427EE" w:rsidRPr="0024327D">
        <w:rPr>
          <w:lang w:val="uk-UA"/>
        </w:rPr>
        <w:t>в</w:t>
      </w:r>
      <w:r w:rsidR="006F2D78" w:rsidRPr="0024327D">
        <w:rPr>
          <w:lang w:val="uk-UA"/>
        </w:rPr>
        <w:t xml:space="preserve"> ЄС</w:t>
      </w:r>
      <w:r w:rsidR="009A02FE" w:rsidRPr="0024327D">
        <w:rPr>
          <w:lang w:val="uk-UA"/>
        </w:rPr>
        <w:t xml:space="preserve"> такі стандарти можуть бути визначені на рівні підзаконних нормативно-правових актів НКЦПФР та НБУ</w:t>
      </w:r>
      <w:r w:rsidR="004E4C27" w:rsidRPr="0024327D">
        <w:rPr>
          <w:lang w:val="uk-UA"/>
        </w:rPr>
        <w:t>.</w:t>
      </w:r>
      <w:r w:rsidRPr="0024327D">
        <w:rPr>
          <w:lang w:val="uk-UA"/>
        </w:rPr>
        <w:t xml:space="preserve"> Ці додаткові вимоги включають </w:t>
      </w:r>
      <w:r w:rsidR="00761400" w:rsidRPr="0024327D">
        <w:rPr>
          <w:lang w:val="uk-UA"/>
        </w:rPr>
        <w:t xml:space="preserve">ряд </w:t>
      </w:r>
      <w:r w:rsidRPr="0024327D">
        <w:rPr>
          <w:lang w:val="uk-UA"/>
        </w:rPr>
        <w:t>правил, серед яких найбільш значущ</w:t>
      </w:r>
      <w:r w:rsidR="00D60FD5" w:rsidRPr="0024327D">
        <w:rPr>
          <w:lang w:val="uk-UA"/>
        </w:rPr>
        <w:t>ими є такі:</w:t>
      </w:r>
    </w:p>
    <w:p w14:paraId="6BF55458" w14:textId="18A8A77A" w:rsidR="00F52B64" w:rsidRPr="0024327D" w:rsidRDefault="00D60FD5" w:rsidP="00A15564">
      <w:pPr>
        <w:pStyle w:val="a4"/>
        <w:numPr>
          <w:ilvl w:val="0"/>
          <w:numId w:val="2"/>
        </w:numPr>
        <w:rPr>
          <w:lang w:val="uk-UA"/>
        </w:rPr>
      </w:pPr>
      <w:r w:rsidRPr="0024327D">
        <w:rPr>
          <w:lang w:val="uk-UA"/>
        </w:rPr>
        <w:t>пул</w:t>
      </w:r>
      <w:r w:rsidR="00A15564" w:rsidRPr="0024327D">
        <w:rPr>
          <w:lang w:val="uk-UA"/>
        </w:rPr>
        <w:t xml:space="preserve"> </w:t>
      </w:r>
      <w:r w:rsidRPr="0024327D">
        <w:rPr>
          <w:lang w:val="uk-UA"/>
        </w:rPr>
        <w:t xml:space="preserve">активів має складатися з однорідних активів, що мають однакові </w:t>
      </w:r>
      <w:r w:rsidR="00761400" w:rsidRPr="0024327D">
        <w:rPr>
          <w:lang w:val="uk-UA"/>
        </w:rPr>
        <w:t xml:space="preserve">рівні </w:t>
      </w:r>
      <w:r w:rsidRPr="0024327D">
        <w:rPr>
          <w:lang w:val="uk-UA"/>
        </w:rPr>
        <w:t>ризику</w:t>
      </w:r>
      <w:r w:rsidR="00454A75" w:rsidRPr="0024327D">
        <w:rPr>
          <w:lang w:val="uk-UA"/>
        </w:rPr>
        <w:t>;</w:t>
      </w:r>
      <w:r w:rsidR="000674DA" w:rsidRPr="0024327D">
        <w:rPr>
          <w:rStyle w:val="af2"/>
          <w:lang w:val="uk-UA"/>
        </w:rPr>
        <w:footnoteReference w:id="27"/>
      </w:r>
    </w:p>
    <w:p w14:paraId="3DB195E7" w14:textId="192DC1D9" w:rsidR="0061489F" w:rsidRPr="0024327D" w:rsidRDefault="00D60FD5" w:rsidP="00A15564">
      <w:pPr>
        <w:pStyle w:val="a4"/>
        <w:numPr>
          <w:ilvl w:val="0"/>
          <w:numId w:val="2"/>
        </w:numPr>
        <w:rPr>
          <w:lang w:val="uk-UA"/>
        </w:rPr>
      </w:pPr>
      <w:r w:rsidRPr="0024327D">
        <w:rPr>
          <w:lang w:val="uk-UA"/>
        </w:rPr>
        <w:t xml:space="preserve">при створенні активів </w:t>
      </w:r>
      <w:r w:rsidR="005775CE" w:rsidRPr="0024327D">
        <w:rPr>
          <w:lang w:val="uk-UA"/>
        </w:rPr>
        <w:t xml:space="preserve">повинно бути </w:t>
      </w:r>
      <w:r w:rsidRPr="0024327D">
        <w:rPr>
          <w:lang w:val="uk-UA"/>
        </w:rPr>
        <w:t>забезпечен</w:t>
      </w:r>
      <w:r w:rsidR="00792D31" w:rsidRPr="0024327D">
        <w:rPr>
          <w:lang w:val="uk-UA"/>
        </w:rPr>
        <w:t>о</w:t>
      </w:r>
      <w:r w:rsidRPr="0024327D">
        <w:rPr>
          <w:lang w:val="uk-UA"/>
        </w:rPr>
        <w:t xml:space="preserve"> дотримання мінімальних стандартів </w:t>
      </w:r>
      <w:r w:rsidR="007255A2" w:rsidRPr="0024327D">
        <w:rPr>
          <w:lang w:val="uk-UA"/>
        </w:rPr>
        <w:t>андерайтингу</w:t>
      </w:r>
      <w:r w:rsidR="00454A75" w:rsidRPr="0024327D">
        <w:rPr>
          <w:lang w:val="uk-UA"/>
        </w:rPr>
        <w:t>;</w:t>
      </w:r>
      <w:r w:rsidR="0070147D" w:rsidRPr="0024327D">
        <w:rPr>
          <w:rStyle w:val="af2"/>
          <w:lang w:val="uk-UA"/>
        </w:rPr>
        <w:footnoteReference w:id="28"/>
      </w:r>
    </w:p>
    <w:p w14:paraId="60D081FA" w14:textId="2E6CE1FC" w:rsidR="0061489F" w:rsidRPr="0024327D" w:rsidRDefault="00C3011B" w:rsidP="00A15564">
      <w:pPr>
        <w:pStyle w:val="a4"/>
        <w:numPr>
          <w:ilvl w:val="0"/>
          <w:numId w:val="2"/>
        </w:numPr>
        <w:rPr>
          <w:lang w:val="uk-UA"/>
        </w:rPr>
      </w:pPr>
      <w:r w:rsidRPr="0024327D">
        <w:rPr>
          <w:lang w:val="uk-UA"/>
        </w:rPr>
        <w:lastRenderedPageBreak/>
        <w:t xml:space="preserve">повинно здійснюватись </w:t>
      </w:r>
      <w:r w:rsidR="00D60FD5" w:rsidRPr="0024327D">
        <w:rPr>
          <w:lang w:val="uk-UA"/>
        </w:rPr>
        <w:t>детальне розкриття інформації про характеристики активів</w:t>
      </w:r>
      <w:r w:rsidR="0021033A" w:rsidRPr="0024327D">
        <w:rPr>
          <w:lang w:val="uk-UA"/>
        </w:rPr>
        <w:t>, включених до забезпечення,</w:t>
      </w:r>
      <w:r w:rsidR="00D60FD5" w:rsidRPr="0024327D">
        <w:rPr>
          <w:lang w:val="uk-UA"/>
        </w:rPr>
        <w:t xml:space="preserve"> та</w:t>
      </w:r>
      <w:r w:rsidR="00792D31" w:rsidRPr="0024327D">
        <w:rPr>
          <w:lang w:val="uk-UA"/>
        </w:rPr>
        <w:t xml:space="preserve"> документаці</w:t>
      </w:r>
      <w:r w:rsidR="004E4C27" w:rsidRPr="0024327D">
        <w:rPr>
          <w:lang w:val="uk-UA"/>
        </w:rPr>
        <w:t>ї</w:t>
      </w:r>
      <w:r w:rsidR="005775CE" w:rsidRPr="0024327D">
        <w:rPr>
          <w:lang w:val="uk-UA"/>
        </w:rPr>
        <w:t xml:space="preserve"> за ними</w:t>
      </w:r>
      <w:r w:rsidR="00454A75" w:rsidRPr="0024327D">
        <w:rPr>
          <w:lang w:val="uk-UA"/>
        </w:rPr>
        <w:t>;</w:t>
      </w:r>
      <w:r w:rsidR="00F15EF1" w:rsidRPr="0024327D">
        <w:rPr>
          <w:rStyle w:val="af2"/>
          <w:lang w:val="uk-UA"/>
        </w:rPr>
        <w:footnoteReference w:id="29"/>
      </w:r>
    </w:p>
    <w:p w14:paraId="3A174377" w14:textId="2226470E" w:rsidR="0061489F" w:rsidRPr="0024327D" w:rsidRDefault="0087354C" w:rsidP="00A15564">
      <w:pPr>
        <w:pStyle w:val="a4"/>
        <w:numPr>
          <w:ilvl w:val="0"/>
          <w:numId w:val="2"/>
        </w:numPr>
        <w:rPr>
          <w:lang w:val="uk-UA"/>
        </w:rPr>
      </w:pPr>
      <w:r w:rsidRPr="0024327D">
        <w:rPr>
          <w:lang w:val="uk-UA"/>
        </w:rPr>
        <w:t xml:space="preserve">відсотковий </w:t>
      </w:r>
      <w:r w:rsidR="00792D31" w:rsidRPr="0024327D">
        <w:rPr>
          <w:lang w:val="uk-UA"/>
        </w:rPr>
        <w:t>та валютний ризики</w:t>
      </w:r>
      <w:r w:rsidR="005775CE" w:rsidRPr="0024327D">
        <w:rPr>
          <w:lang w:val="uk-UA"/>
        </w:rPr>
        <w:t xml:space="preserve"> мають належним чином хеджуватись</w:t>
      </w:r>
      <w:r w:rsidR="00454A75" w:rsidRPr="0024327D">
        <w:rPr>
          <w:lang w:val="uk-UA"/>
        </w:rPr>
        <w:t>;</w:t>
      </w:r>
      <w:r w:rsidR="00F15EF1" w:rsidRPr="0024327D">
        <w:rPr>
          <w:rStyle w:val="af2"/>
          <w:lang w:val="uk-UA"/>
        </w:rPr>
        <w:footnoteReference w:id="30"/>
      </w:r>
    </w:p>
    <w:p w14:paraId="2983F86F" w14:textId="75F98916" w:rsidR="0061489F" w:rsidRPr="0024327D" w:rsidRDefault="00792D31" w:rsidP="00A15564">
      <w:pPr>
        <w:pStyle w:val="a4"/>
        <w:numPr>
          <w:ilvl w:val="0"/>
          <w:numId w:val="2"/>
        </w:numPr>
        <w:rPr>
          <w:lang w:val="uk-UA"/>
        </w:rPr>
      </w:pPr>
      <w:r w:rsidRPr="0024327D">
        <w:rPr>
          <w:lang w:val="uk-UA"/>
        </w:rPr>
        <w:t xml:space="preserve">інвесторам </w:t>
      </w:r>
      <w:r w:rsidR="00C3011B" w:rsidRPr="0024327D">
        <w:rPr>
          <w:lang w:val="uk-UA"/>
        </w:rPr>
        <w:t xml:space="preserve">повинна бути </w:t>
      </w:r>
      <w:r w:rsidRPr="0024327D">
        <w:rPr>
          <w:lang w:val="uk-UA"/>
        </w:rPr>
        <w:t>представлена модель грошових потоків, щоб вони мали можливість провести власний аналіз трансакції</w:t>
      </w:r>
      <w:r w:rsidR="00454A75" w:rsidRPr="0024327D">
        <w:rPr>
          <w:lang w:val="uk-UA"/>
        </w:rPr>
        <w:t>;</w:t>
      </w:r>
      <w:r w:rsidR="00F15EF1" w:rsidRPr="0024327D">
        <w:rPr>
          <w:rStyle w:val="af2"/>
          <w:lang w:val="uk-UA"/>
        </w:rPr>
        <w:footnoteReference w:id="31"/>
      </w:r>
    </w:p>
    <w:p w14:paraId="5B0AA9ED" w14:textId="77777777" w:rsidR="00CB6B6F" w:rsidRPr="0024327D" w:rsidRDefault="00792D31" w:rsidP="00F541A9">
      <w:pPr>
        <w:pStyle w:val="a4"/>
        <w:numPr>
          <w:ilvl w:val="0"/>
          <w:numId w:val="2"/>
        </w:numPr>
        <w:rPr>
          <w:lang w:val="uk-UA"/>
        </w:rPr>
      </w:pPr>
      <w:r w:rsidRPr="0024327D">
        <w:rPr>
          <w:lang w:val="uk-UA"/>
        </w:rPr>
        <w:t xml:space="preserve">трансакція відповідає мінімальним </w:t>
      </w:r>
      <w:r w:rsidR="008E3391" w:rsidRPr="0024327D">
        <w:rPr>
          <w:lang w:val="uk-UA"/>
        </w:rPr>
        <w:t xml:space="preserve">вимогам щодо </w:t>
      </w:r>
      <w:r w:rsidRPr="0024327D">
        <w:rPr>
          <w:lang w:val="uk-UA"/>
        </w:rPr>
        <w:t>збереження ризик</w:t>
      </w:r>
      <w:r w:rsidR="008E3391" w:rsidRPr="0024327D">
        <w:rPr>
          <w:lang w:val="uk-UA"/>
        </w:rPr>
        <w:t>у за активами оригінатором</w:t>
      </w:r>
      <w:r w:rsidR="00454A75" w:rsidRPr="0024327D">
        <w:rPr>
          <w:lang w:val="uk-UA"/>
        </w:rPr>
        <w:t>.</w:t>
      </w:r>
      <w:r w:rsidR="000674DA" w:rsidRPr="0024327D">
        <w:rPr>
          <w:rStyle w:val="af2"/>
          <w:lang w:val="uk-UA"/>
        </w:rPr>
        <w:footnoteReference w:id="32"/>
      </w:r>
    </w:p>
    <w:p w14:paraId="00CE6DC3" w14:textId="77777777" w:rsidR="00F35861" w:rsidRPr="0024327D" w:rsidRDefault="000A226E" w:rsidP="000A226E">
      <w:pPr>
        <w:rPr>
          <w:lang w:val="uk-UA"/>
        </w:rPr>
      </w:pPr>
      <w:r w:rsidRPr="0024327D">
        <w:rPr>
          <w:lang w:val="uk-UA"/>
        </w:rPr>
        <w:t>Спочатку деякі (або всі) з цих вимог могли б бути встановлені для всіх сек’юритизацій, а не тільки для “простих, прозорих та стандартизованих сек’юритизацій”.</w:t>
      </w:r>
    </w:p>
    <w:p w14:paraId="15CE31C4" w14:textId="77777777" w:rsidR="00F35861" w:rsidRPr="0024327D" w:rsidRDefault="00F35861" w:rsidP="000A226E">
      <w:pPr>
        <w:rPr>
          <w:b/>
          <w:bCs/>
          <w:lang w:val="uk-UA"/>
        </w:rPr>
      </w:pPr>
      <w:r w:rsidRPr="0024327D">
        <w:rPr>
          <w:b/>
          <w:bCs/>
          <w:lang w:val="uk-UA"/>
        </w:rPr>
        <w:t>Інвестори</w:t>
      </w:r>
    </w:p>
    <w:p w14:paraId="625752E7" w14:textId="581B6C8B" w:rsidR="0098113F" w:rsidRPr="0024327D" w:rsidRDefault="004A1B1D" w:rsidP="000A226E">
      <w:pPr>
        <w:rPr>
          <w:lang w:val="uk-UA"/>
        </w:rPr>
      </w:pPr>
      <w:r w:rsidRPr="0024327D">
        <w:rPr>
          <w:lang w:val="uk-UA"/>
        </w:rPr>
        <w:t>Згідно з Регламентом STS, інструменти сек’юритизації, як правило, не підходять для роздрібних клієнтів. Продавець позиції сек'юритизації може продати таку позицію роздрібному клієнту, лише якщо він проводить перевірку придатності, яка показує, що позиція сек'юритизації підходить для цього роздрібного клієнта.</w:t>
      </w:r>
      <w:r w:rsidR="00FB6EEE" w:rsidRPr="0024327D">
        <w:rPr>
          <w:rStyle w:val="af2"/>
          <w:lang w:val="uk-UA"/>
        </w:rPr>
        <w:footnoteReference w:id="33"/>
      </w:r>
      <w:r w:rsidRPr="0024327D">
        <w:rPr>
          <w:lang w:val="uk-UA"/>
        </w:rPr>
        <w:t xml:space="preserve"> Враховуючи</w:t>
      </w:r>
      <w:r w:rsidR="00A579CA" w:rsidRPr="0024327D">
        <w:rPr>
          <w:lang w:val="uk-UA"/>
        </w:rPr>
        <w:t xml:space="preserve"> те, що</w:t>
      </w:r>
      <w:r w:rsidRPr="0024327D">
        <w:rPr>
          <w:lang w:val="uk-UA"/>
        </w:rPr>
        <w:t xml:space="preserve"> рин</w:t>
      </w:r>
      <w:r w:rsidR="00A579CA" w:rsidRPr="0024327D">
        <w:rPr>
          <w:lang w:val="uk-UA"/>
        </w:rPr>
        <w:t>ок</w:t>
      </w:r>
      <w:r w:rsidRPr="0024327D">
        <w:rPr>
          <w:lang w:val="uk-UA"/>
        </w:rPr>
        <w:t xml:space="preserve"> сек’юритизації в Україні</w:t>
      </w:r>
      <w:r w:rsidR="00A579CA" w:rsidRPr="0024327D">
        <w:rPr>
          <w:lang w:val="uk-UA"/>
        </w:rPr>
        <w:t xml:space="preserve"> перебуває на етапі зародження</w:t>
      </w:r>
      <w:r w:rsidRPr="0024327D">
        <w:rPr>
          <w:lang w:val="uk-UA"/>
        </w:rPr>
        <w:t xml:space="preserve">, закон може встановлювати загальну заборону на продаж </w:t>
      </w:r>
      <w:r w:rsidR="00A579CA" w:rsidRPr="0024327D">
        <w:rPr>
          <w:lang w:val="uk-UA"/>
        </w:rPr>
        <w:t xml:space="preserve">роздрібним клієнтам </w:t>
      </w:r>
      <w:r w:rsidRPr="0024327D">
        <w:rPr>
          <w:lang w:val="uk-UA"/>
        </w:rPr>
        <w:t xml:space="preserve">цінних паперів, забезпечених активами. </w:t>
      </w:r>
    </w:p>
    <w:p w14:paraId="6875643C" w14:textId="6DE74A53" w:rsidR="00C26436" w:rsidRPr="0024327D" w:rsidRDefault="00416D4F" w:rsidP="002A17E0">
      <w:pPr>
        <w:pStyle w:val="2"/>
        <w:rPr>
          <w:lang w:val="uk-UA"/>
        </w:rPr>
      </w:pPr>
      <w:bookmarkStart w:id="75" w:name="_Toc6942249"/>
      <w:bookmarkStart w:id="76" w:name="_Toc5081037"/>
      <w:bookmarkStart w:id="77" w:name="_Toc27153448"/>
      <w:bookmarkStart w:id="78" w:name="_Toc95480993"/>
      <w:r w:rsidRPr="0024327D">
        <w:rPr>
          <w:lang w:val="uk-UA"/>
        </w:rPr>
        <w:t>Створення ринку сек’юритизації в Україні</w:t>
      </w:r>
      <w:bookmarkEnd w:id="75"/>
      <w:bookmarkEnd w:id="76"/>
      <w:bookmarkEnd w:id="77"/>
      <w:bookmarkEnd w:id="78"/>
    </w:p>
    <w:p w14:paraId="16B37C21" w14:textId="5F02B68F" w:rsidR="00416D4F" w:rsidRPr="0024327D" w:rsidRDefault="00416D4F" w:rsidP="00416D4F">
      <w:pPr>
        <w:suppressAutoHyphens/>
        <w:rPr>
          <w:color w:val="000000"/>
          <w:lang w:val="uk-UA" w:eastAsia="uk-UA"/>
        </w:rPr>
      </w:pPr>
      <w:r w:rsidRPr="0024327D">
        <w:rPr>
          <w:color w:val="000000"/>
          <w:lang w:val="uk-UA" w:eastAsia="uk-UA"/>
        </w:rPr>
        <w:t>Наразі українське законодавство не передбачає</w:t>
      </w:r>
      <w:r w:rsidR="008203C1" w:rsidRPr="0024327D">
        <w:rPr>
          <w:color w:val="000000"/>
          <w:lang w:val="uk-UA" w:eastAsia="uk-UA"/>
        </w:rPr>
        <w:t xml:space="preserve"> детального регулювання</w:t>
      </w:r>
      <w:r w:rsidRPr="0024327D">
        <w:rPr>
          <w:color w:val="000000"/>
          <w:lang w:val="uk-UA" w:eastAsia="uk-UA"/>
        </w:rPr>
        <w:t xml:space="preserve"> випуск</w:t>
      </w:r>
      <w:r w:rsidR="008203C1" w:rsidRPr="0024327D">
        <w:rPr>
          <w:color w:val="000000"/>
          <w:lang w:val="uk-UA" w:eastAsia="uk-UA"/>
        </w:rPr>
        <w:t>у</w:t>
      </w:r>
      <w:r w:rsidRPr="0024327D">
        <w:rPr>
          <w:color w:val="000000"/>
          <w:lang w:val="uk-UA" w:eastAsia="uk-UA"/>
        </w:rPr>
        <w:t xml:space="preserve"> будь-якого виду цінних паперів, забезпечених активами, крім іпотечних облігацій. Закон про іпотечні облігації встановлює режим для двох типів цінних паперів</w:t>
      </w:r>
      <w:r w:rsidR="00851CCE" w:rsidRPr="0024327D">
        <w:rPr>
          <w:color w:val="000000"/>
          <w:lang w:val="uk-UA" w:eastAsia="uk-UA"/>
        </w:rPr>
        <w:t>, забезпечених іпотекою</w:t>
      </w:r>
      <w:r w:rsidRPr="0024327D">
        <w:rPr>
          <w:color w:val="000000"/>
          <w:lang w:val="uk-UA" w:eastAsia="uk-UA"/>
        </w:rPr>
        <w:t xml:space="preserve">: звичайних іпотечних облігацій та структурованих іпотечних облігацій. В обох випадках облігації вважаються </w:t>
      </w:r>
      <w:r w:rsidR="00851CCE" w:rsidRPr="0024327D">
        <w:rPr>
          <w:color w:val="000000"/>
          <w:lang w:val="uk-UA" w:eastAsia="uk-UA"/>
        </w:rPr>
        <w:t xml:space="preserve">гарантованими </w:t>
      </w:r>
      <w:r w:rsidRPr="0024327D">
        <w:rPr>
          <w:color w:val="000000"/>
          <w:lang w:val="uk-UA" w:eastAsia="uk-UA"/>
        </w:rPr>
        <w:t xml:space="preserve">або забезпеченими пулом дебіторської заборгованості (прав вимоги) за </w:t>
      </w:r>
      <w:r w:rsidR="00851CCE" w:rsidRPr="0024327D">
        <w:rPr>
          <w:color w:val="000000"/>
          <w:lang w:val="uk-UA" w:eastAsia="uk-UA"/>
        </w:rPr>
        <w:t xml:space="preserve">кредитними </w:t>
      </w:r>
      <w:r w:rsidRPr="0024327D">
        <w:rPr>
          <w:color w:val="000000"/>
          <w:lang w:val="uk-UA" w:eastAsia="uk-UA"/>
        </w:rPr>
        <w:t>договорами та пов'язаними з ними договорами</w:t>
      </w:r>
      <w:r w:rsidR="00851CCE" w:rsidRPr="0024327D">
        <w:rPr>
          <w:color w:val="000000"/>
          <w:lang w:val="uk-UA" w:eastAsia="uk-UA"/>
        </w:rPr>
        <w:t xml:space="preserve"> іпотеки.</w:t>
      </w:r>
    </w:p>
    <w:p w14:paraId="7A933AB1" w14:textId="07C8E153" w:rsidR="00B70919" w:rsidRPr="0024327D" w:rsidRDefault="00EE47A8" w:rsidP="00501D25">
      <w:pPr>
        <w:suppressAutoHyphens/>
        <w:rPr>
          <w:color w:val="000000"/>
          <w:lang w:val="uk-UA"/>
        </w:rPr>
      </w:pPr>
      <w:r w:rsidRPr="0024327D">
        <w:rPr>
          <w:color w:val="000000"/>
          <w:lang w:val="uk-UA"/>
        </w:rPr>
        <w:t>Звичайні іпотечні облігації нагадують облігації</w:t>
      </w:r>
      <w:r w:rsidR="006B12BC" w:rsidRPr="0024327D">
        <w:rPr>
          <w:color w:val="000000"/>
          <w:lang w:val="uk-UA"/>
        </w:rPr>
        <w:t xml:space="preserve"> </w:t>
      </w:r>
      <w:r w:rsidR="00645A85" w:rsidRPr="0024327D">
        <w:rPr>
          <w:color w:val="000000"/>
          <w:lang w:val="uk-UA"/>
        </w:rPr>
        <w:t xml:space="preserve">з покриттям </w:t>
      </w:r>
      <w:r w:rsidR="006B12BC" w:rsidRPr="0024327D">
        <w:rPr>
          <w:color w:val="000000"/>
          <w:lang w:val="uk-UA"/>
        </w:rPr>
        <w:t>відповідно до законодавства ЄС</w:t>
      </w:r>
      <w:r w:rsidRPr="0024327D">
        <w:rPr>
          <w:color w:val="000000"/>
          <w:lang w:val="uk-UA"/>
        </w:rPr>
        <w:t xml:space="preserve">, тобто емітент повинен бути іпотечним позикодавцем, який </w:t>
      </w:r>
      <w:r w:rsidR="00BF60B0" w:rsidRPr="0024327D">
        <w:rPr>
          <w:color w:val="000000"/>
          <w:lang w:val="uk-UA"/>
        </w:rPr>
        <w:t xml:space="preserve">продовжує </w:t>
      </w:r>
      <w:r w:rsidR="00ED62F5" w:rsidRPr="0024327D">
        <w:rPr>
          <w:color w:val="000000"/>
          <w:lang w:val="uk-UA"/>
        </w:rPr>
        <w:t xml:space="preserve">відповідати за зобов’язаннями </w:t>
      </w:r>
      <w:r w:rsidRPr="0024327D">
        <w:rPr>
          <w:color w:val="000000"/>
          <w:lang w:val="uk-UA"/>
        </w:rPr>
        <w:t>за цінн</w:t>
      </w:r>
      <w:r w:rsidR="00ED62F5" w:rsidRPr="0024327D">
        <w:rPr>
          <w:color w:val="000000"/>
          <w:lang w:val="uk-UA"/>
        </w:rPr>
        <w:t>ими</w:t>
      </w:r>
      <w:r w:rsidRPr="0024327D">
        <w:rPr>
          <w:color w:val="000000"/>
          <w:lang w:val="uk-UA"/>
        </w:rPr>
        <w:t xml:space="preserve"> папер</w:t>
      </w:r>
      <w:r w:rsidR="00ED62F5" w:rsidRPr="0024327D">
        <w:rPr>
          <w:color w:val="000000"/>
          <w:lang w:val="uk-UA"/>
        </w:rPr>
        <w:t>ам</w:t>
      </w:r>
      <w:r w:rsidRPr="0024327D">
        <w:rPr>
          <w:color w:val="000000"/>
          <w:lang w:val="uk-UA"/>
        </w:rPr>
        <w:t>и</w:t>
      </w:r>
      <w:r w:rsidR="00BF60B0" w:rsidRPr="0024327D">
        <w:rPr>
          <w:color w:val="000000"/>
          <w:lang w:val="uk-UA"/>
        </w:rPr>
        <w:t xml:space="preserve"> навіть у разі недостатності грошових потоків </w:t>
      </w:r>
      <w:r w:rsidRPr="0024327D">
        <w:rPr>
          <w:color w:val="000000"/>
          <w:lang w:val="uk-UA"/>
        </w:rPr>
        <w:t>від відповідного пулу іпотечних активів</w:t>
      </w:r>
      <w:r w:rsidR="0005723A" w:rsidRPr="0024327D">
        <w:rPr>
          <w:color w:val="000000"/>
          <w:lang w:val="uk-UA"/>
        </w:rPr>
        <w:t xml:space="preserve"> </w:t>
      </w:r>
      <w:r w:rsidRPr="0024327D">
        <w:rPr>
          <w:color w:val="000000"/>
          <w:lang w:val="uk-UA"/>
        </w:rPr>
        <w:t xml:space="preserve">для сплати </w:t>
      </w:r>
      <w:r w:rsidR="00EF30F8" w:rsidRPr="0024327D">
        <w:rPr>
          <w:color w:val="000000"/>
          <w:lang w:val="uk-UA"/>
        </w:rPr>
        <w:t xml:space="preserve">відсотків </w:t>
      </w:r>
      <w:r w:rsidRPr="0024327D">
        <w:rPr>
          <w:color w:val="000000"/>
          <w:lang w:val="uk-UA"/>
        </w:rPr>
        <w:t>або погашення основної суми</w:t>
      </w:r>
      <w:r w:rsidR="00ED62F5" w:rsidRPr="0024327D">
        <w:rPr>
          <w:color w:val="000000"/>
          <w:lang w:val="uk-UA"/>
        </w:rPr>
        <w:t xml:space="preserve"> запозичення</w:t>
      </w:r>
      <w:r w:rsidRPr="0024327D">
        <w:rPr>
          <w:color w:val="000000"/>
          <w:lang w:val="uk-UA"/>
        </w:rPr>
        <w:t>.</w:t>
      </w:r>
    </w:p>
    <w:p w14:paraId="0D7F4AF5" w14:textId="14E44C30" w:rsidR="009D28D9" w:rsidRPr="0024327D" w:rsidRDefault="00EE47A8" w:rsidP="00501D25">
      <w:pPr>
        <w:suppressAutoHyphens/>
        <w:rPr>
          <w:color w:val="000000"/>
          <w:lang w:val="uk-UA"/>
        </w:rPr>
      </w:pPr>
      <w:r w:rsidRPr="0024327D">
        <w:rPr>
          <w:color w:val="000000"/>
          <w:lang w:val="uk-UA"/>
        </w:rPr>
        <w:t>Структуровані іпотечні облігації</w:t>
      </w:r>
      <w:r w:rsidR="009D28D9" w:rsidRPr="0024327D">
        <w:rPr>
          <w:color w:val="000000"/>
          <w:lang w:val="uk-UA"/>
        </w:rPr>
        <w:t xml:space="preserve"> </w:t>
      </w:r>
      <w:r w:rsidR="0005723A" w:rsidRPr="0024327D">
        <w:rPr>
          <w:color w:val="000000"/>
          <w:lang w:val="uk-UA"/>
        </w:rPr>
        <w:t xml:space="preserve">можуть випускатися спеціалізованою іпотечною установою (тобто </w:t>
      </w:r>
      <w:r w:rsidR="00ED62F5" w:rsidRPr="0024327D">
        <w:rPr>
          <w:color w:val="000000"/>
          <w:lang w:val="uk-UA"/>
        </w:rPr>
        <w:t>к</w:t>
      </w:r>
      <w:r w:rsidR="0005723A" w:rsidRPr="0024327D">
        <w:rPr>
          <w:color w:val="000000"/>
          <w:lang w:val="uk-UA"/>
        </w:rPr>
        <w:t xml:space="preserve">омпанією спеціального призначення). Такий суб’єкт господарювання не несе відповідальність перед власниками облігацій понад </w:t>
      </w:r>
      <w:r w:rsidR="00BF60B0" w:rsidRPr="0024327D">
        <w:rPr>
          <w:color w:val="000000"/>
          <w:lang w:val="uk-UA"/>
        </w:rPr>
        <w:t xml:space="preserve">суму </w:t>
      </w:r>
      <w:r w:rsidR="0005723A" w:rsidRPr="0024327D">
        <w:rPr>
          <w:color w:val="000000"/>
          <w:lang w:val="uk-UA"/>
        </w:rPr>
        <w:t>надходжен</w:t>
      </w:r>
      <w:r w:rsidR="00BF60B0" w:rsidRPr="0024327D">
        <w:rPr>
          <w:color w:val="000000"/>
          <w:lang w:val="uk-UA"/>
        </w:rPr>
        <w:t>ь</w:t>
      </w:r>
      <w:r w:rsidR="0005723A" w:rsidRPr="0024327D">
        <w:rPr>
          <w:color w:val="000000"/>
          <w:lang w:val="uk-UA"/>
        </w:rPr>
        <w:t xml:space="preserve"> від пулу активів, тобто ця концепція нагадує сек’юритизацію. </w:t>
      </w:r>
    </w:p>
    <w:p w14:paraId="107A74D6" w14:textId="63ADDE5D" w:rsidR="001E18C6" w:rsidRPr="0024327D" w:rsidRDefault="0005723A" w:rsidP="001E18C6">
      <w:pPr>
        <w:suppressAutoHyphens/>
        <w:rPr>
          <w:color w:val="000000"/>
          <w:lang w:val="uk-UA" w:eastAsia="uk-UA"/>
        </w:rPr>
      </w:pPr>
      <w:r w:rsidRPr="0024327D">
        <w:rPr>
          <w:color w:val="000000"/>
          <w:lang w:val="uk-UA" w:eastAsia="uk-UA"/>
        </w:rPr>
        <w:t xml:space="preserve">Інших правил щодо боргових цінних паперів, забезпечених будь-якими іншими видами кредитів (у тому числі, наприклад, </w:t>
      </w:r>
      <w:r w:rsidR="00BF60B0" w:rsidRPr="0024327D">
        <w:rPr>
          <w:color w:val="000000"/>
          <w:lang w:val="uk-UA" w:eastAsia="uk-UA"/>
        </w:rPr>
        <w:t>авто</w:t>
      </w:r>
      <w:r w:rsidRPr="0024327D">
        <w:rPr>
          <w:color w:val="000000"/>
          <w:lang w:val="uk-UA" w:eastAsia="uk-UA"/>
        </w:rPr>
        <w:t>кредитів чи інших споживчих кредитів) або іншими активами, у тому числі майбутніми надходженнями, не існує. Сам</w:t>
      </w:r>
      <w:r w:rsidR="00C6415B" w:rsidRPr="0024327D">
        <w:rPr>
          <w:color w:val="000000"/>
          <w:lang w:val="uk-UA" w:eastAsia="uk-UA"/>
        </w:rPr>
        <w:t xml:space="preserve"> інструмент</w:t>
      </w:r>
      <w:r w:rsidR="00373F95" w:rsidRPr="0024327D">
        <w:rPr>
          <w:color w:val="000000"/>
          <w:lang w:val="uk-UA" w:eastAsia="uk-UA"/>
        </w:rPr>
        <w:t xml:space="preserve"> </w:t>
      </w:r>
      <w:r w:rsidRPr="0024327D">
        <w:rPr>
          <w:color w:val="000000"/>
          <w:lang w:val="uk-UA" w:eastAsia="uk-UA"/>
        </w:rPr>
        <w:t xml:space="preserve">іпотечних облігацій не користується особливою популярністю, </w:t>
      </w:r>
      <w:r w:rsidR="00BF60B0" w:rsidRPr="0024327D">
        <w:rPr>
          <w:color w:val="000000"/>
          <w:lang w:val="uk-UA" w:eastAsia="uk-UA"/>
        </w:rPr>
        <w:t xml:space="preserve">і </w:t>
      </w:r>
      <w:r w:rsidRPr="0024327D">
        <w:rPr>
          <w:color w:val="000000"/>
          <w:lang w:val="uk-UA" w:eastAsia="uk-UA"/>
        </w:rPr>
        <w:t xml:space="preserve">з 2005 року відбулося тільки 12 випусків звичайних іпотечних облігацій: 2 комерційними банками та 10 спеціалізованими організаціями (Державною іпотечною установою та Агентством </w:t>
      </w:r>
      <w:r w:rsidR="002C4A72" w:rsidRPr="0024327D">
        <w:rPr>
          <w:color w:val="000000"/>
          <w:lang w:val="uk-UA" w:eastAsia="uk-UA"/>
        </w:rPr>
        <w:t>по</w:t>
      </w:r>
      <w:r w:rsidR="00C6415B" w:rsidRPr="0024327D">
        <w:rPr>
          <w:color w:val="000000"/>
          <w:lang w:val="uk-UA" w:eastAsia="uk-UA"/>
        </w:rPr>
        <w:t xml:space="preserve"> </w:t>
      </w:r>
      <w:r w:rsidRPr="0024327D">
        <w:rPr>
          <w:color w:val="000000"/>
          <w:lang w:val="uk-UA" w:eastAsia="uk-UA"/>
        </w:rPr>
        <w:t>рефінансуванн</w:t>
      </w:r>
      <w:r w:rsidR="002C4A72" w:rsidRPr="0024327D">
        <w:rPr>
          <w:color w:val="000000"/>
          <w:lang w:val="uk-UA" w:eastAsia="uk-UA"/>
        </w:rPr>
        <w:t>ю</w:t>
      </w:r>
      <w:r w:rsidRPr="0024327D">
        <w:rPr>
          <w:color w:val="000000"/>
          <w:lang w:val="uk-UA" w:eastAsia="uk-UA"/>
        </w:rPr>
        <w:t xml:space="preserve"> житлових кредитів).</w:t>
      </w:r>
      <w:r w:rsidRPr="0024327D">
        <w:rPr>
          <w:rStyle w:val="af2"/>
          <w:color w:val="000000"/>
          <w:lang w:val="uk-UA" w:eastAsia="uk-UA"/>
        </w:rPr>
        <w:t xml:space="preserve"> </w:t>
      </w:r>
      <w:r w:rsidRPr="0024327D">
        <w:rPr>
          <w:rStyle w:val="af2"/>
          <w:color w:val="000000"/>
          <w:lang w:val="uk-UA" w:eastAsia="uk-UA"/>
        </w:rPr>
        <w:footnoteReference w:id="34"/>
      </w:r>
      <w:r w:rsidRPr="0024327D">
        <w:rPr>
          <w:color w:val="000000"/>
          <w:lang w:val="uk-UA" w:eastAsia="uk-UA"/>
        </w:rPr>
        <w:t xml:space="preserve"> </w:t>
      </w:r>
      <w:r w:rsidR="005269A5" w:rsidRPr="0024327D">
        <w:rPr>
          <w:color w:val="000000"/>
          <w:lang w:val="uk-UA" w:eastAsia="uk-UA"/>
        </w:rPr>
        <w:t xml:space="preserve">Емісії </w:t>
      </w:r>
      <w:r w:rsidRPr="0024327D">
        <w:rPr>
          <w:color w:val="000000"/>
          <w:lang w:val="uk-UA" w:eastAsia="uk-UA"/>
        </w:rPr>
        <w:t>структурован</w:t>
      </w:r>
      <w:r w:rsidR="00C6415B" w:rsidRPr="0024327D">
        <w:rPr>
          <w:color w:val="000000"/>
          <w:lang w:val="uk-UA" w:eastAsia="uk-UA"/>
        </w:rPr>
        <w:t>их</w:t>
      </w:r>
      <w:r w:rsidRPr="0024327D">
        <w:rPr>
          <w:color w:val="000000"/>
          <w:lang w:val="uk-UA" w:eastAsia="uk-UA"/>
        </w:rPr>
        <w:t xml:space="preserve"> іпотечн</w:t>
      </w:r>
      <w:r w:rsidR="00C6415B" w:rsidRPr="0024327D">
        <w:rPr>
          <w:color w:val="000000"/>
          <w:lang w:val="uk-UA" w:eastAsia="uk-UA"/>
        </w:rPr>
        <w:t>их</w:t>
      </w:r>
      <w:r w:rsidRPr="0024327D">
        <w:rPr>
          <w:color w:val="000000"/>
          <w:lang w:val="uk-UA" w:eastAsia="uk-UA"/>
        </w:rPr>
        <w:t xml:space="preserve"> </w:t>
      </w:r>
      <w:r w:rsidR="00AF1125" w:rsidRPr="0024327D">
        <w:rPr>
          <w:color w:val="000000"/>
          <w:lang w:val="uk-UA" w:eastAsia="uk-UA"/>
        </w:rPr>
        <w:t>облігаці</w:t>
      </w:r>
      <w:r w:rsidR="00C6415B" w:rsidRPr="0024327D">
        <w:rPr>
          <w:color w:val="000000"/>
          <w:lang w:val="uk-UA" w:eastAsia="uk-UA"/>
        </w:rPr>
        <w:t>й</w:t>
      </w:r>
      <w:r w:rsidR="004E4C27" w:rsidRPr="0024327D">
        <w:rPr>
          <w:color w:val="000000"/>
          <w:lang w:val="uk-UA" w:eastAsia="uk-UA"/>
        </w:rPr>
        <w:t xml:space="preserve"> </w:t>
      </w:r>
      <w:r w:rsidR="004E4C27" w:rsidRPr="0024327D">
        <w:rPr>
          <w:color w:val="000000"/>
          <w:lang w:val="uk-UA" w:eastAsia="uk-UA"/>
        </w:rPr>
        <w:lastRenderedPageBreak/>
        <w:t>не здійснювал</w:t>
      </w:r>
      <w:r w:rsidR="005269A5" w:rsidRPr="0024327D">
        <w:rPr>
          <w:color w:val="000000"/>
          <w:lang w:val="uk-UA" w:eastAsia="uk-UA"/>
        </w:rPr>
        <w:t>и</w:t>
      </w:r>
      <w:r w:rsidR="004E4C27" w:rsidRPr="0024327D">
        <w:rPr>
          <w:color w:val="000000"/>
          <w:lang w:val="uk-UA" w:eastAsia="uk-UA"/>
        </w:rPr>
        <w:t>сь</w:t>
      </w:r>
      <w:r w:rsidRPr="0024327D">
        <w:rPr>
          <w:color w:val="000000"/>
          <w:lang w:val="uk-UA" w:eastAsia="uk-UA"/>
        </w:rPr>
        <w:t xml:space="preserve">. Отже, </w:t>
      </w:r>
      <w:r w:rsidR="00AF1125" w:rsidRPr="0024327D">
        <w:rPr>
          <w:color w:val="000000"/>
          <w:lang w:val="uk-UA" w:eastAsia="uk-UA"/>
        </w:rPr>
        <w:t xml:space="preserve">ймовірність того, що </w:t>
      </w:r>
      <w:r w:rsidR="00017412" w:rsidRPr="0024327D">
        <w:rPr>
          <w:color w:val="000000"/>
          <w:lang w:val="uk-UA" w:eastAsia="uk-UA"/>
        </w:rPr>
        <w:t xml:space="preserve">існуючий механізм </w:t>
      </w:r>
      <w:r w:rsidR="00FA6FE2" w:rsidRPr="0024327D">
        <w:rPr>
          <w:color w:val="000000"/>
          <w:lang w:val="uk-UA" w:eastAsia="uk-UA"/>
        </w:rPr>
        <w:t xml:space="preserve">придатний для великих масштабів випусків </w:t>
      </w:r>
      <w:r w:rsidR="004E4C27" w:rsidRPr="0024327D">
        <w:rPr>
          <w:color w:val="000000"/>
          <w:lang w:val="uk-UA" w:eastAsia="uk-UA"/>
        </w:rPr>
        <w:t xml:space="preserve">та </w:t>
      </w:r>
      <w:r w:rsidR="00FA6FE2" w:rsidRPr="0024327D">
        <w:rPr>
          <w:color w:val="000000"/>
          <w:lang w:val="uk-UA" w:eastAsia="uk-UA"/>
        </w:rPr>
        <w:t xml:space="preserve">його можна </w:t>
      </w:r>
      <w:r w:rsidR="001E18C6" w:rsidRPr="0024327D">
        <w:rPr>
          <w:color w:val="000000"/>
          <w:lang w:val="uk-UA" w:eastAsia="uk-UA"/>
        </w:rPr>
        <w:t xml:space="preserve">без істотних змін легко адаптувати до </w:t>
      </w:r>
      <w:r w:rsidR="006A1B1E" w:rsidRPr="0024327D">
        <w:rPr>
          <w:color w:val="000000"/>
          <w:lang w:val="uk-UA" w:eastAsia="uk-UA"/>
        </w:rPr>
        <w:t xml:space="preserve">випуску </w:t>
      </w:r>
      <w:r w:rsidR="001E18C6" w:rsidRPr="0024327D">
        <w:rPr>
          <w:color w:val="000000"/>
          <w:lang w:val="uk-UA" w:eastAsia="uk-UA"/>
        </w:rPr>
        <w:t>цінних паперів</w:t>
      </w:r>
      <w:r w:rsidR="006A1B1E" w:rsidRPr="0024327D">
        <w:rPr>
          <w:color w:val="000000"/>
          <w:lang w:val="uk-UA" w:eastAsia="uk-UA"/>
        </w:rPr>
        <w:t>, забезпечених іншими видами активів</w:t>
      </w:r>
      <w:r w:rsidR="00FA6FE2" w:rsidRPr="0024327D">
        <w:rPr>
          <w:color w:val="000000"/>
          <w:lang w:val="uk-UA" w:eastAsia="uk-UA"/>
        </w:rPr>
        <w:t>, низька</w:t>
      </w:r>
      <w:r w:rsidR="001E18C6" w:rsidRPr="0024327D">
        <w:rPr>
          <w:color w:val="000000"/>
          <w:lang w:val="uk-UA" w:eastAsia="uk-UA"/>
        </w:rPr>
        <w:t>.</w:t>
      </w:r>
    </w:p>
    <w:p w14:paraId="197BE6B4" w14:textId="20388D00" w:rsidR="007D5E01" w:rsidRPr="0024327D" w:rsidRDefault="001E18C6" w:rsidP="007D5E01">
      <w:pPr>
        <w:suppressAutoHyphens/>
        <w:rPr>
          <w:color w:val="000000"/>
          <w:lang w:val="uk-UA" w:eastAsia="uk-UA"/>
        </w:rPr>
      </w:pPr>
      <w:r w:rsidRPr="0024327D">
        <w:rPr>
          <w:color w:val="000000"/>
          <w:lang w:val="uk-UA" w:eastAsia="uk-UA"/>
        </w:rPr>
        <w:t xml:space="preserve">У 2007-2008 роках ПриватБанком, одним з найбільших українських банків, було проведено дві транскордонні сек'юритизації іпотечних кредитів та </w:t>
      </w:r>
      <w:r w:rsidR="002B0013" w:rsidRPr="0024327D">
        <w:rPr>
          <w:color w:val="000000"/>
          <w:lang w:val="uk-UA" w:eastAsia="uk-UA"/>
        </w:rPr>
        <w:t>автокредитів</w:t>
      </w:r>
      <w:r w:rsidRPr="0024327D">
        <w:rPr>
          <w:color w:val="000000"/>
          <w:lang w:val="uk-UA" w:eastAsia="uk-UA"/>
        </w:rPr>
        <w:t>. Ці сек'юритизації регулювались іноземним законодавством і н</w:t>
      </w:r>
      <w:r w:rsidR="00BF60B0" w:rsidRPr="0024327D">
        <w:rPr>
          <w:color w:val="000000"/>
          <w:lang w:val="uk-UA" w:eastAsia="uk-UA"/>
        </w:rPr>
        <w:t xml:space="preserve">іяк не відбилися на </w:t>
      </w:r>
      <w:r w:rsidR="002B0013" w:rsidRPr="0024327D">
        <w:rPr>
          <w:color w:val="000000"/>
          <w:lang w:val="uk-UA" w:eastAsia="uk-UA"/>
        </w:rPr>
        <w:t xml:space="preserve">розвитку </w:t>
      </w:r>
      <w:r w:rsidRPr="0024327D">
        <w:rPr>
          <w:color w:val="000000"/>
          <w:lang w:val="uk-UA" w:eastAsia="uk-UA"/>
        </w:rPr>
        <w:t xml:space="preserve">українського законодавства. </w:t>
      </w:r>
      <w:r w:rsidR="004E4C27" w:rsidRPr="0024327D">
        <w:rPr>
          <w:color w:val="000000"/>
          <w:lang w:val="uk-UA" w:eastAsia="uk-UA"/>
        </w:rPr>
        <w:t>Б</w:t>
      </w:r>
      <w:r w:rsidRPr="0024327D">
        <w:rPr>
          <w:color w:val="000000"/>
          <w:lang w:val="uk-UA" w:eastAsia="uk-UA"/>
        </w:rPr>
        <w:t>удь-які інші трансакції, подібні до сек'юритизації, досить обмежені</w:t>
      </w:r>
      <w:r w:rsidR="007D5E01" w:rsidRPr="0024327D">
        <w:rPr>
          <w:color w:val="000000"/>
          <w:lang w:val="uk-UA" w:eastAsia="uk-UA"/>
        </w:rPr>
        <w:t>.</w:t>
      </w:r>
    </w:p>
    <w:p w14:paraId="748DC1C7" w14:textId="49047F76" w:rsidR="00F6020E" w:rsidRPr="0024327D" w:rsidRDefault="002B0013" w:rsidP="00501D25">
      <w:pPr>
        <w:rPr>
          <w:lang w:val="uk-UA"/>
        </w:rPr>
      </w:pPr>
      <w:r w:rsidRPr="0024327D">
        <w:rPr>
          <w:lang w:val="uk-UA"/>
        </w:rPr>
        <w:t>Існуюча система сек’юритизації не користується великою популярністю, оскільки, серед іншого, вона не регулює у деталях режим неплатоспроможності та</w:t>
      </w:r>
      <w:r w:rsidR="00604D18" w:rsidRPr="0024327D">
        <w:rPr>
          <w:lang w:val="uk-UA"/>
        </w:rPr>
        <w:t xml:space="preserve"> відокремлення активів</w:t>
      </w:r>
      <w:r w:rsidRPr="0024327D">
        <w:rPr>
          <w:lang w:val="uk-UA"/>
        </w:rPr>
        <w:t xml:space="preserve">, не забезпечує достатньо швидкий доступ до активів, не має правил щодо </w:t>
      </w:r>
      <w:r w:rsidR="00987109" w:rsidRPr="0024327D">
        <w:rPr>
          <w:lang w:val="uk-UA"/>
        </w:rPr>
        <w:t>к</w:t>
      </w:r>
      <w:r w:rsidRPr="0024327D">
        <w:rPr>
          <w:lang w:val="uk-UA"/>
        </w:rPr>
        <w:t>омпаній спеціального призначення</w:t>
      </w:r>
      <w:r w:rsidR="00987109" w:rsidRPr="0024327D">
        <w:rPr>
          <w:lang w:val="uk-UA"/>
        </w:rPr>
        <w:t xml:space="preserve">, </w:t>
      </w:r>
      <w:r w:rsidRPr="0024327D">
        <w:rPr>
          <w:lang w:val="uk-UA"/>
        </w:rPr>
        <w:t xml:space="preserve">спирається на концепцію </w:t>
      </w:r>
      <w:r w:rsidR="003A7519" w:rsidRPr="0024327D">
        <w:rPr>
          <w:lang w:val="uk-UA"/>
        </w:rPr>
        <w:t>управління (</w:t>
      </w:r>
      <w:r w:rsidRPr="0024327D">
        <w:rPr>
          <w:lang w:val="uk-UA"/>
        </w:rPr>
        <w:t>трастів</w:t>
      </w:r>
      <w:r w:rsidR="003A7519" w:rsidRPr="0024327D">
        <w:rPr>
          <w:lang w:val="uk-UA"/>
        </w:rPr>
        <w:t>)</w:t>
      </w:r>
      <w:r w:rsidRPr="0024327D">
        <w:rPr>
          <w:lang w:val="uk-UA"/>
        </w:rPr>
        <w:t xml:space="preserve">, яка в Україні недостатньо розвинена, </w:t>
      </w:r>
      <w:r w:rsidR="00DF171A" w:rsidRPr="0024327D">
        <w:rPr>
          <w:lang w:val="uk-UA"/>
        </w:rPr>
        <w:t>кр</w:t>
      </w:r>
      <w:r w:rsidRPr="0024327D">
        <w:rPr>
          <w:lang w:val="uk-UA"/>
        </w:rPr>
        <w:t>і</w:t>
      </w:r>
      <w:r w:rsidR="00DF171A" w:rsidRPr="0024327D">
        <w:rPr>
          <w:lang w:val="uk-UA"/>
        </w:rPr>
        <w:t xml:space="preserve">м того </w:t>
      </w:r>
      <w:r w:rsidR="00F13198" w:rsidRPr="0024327D">
        <w:rPr>
          <w:lang w:val="uk-UA"/>
        </w:rPr>
        <w:t xml:space="preserve">чинне </w:t>
      </w:r>
      <w:r w:rsidR="00DF171A" w:rsidRPr="0024327D">
        <w:rPr>
          <w:lang w:val="uk-UA"/>
        </w:rPr>
        <w:t>регулювання</w:t>
      </w:r>
      <w:r w:rsidRPr="0024327D">
        <w:rPr>
          <w:lang w:val="uk-UA"/>
        </w:rPr>
        <w:t xml:space="preserve"> не </w:t>
      </w:r>
      <w:r w:rsidR="00BF60B0" w:rsidRPr="0024327D">
        <w:rPr>
          <w:lang w:val="uk-UA"/>
        </w:rPr>
        <w:t>полегшує передачу активів (і пов’язаних з ними прав вимоги) тощо</w:t>
      </w:r>
      <w:r w:rsidR="004660E5" w:rsidRPr="0024327D">
        <w:rPr>
          <w:color w:val="000000"/>
          <w:lang w:val="uk-UA" w:eastAsia="uk-UA"/>
        </w:rPr>
        <w:t>.</w:t>
      </w:r>
    </w:p>
    <w:p w14:paraId="7D4FEE98" w14:textId="288540CA" w:rsidR="00F6020E" w:rsidRPr="0024327D" w:rsidRDefault="00BF60B0" w:rsidP="002A17E0">
      <w:pPr>
        <w:pStyle w:val="3"/>
        <w:ind w:left="864"/>
        <w:rPr>
          <w:lang w:val="uk-UA"/>
        </w:rPr>
      </w:pPr>
      <w:bookmarkStart w:id="79" w:name="_Toc6942250"/>
      <w:bookmarkStart w:id="80" w:name="_Toc5081038"/>
      <w:bookmarkStart w:id="81" w:name="_Toc27153449"/>
      <w:bookmarkStart w:id="82" w:name="_Toc95480994"/>
      <w:r w:rsidRPr="0024327D">
        <w:rPr>
          <w:lang w:val="uk-UA"/>
        </w:rPr>
        <w:t>Компанія спеціального призначення</w:t>
      </w:r>
      <w:bookmarkEnd w:id="79"/>
      <w:bookmarkEnd w:id="80"/>
      <w:bookmarkEnd w:id="81"/>
      <w:bookmarkEnd w:id="82"/>
    </w:p>
    <w:p w14:paraId="7E812E6F" w14:textId="4C9AB8AB" w:rsidR="00344B21" w:rsidRPr="0024327D" w:rsidRDefault="00BF60B0" w:rsidP="00501D25">
      <w:pPr>
        <w:rPr>
          <w:lang w:val="uk-UA"/>
        </w:rPr>
      </w:pPr>
      <w:r w:rsidRPr="0024327D">
        <w:rPr>
          <w:lang w:val="uk-UA"/>
        </w:rPr>
        <w:t xml:space="preserve">Створення </w:t>
      </w:r>
      <w:r w:rsidR="00596F6B" w:rsidRPr="0024327D">
        <w:rPr>
          <w:lang w:val="uk-UA"/>
        </w:rPr>
        <w:t>к</w:t>
      </w:r>
      <w:r w:rsidRPr="0024327D">
        <w:rPr>
          <w:lang w:val="uk-UA"/>
        </w:rPr>
        <w:t>омпаній спеціального призначення</w:t>
      </w:r>
    </w:p>
    <w:p w14:paraId="3CDF43D9" w14:textId="66AB5A0D" w:rsidR="00D34134" w:rsidRPr="0024327D" w:rsidRDefault="00BF60B0" w:rsidP="00374CF8">
      <w:pPr>
        <w:rPr>
          <w:lang w:val="uk-UA"/>
        </w:rPr>
      </w:pPr>
      <w:r w:rsidRPr="0024327D">
        <w:rPr>
          <w:lang w:val="uk-UA"/>
        </w:rPr>
        <w:t>В Україні відсутн</w:t>
      </w:r>
      <w:r w:rsidR="00DF171A" w:rsidRPr="0024327D">
        <w:rPr>
          <w:lang w:val="uk-UA"/>
        </w:rPr>
        <w:t>є поняття к</w:t>
      </w:r>
      <w:r w:rsidRPr="0024327D">
        <w:rPr>
          <w:lang w:val="uk-UA"/>
        </w:rPr>
        <w:t>омпанії спеціального призначення для випуску цінних паперів, забезпечених активами. О</w:t>
      </w:r>
      <w:r w:rsidR="00454ABF" w:rsidRPr="0024327D">
        <w:rPr>
          <w:lang w:val="uk-UA"/>
        </w:rPr>
        <w:t>т</w:t>
      </w:r>
      <w:r w:rsidRPr="0024327D">
        <w:rPr>
          <w:lang w:val="uk-UA"/>
        </w:rPr>
        <w:t xml:space="preserve">же, необхідно буде розробити таку концепцію на основі однієї з </w:t>
      </w:r>
      <w:r w:rsidR="00FF7553" w:rsidRPr="0024327D">
        <w:rPr>
          <w:lang w:val="uk-UA"/>
        </w:rPr>
        <w:t xml:space="preserve">наявних </w:t>
      </w:r>
      <w:r w:rsidRPr="0024327D">
        <w:rPr>
          <w:lang w:val="uk-UA"/>
        </w:rPr>
        <w:t>організаційно-правових форм, таких як, наприклад, інвестиційний фонд, установа</w:t>
      </w:r>
      <w:r w:rsidR="00DF171A" w:rsidRPr="0024327D">
        <w:rPr>
          <w:lang w:val="uk-UA"/>
        </w:rPr>
        <w:t xml:space="preserve"> або</w:t>
      </w:r>
      <w:r w:rsidRPr="0024327D">
        <w:rPr>
          <w:lang w:val="uk-UA"/>
        </w:rPr>
        <w:t xml:space="preserve"> непідприємницьке товариство. </w:t>
      </w:r>
      <w:r w:rsidR="00454ABF" w:rsidRPr="0024327D">
        <w:rPr>
          <w:lang w:val="uk-UA"/>
        </w:rPr>
        <w:t>У таблиці нижче узагальнені основні риси</w:t>
      </w:r>
      <w:r w:rsidRPr="0024327D">
        <w:rPr>
          <w:lang w:val="uk-UA"/>
        </w:rPr>
        <w:t xml:space="preserve"> та зміни, необхідні для використання вищезазначених </w:t>
      </w:r>
      <w:r w:rsidR="00454ABF" w:rsidRPr="0024327D">
        <w:rPr>
          <w:lang w:val="uk-UA"/>
        </w:rPr>
        <w:t xml:space="preserve">організаційно-правових форм у якості </w:t>
      </w:r>
      <w:r w:rsidR="00DF171A" w:rsidRPr="0024327D">
        <w:rPr>
          <w:lang w:val="uk-UA"/>
        </w:rPr>
        <w:t>к</w:t>
      </w:r>
      <w:r w:rsidR="00454ABF" w:rsidRPr="0024327D">
        <w:rPr>
          <w:lang w:val="uk-UA"/>
        </w:rPr>
        <w:t>омпанії спеціально призначення</w:t>
      </w:r>
      <w:r w:rsidR="00BA3096" w:rsidRPr="0024327D">
        <w:rPr>
          <w:lang w:val="uk-UA"/>
        </w:rPr>
        <w:t>:</w:t>
      </w:r>
    </w:p>
    <w:tbl>
      <w:tblPr>
        <w:tblStyle w:val="af3"/>
        <w:tblW w:w="0" w:type="auto"/>
        <w:tblLook w:val="04A0" w:firstRow="1" w:lastRow="0" w:firstColumn="1" w:lastColumn="0" w:noHBand="0" w:noVBand="1"/>
      </w:tblPr>
      <w:tblGrid>
        <w:gridCol w:w="2072"/>
        <w:gridCol w:w="6988"/>
      </w:tblGrid>
      <w:tr w:rsidR="000B2674" w:rsidRPr="0024327D" w14:paraId="098E0447" w14:textId="77777777" w:rsidTr="00393B79">
        <w:tc>
          <w:tcPr>
            <w:tcW w:w="2072" w:type="dxa"/>
          </w:tcPr>
          <w:p w14:paraId="5C3AA87B" w14:textId="024D1872" w:rsidR="000B2674" w:rsidRPr="0024327D" w:rsidRDefault="00454ABF" w:rsidP="000B2674">
            <w:pPr>
              <w:jc w:val="left"/>
              <w:rPr>
                <w:lang w:val="uk-UA"/>
              </w:rPr>
            </w:pPr>
            <w:r w:rsidRPr="0024327D">
              <w:rPr>
                <w:lang w:val="uk-UA"/>
              </w:rPr>
              <w:t>К</w:t>
            </w:r>
            <w:r w:rsidR="00612CF3" w:rsidRPr="0024327D">
              <w:rPr>
                <w:lang w:val="uk-UA"/>
              </w:rPr>
              <w:t xml:space="preserve">орпоративний </w:t>
            </w:r>
            <w:r w:rsidR="000B2674" w:rsidRPr="0024327D">
              <w:rPr>
                <w:lang w:val="uk-UA"/>
              </w:rPr>
              <w:t>інвестиційний фонд</w:t>
            </w:r>
          </w:p>
        </w:tc>
        <w:tc>
          <w:tcPr>
            <w:tcW w:w="6988" w:type="dxa"/>
          </w:tcPr>
          <w:p w14:paraId="789D56BF" w14:textId="75CFDB43" w:rsidR="001640AD" w:rsidRPr="0024327D" w:rsidRDefault="00454ABF" w:rsidP="00454ABF">
            <w:pPr>
              <w:rPr>
                <w:lang w:val="uk-UA"/>
              </w:rPr>
            </w:pPr>
            <w:r w:rsidRPr="0024327D">
              <w:rPr>
                <w:lang w:val="uk-UA"/>
              </w:rPr>
              <w:t xml:space="preserve">Корпоративний інвестиційний фонд - це юридична особа, створена як акціонерне товариство виключно для інвестування </w:t>
            </w:r>
            <w:r w:rsidR="00B90888" w:rsidRPr="0024327D">
              <w:rPr>
                <w:lang w:val="uk-UA"/>
              </w:rPr>
              <w:t xml:space="preserve">наданих йому </w:t>
            </w:r>
            <w:r w:rsidRPr="0024327D">
              <w:rPr>
                <w:lang w:val="uk-UA"/>
              </w:rPr>
              <w:t xml:space="preserve">коштів. </w:t>
            </w:r>
            <w:r w:rsidR="004B6EF1" w:rsidRPr="0024327D">
              <w:rPr>
                <w:lang w:val="uk-UA"/>
              </w:rPr>
              <w:t>Держава або територіальна громада, а також юридичні особи, частка державної або комунальної власності в яких перевищує 25 відсотків, не можуть бути учасниками інституту спільного інвестування</w:t>
            </w:r>
            <w:r w:rsidRPr="0024327D">
              <w:rPr>
                <w:lang w:val="uk-UA"/>
              </w:rPr>
              <w:t>. Інших обмежень щодо того, хто може бути акціонером корпоративного інвестиційного фонду, немає</w:t>
            </w:r>
            <w:r w:rsidR="00FA33C2" w:rsidRPr="0024327D">
              <w:rPr>
                <w:lang w:val="uk-UA"/>
              </w:rPr>
              <w:t xml:space="preserve">. </w:t>
            </w:r>
          </w:p>
          <w:p w14:paraId="161A7F9E" w14:textId="52FDE921" w:rsidR="00454ABF" w:rsidRPr="0024327D" w:rsidRDefault="00454ABF" w:rsidP="00B77BF3">
            <w:pPr>
              <w:rPr>
                <w:lang w:val="uk-UA"/>
              </w:rPr>
            </w:pPr>
            <w:r w:rsidRPr="0024327D">
              <w:rPr>
                <w:lang w:val="uk-UA"/>
              </w:rPr>
              <w:t>Збори акціонерів, як правило, можуть вирішувати будь-які питання діяльності фонду, а компанія з управління активами втілює наміри зборів акціонерів шляхом реалізації відповідної інвестиційної стратегії та управління активами фонду.</w:t>
            </w:r>
          </w:p>
          <w:p w14:paraId="515E6FEB" w14:textId="26891A04" w:rsidR="00B77BF3" w:rsidRPr="0024327D" w:rsidRDefault="00454ABF" w:rsidP="00676431">
            <w:pPr>
              <w:rPr>
                <w:lang w:val="uk-UA"/>
              </w:rPr>
            </w:pPr>
            <w:r w:rsidRPr="0024327D">
              <w:rPr>
                <w:lang w:val="uk-UA"/>
              </w:rPr>
              <w:t xml:space="preserve">До корпоративного інвестиційного фонду застосовується вимога щодо мінімального </w:t>
            </w:r>
            <w:r w:rsidR="00C80EF3" w:rsidRPr="0024327D">
              <w:rPr>
                <w:lang w:val="uk-UA"/>
              </w:rPr>
              <w:t xml:space="preserve">розміру статутного </w:t>
            </w:r>
            <w:r w:rsidRPr="0024327D">
              <w:rPr>
                <w:lang w:val="uk-UA"/>
              </w:rPr>
              <w:t>капіталу у розмірі 1</w:t>
            </w:r>
            <w:r w:rsidR="00A972E4" w:rsidRPr="0024327D">
              <w:rPr>
                <w:lang w:val="uk-UA"/>
              </w:rPr>
              <w:t> </w:t>
            </w:r>
            <w:r w:rsidRPr="0024327D">
              <w:rPr>
                <w:lang w:val="uk-UA"/>
              </w:rPr>
              <w:t xml:space="preserve">250 </w:t>
            </w:r>
            <w:r w:rsidR="00803FE8" w:rsidRPr="0024327D">
              <w:rPr>
                <w:lang w:val="uk-UA"/>
              </w:rPr>
              <w:t>мінімальних заробітних плат у місячному розмірі</w:t>
            </w:r>
            <w:r w:rsidRPr="0024327D">
              <w:rPr>
                <w:lang w:val="uk-UA"/>
              </w:rPr>
              <w:t xml:space="preserve">, </w:t>
            </w:r>
            <w:r w:rsidR="00676431" w:rsidRPr="0024327D">
              <w:rPr>
                <w:lang w:val="uk-UA"/>
              </w:rPr>
              <w:t xml:space="preserve">що станом на дату підготовки цього документу становить </w:t>
            </w:r>
            <w:r w:rsidRPr="0024327D">
              <w:rPr>
                <w:lang w:val="uk-UA"/>
              </w:rPr>
              <w:t>б</w:t>
            </w:r>
            <w:r w:rsidR="00676431" w:rsidRPr="0024327D">
              <w:rPr>
                <w:lang w:val="uk-UA"/>
              </w:rPr>
              <w:t xml:space="preserve">лизько </w:t>
            </w:r>
            <w:r w:rsidR="00E61978" w:rsidRPr="0024327D">
              <w:rPr>
                <w:lang w:val="uk-UA"/>
              </w:rPr>
              <w:t>8,4</w:t>
            </w:r>
            <w:r w:rsidRPr="0024327D">
              <w:rPr>
                <w:lang w:val="uk-UA"/>
              </w:rPr>
              <w:t xml:space="preserve"> млн. </w:t>
            </w:r>
            <w:r w:rsidR="00676431" w:rsidRPr="0024327D">
              <w:rPr>
                <w:lang w:val="uk-UA"/>
              </w:rPr>
              <w:t xml:space="preserve">грн або </w:t>
            </w:r>
            <w:r w:rsidR="00FF21E5" w:rsidRPr="0024327D">
              <w:rPr>
                <w:lang w:val="uk-UA"/>
              </w:rPr>
              <w:t xml:space="preserve"> приблизно </w:t>
            </w:r>
            <w:r w:rsidR="002B0E56" w:rsidRPr="0024327D">
              <w:rPr>
                <w:lang w:val="uk-UA"/>
              </w:rPr>
              <w:t>233</w:t>
            </w:r>
            <w:r w:rsidR="008C4A28" w:rsidRPr="0024327D">
              <w:rPr>
                <w:lang w:val="uk-UA"/>
              </w:rPr>
              <w:t xml:space="preserve"> </w:t>
            </w:r>
            <w:r w:rsidR="00676431" w:rsidRPr="0024327D">
              <w:rPr>
                <w:lang w:val="uk-UA"/>
              </w:rPr>
              <w:t>тисяч</w:t>
            </w:r>
            <w:r w:rsidR="002B0E56" w:rsidRPr="0024327D">
              <w:rPr>
                <w:lang w:val="uk-UA"/>
              </w:rPr>
              <w:t>і</w:t>
            </w:r>
            <w:r w:rsidR="00676431" w:rsidRPr="0024327D">
              <w:rPr>
                <w:lang w:val="uk-UA"/>
              </w:rPr>
              <w:t xml:space="preserve"> євро</w:t>
            </w:r>
            <w:r w:rsidR="000B2674" w:rsidRPr="0024327D">
              <w:rPr>
                <w:lang w:val="uk-UA"/>
              </w:rPr>
              <w:t>.</w:t>
            </w:r>
            <w:r w:rsidR="00B77BF3" w:rsidRPr="0024327D">
              <w:rPr>
                <w:lang w:val="uk-UA"/>
              </w:rPr>
              <w:t xml:space="preserve"> </w:t>
            </w:r>
          </w:p>
          <w:p w14:paraId="2EF8602A" w14:textId="4B9020CF" w:rsidR="000B2674" w:rsidRPr="0024327D" w:rsidRDefault="00676431" w:rsidP="00676431">
            <w:pPr>
              <w:rPr>
                <w:lang w:val="uk-UA"/>
              </w:rPr>
            </w:pPr>
            <w:r w:rsidRPr="0024327D">
              <w:rPr>
                <w:lang w:val="uk-UA"/>
              </w:rPr>
              <w:t xml:space="preserve">Взагалі ця організаційна структура забезпечує </w:t>
            </w:r>
            <w:r w:rsidR="00502E86" w:rsidRPr="0024327D">
              <w:rPr>
                <w:lang w:val="uk-UA"/>
              </w:rPr>
              <w:t xml:space="preserve">визначеність щодо </w:t>
            </w:r>
            <w:r w:rsidRPr="0024327D">
              <w:rPr>
                <w:lang w:val="uk-UA"/>
              </w:rPr>
              <w:t>її діяльності та управлінн</w:t>
            </w:r>
            <w:r w:rsidR="00502E86" w:rsidRPr="0024327D">
              <w:rPr>
                <w:lang w:val="uk-UA"/>
              </w:rPr>
              <w:t>я</w:t>
            </w:r>
            <w:r w:rsidRPr="0024327D">
              <w:rPr>
                <w:lang w:val="uk-UA"/>
              </w:rPr>
              <w:t xml:space="preserve"> нею. Однак згідно з чинним законодавством корпоративні інвестиційні фонди не можуть випускати корпоративні облігації або надавати гарант</w:t>
            </w:r>
            <w:r w:rsidR="00502E86" w:rsidRPr="0024327D">
              <w:rPr>
                <w:lang w:val="uk-UA"/>
              </w:rPr>
              <w:t>увати виконання зобов’язань за</w:t>
            </w:r>
            <w:r w:rsidRPr="0024327D">
              <w:rPr>
                <w:lang w:val="uk-UA"/>
              </w:rPr>
              <w:t xml:space="preserve"> корпоративни</w:t>
            </w:r>
            <w:r w:rsidR="00502E86" w:rsidRPr="0024327D">
              <w:rPr>
                <w:lang w:val="uk-UA"/>
              </w:rPr>
              <w:t>ми</w:t>
            </w:r>
            <w:r w:rsidRPr="0024327D">
              <w:rPr>
                <w:lang w:val="uk-UA"/>
              </w:rPr>
              <w:t xml:space="preserve"> облігаці</w:t>
            </w:r>
            <w:r w:rsidR="00502E86" w:rsidRPr="0024327D">
              <w:rPr>
                <w:lang w:val="uk-UA"/>
              </w:rPr>
              <w:t>ями</w:t>
            </w:r>
            <w:r w:rsidRPr="0024327D">
              <w:rPr>
                <w:lang w:val="uk-UA"/>
              </w:rPr>
              <w:t>. Крім того, мають бути обмежені повноваження акціонера(-ів) корпоративного інвестиційного фонду, щоб забезпечити достатню функціональну незалежність фонду.</w:t>
            </w:r>
          </w:p>
        </w:tc>
      </w:tr>
      <w:tr w:rsidR="000B2674" w:rsidRPr="0024327D" w14:paraId="352E292E" w14:textId="77777777" w:rsidTr="00393B79">
        <w:tc>
          <w:tcPr>
            <w:tcW w:w="2072" w:type="dxa"/>
          </w:tcPr>
          <w:p w14:paraId="2846C32E" w14:textId="3506BD3B" w:rsidR="000B2674" w:rsidRPr="0024327D" w:rsidRDefault="00676431" w:rsidP="000B2674">
            <w:pPr>
              <w:jc w:val="left"/>
              <w:rPr>
                <w:lang w:val="uk-UA"/>
              </w:rPr>
            </w:pPr>
            <w:r w:rsidRPr="0024327D">
              <w:rPr>
                <w:lang w:val="uk-UA"/>
              </w:rPr>
              <w:t>Установа</w:t>
            </w:r>
          </w:p>
        </w:tc>
        <w:tc>
          <w:tcPr>
            <w:tcW w:w="6988" w:type="dxa"/>
          </w:tcPr>
          <w:p w14:paraId="24F090A5" w14:textId="2981DB4E" w:rsidR="00676431" w:rsidRPr="0024327D" w:rsidRDefault="00676431" w:rsidP="000B2674">
            <w:pPr>
              <w:rPr>
                <w:lang w:val="uk-UA"/>
              </w:rPr>
            </w:pPr>
            <w:r w:rsidRPr="0024327D">
              <w:rPr>
                <w:lang w:val="uk-UA"/>
              </w:rPr>
              <w:t xml:space="preserve">Установа - це юридична особа, створена для досягнення цілей, визначених у її установчих документах. Надалі ці цілі можуть </w:t>
            </w:r>
            <w:r w:rsidRPr="0024327D">
              <w:rPr>
                <w:lang w:val="uk-UA"/>
              </w:rPr>
              <w:lastRenderedPageBreak/>
              <w:t>змін</w:t>
            </w:r>
            <w:r w:rsidR="00160B03" w:rsidRPr="0024327D">
              <w:rPr>
                <w:lang w:val="uk-UA"/>
              </w:rPr>
              <w:t xml:space="preserve">юватися </w:t>
            </w:r>
            <w:r w:rsidRPr="0024327D">
              <w:rPr>
                <w:lang w:val="uk-UA"/>
              </w:rPr>
              <w:t xml:space="preserve">лише за рішенням суду, якщо їх неможливо досягти, або якщо виявиться, що вони </w:t>
            </w:r>
            <w:r w:rsidR="00F462D0" w:rsidRPr="0024327D">
              <w:rPr>
                <w:lang w:val="uk-UA"/>
              </w:rPr>
              <w:t>загрожу</w:t>
            </w:r>
            <w:r w:rsidR="00991669" w:rsidRPr="0024327D">
              <w:rPr>
                <w:lang w:val="uk-UA"/>
              </w:rPr>
              <w:t>ють</w:t>
            </w:r>
            <w:r w:rsidR="00F462D0" w:rsidRPr="0024327D">
              <w:rPr>
                <w:lang w:val="uk-UA"/>
              </w:rPr>
              <w:t xml:space="preserve"> суспільним інтересам</w:t>
            </w:r>
            <w:r w:rsidR="00373F95" w:rsidRPr="0024327D">
              <w:rPr>
                <w:lang w:val="uk-UA"/>
              </w:rPr>
              <w:t>.</w:t>
            </w:r>
          </w:p>
          <w:p w14:paraId="140061AC" w14:textId="6BF3B0CD" w:rsidR="00676431" w:rsidRPr="0024327D" w:rsidRDefault="00676431" w:rsidP="000B2674">
            <w:pPr>
              <w:rPr>
                <w:lang w:val="uk-UA"/>
              </w:rPr>
            </w:pPr>
            <w:r w:rsidRPr="0024327D">
              <w:rPr>
                <w:lang w:val="uk-UA"/>
              </w:rPr>
              <w:t xml:space="preserve">Не встановлено обмежень щодо того, хто може бути засновником установи. </w:t>
            </w:r>
            <w:r w:rsidR="00160B03" w:rsidRPr="0024327D">
              <w:rPr>
                <w:lang w:val="uk-UA"/>
              </w:rPr>
              <w:t>Управління установою здійснює правління</w:t>
            </w:r>
            <w:r w:rsidRPr="0024327D">
              <w:rPr>
                <w:lang w:val="uk-UA"/>
              </w:rPr>
              <w:t>, до склад</w:t>
            </w:r>
            <w:r w:rsidR="00160B03" w:rsidRPr="0024327D">
              <w:rPr>
                <w:lang w:val="uk-UA"/>
              </w:rPr>
              <w:t>у</w:t>
            </w:r>
            <w:r w:rsidRPr="0024327D">
              <w:rPr>
                <w:lang w:val="uk-UA"/>
              </w:rPr>
              <w:t xml:space="preserve"> як</w:t>
            </w:r>
            <w:r w:rsidR="00160B03" w:rsidRPr="0024327D">
              <w:rPr>
                <w:lang w:val="uk-UA"/>
              </w:rPr>
              <w:t xml:space="preserve">ого </w:t>
            </w:r>
            <w:r w:rsidRPr="0024327D">
              <w:rPr>
                <w:lang w:val="uk-UA"/>
              </w:rPr>
              <w:t xml:space="preserve">можуть входити лише фізичні особи (тобто юридичні особи, </w:t>
            </w:r>
            <w:r w:rsidR="00160B03" w:rsidRPr="0024327D">
              <w:rPr>
                <w:lang w:val="uk-UA"/>
              </w:rPr>
              <w:t xml:space="preserve">зокрема, </w:t>
            </w:r>
            <w:r w:rsidRPr="0024327D">
              <w:rPr>
                <w:lang w:val="uk-UA"/>
              </w:rPr>
              <w:t>компанії з управління активами, не можуть бути членами правління).</w:t>
            </w:r>
          </w:p>
          <w:p w14:paraId="35426ADC" w14:textId="71E00F21" w:rsidR="002B653C" w:rsidRPr="0024327D" w:rsidRDefault="00160B03" w:rsidP="002B653C">
            <w:pPr>
              <w:rPr>
                <w:lang w:val="uk-UA"/>
              </w:rPr>
            </w:pPr>
            <w:r w:rsidRPr="0024327D">
              <w:rPr>
                <w:lang w:val="uk-UA"/>
              </w:rPr>
              <w:t xml:space="preserve">Засновники установи практично не мають прав на управління нею. Отже, використання установи як основи для </w:t>
            </w:r>
            <w:r w:rsidR="00661034" w:rsidRPr="0024327D">
              <w:rPr>
                <w:lang w:val="uk-UA"/>
              </w:rPr>
              <w:t>к</w:t>
            </w:r>
            <w:r w:rsidRPr="0024327D">
              <w:rPr>
                <w:lang w:val="uk-UA"/>
              </w:rPr>
              <w:t xml:space="preserve">омпанії </w:t>
            </w:r>
            <w:r w:rsidR="00661034" w:rsidRPr="0024327D">
              <w:rPr>
                <w:lang w:val="uk-UA"/>
              </w:rPr>
              <w:t xml:space="preserve">спеціального </w:t>
            </w:r>
            <w:r w:rsidRPr="0024327D">
              <w:rPr>
                <w:lang w:val="uk-UA"/>
              </w:rPr>
              <w:t xml:space="preserve">призначення забезпечить інвесторам більшу впевненість щодо </w:t>
            </w:r>
            <w:r w:rsidR="00EB456B" w:rsidRPr="0024327D">
              <w:rPr>
                <w:lang w:val="uk-UA"/>
              </w:rPr>
              <w:t>її</w:t>
            </w:r>
            <w:r w:rsidRPr="0024327D">
              <w:rPr>
                <w:lang w:val="uk-UA"/>
              </w:rPr>
              <w:t xml:space="preserve"> діяльності та низьку ймовірність, що управління нею здійснюватиме оригінатор. З іншого боку немає правил, які б давали можливість здійснювати управління установою</w:t>
            </w:r>
            <w:r w:rsidR="00EB456B" w:rsidRPr="0024327D">
              <w:rPr>
                <w:lang w:val="uk-UA"/>
              </w:rPr>
              <w:t xml:space="preserve"> компанії з управління активів</w:t>
            </w:r>
            <w:r w:rsidR="000B2674" w:rsidRPr="0024327D">
              <w:rPr>
                <w:lang w:val="uk-UA"/>
              </w:rPr>
              <w:t>.</w:t>
            </w:r>
          </w:p>
          <w:p w14:paraId="500A460C" w14:textId="30F900C3" w:rsidR="00393B79" w:rsidRPr="0024327D" w:rsidRDefault="00160B03" w:rsidP="002B653C">
            <w:pPr>
              <w:rPr>
                <w:lang w:val="uk-UA"/>
              </w:rPr>
            </w:pPr>
            <w:r w:rsidRPr="0024327D">
              <w:rPr>
                <w:lang w:val="uk-UA"/>
              </w:rPr>
              <w:t xml:space="preserve">Оскільки установи як організаційно-правова форма в Україні не дуже поширені, </w:t>
            </w:r>
            <w:r w:rsidR="00EB456B" w:rsidRPr="0024327D">
              <w:rPr>
                <w:lang w:val="uk-UA"/>
              </w:rPr>
              <w:t xml:space="preserve">через відсутність усталеної практики важко передбачити, як українські державні органи або суди тлумачитимуть </w:t>
            </w:r>
            <w:r w:rsidRPr="0024327D">
              <w:rPr>
                <w:lang w:val="uk-UA"/>
              </w:rPr>
              <w:t>норм</w:t>
            </w:r>
            <w:r w:rsidR="00EB456B" w:rsidRPr="0024327D">
              <w:rPr>
                <w:lang w:val="uk-UA"/>
              </w:rPr>
              <w:t>и</w:t>
            </w:r>
            <w:r w:rsidRPr="0024327D">
              <w:rPr>
                <w:lang w:val="uk-UA"/>
              </w:rPr>
              <w:t xml:space="preserve">, </w:t>
            </w:r>
            <w:r w:rsidR="00EB456B" w:rsidRPr="0024327D">
              <w:rPr>
                <w:lang w:val="uk-UA"/>
              </w:rPr>
              <w:t>якими регулюється діяльність установ</w:t>
            </w:r>
            <w:r w:rsidRPr="0024327D">
              <w:rPr>
                <w:lang w:val="uk-UA"/>
              </w:rPr>
              <w:t>.</w:t>
            </w:r>
          </w:p>
        </w:tc>
      </w:tr>
      <w:tr w:rsidR="000B2674" w:rsidRPr="0024327D" w14:paraId="3CDEE0A7" w14:textId="77777777" w:rsidTr="00393B79">
        <w:tc>
          <w:tcPr>
            <w:tcW w:w="2072" w:type="dxa"/>
          </w:tcPr>
          <w:p w14:paraId="46EE95FD" w14:textId="7AA43DDE" w:rsidR="000B2674" w:rsidRPr="0024327D" w:rsidRDefault="00EB456B" w:rsidP="000B2674">
            <w:pPr>
              <w:jc w:val="left"/>
              <w:rPr>
                <w:lang w:val="uk-UA"/>
              </w:rPr>
            </w:pPr>
            <w:r w:rsidRPr="0024327D">
              <w:rPr>
                <w:iCs/>
                <w:lang w:val="uk-UA"/>
              </w:rPr>
              <w:lastRenderedPageBreak/>
              <w:t>Н</w:t>
            </w:r>
            <w:r w:rsidR="000B2674" w:rsidRPr="0024327D">
              <w:rPr>
                <w:iCs/>
                <w:lang w:val="uk-UA"/>
              </w:rPr>
              <w:t>епідприємницьке товариство</w:t>
            </w:r>
          </w:p>
        </w:tc>
        <w:tc>
          <w:tcPr>
            <w:tcW w:w="6988" w:type="dxa"/>
          </w:tcPr>
          <w:p w14:paraId="1F347D10" w14:textId="6E6BD4B5" w:rsidR="00641C2E" w:rsidRPr="0024327D" w:rsidRDefault="00641C2E" w:rsidP="00B77BF3">
            <w:pPr>
              <w:rPr>
                <w:lang w:val="uk-UA"/>
              </w:rPr>
            </w:pPr>
            <w:r w:rsidRPr="0024327D">
              <w:rPr>
                <w:lang w:val="uk-UA"/>
              </w:rPr>
              <w:t xml:space="preserve">На відміну від звичайного </w:t>
            </w:r>
            <w:r w:rsidR="00943133" w:rsidRPr="0024327D">
              <w:rPr>
                <w:lang w:val="uk-UA"/>
              </w:rPr>
              <w:t>товариства</w:t>
            </w:r>
            <w:r w:rsidR="00B83C1F" w:rsidRPr="0024327D">
              <w:rPr>
                <w:lang w:val="uk-UA"/>
              </w:rPr>
              <w:t>,</w:t>
            </w:r>
            <w:r w:rsidRPr="0024327D">
              <w:rPr>
                <w:lang w:val="uk-UA"/>
              </w:rPr>
              <w:t xml:space="preserve"> </w:t>
            </w:r>
            <w:r w:rsidR="00B90888" w:rsidRPr="0024327D">
              <w:rPr>
                <w:iCs/>
                <w:lang w:val="uk-UA"/>
              </w:rPr>
              <w:t>непідприємницьке</w:t>
            </w:r>
            <w:r w:rsidR="00B90888" w:rsidRPr="0024327D">
              <w:rPr>
                <w:lang w:val="uk-UA"/>
              </w:rPr>
              <w:t xml:space="preserve"> </w:t>
            </w:r>
            <w:r w:rsidRPr="0024327D">
              <w:rPr>
                <w:lang w:val="uk-UA"/>
              </w:rPr>
              <w:t>товариство існує не для отримання прибутку та його розподілу між своїми учасниками. В</w:t>
            </w:r>
            <w:r w:rsidR="00591A4E" w:rsidRPr="0024327D">
              <w:rPr>
                <w:lang w:val="uk-UA"/>
              </w:rPr>
              <w:t>оно</w:t>
            </w:r>
            <w:r w:rsidRPr="0024327D">
              <w:rPr>
                <w:lang w:val="uk-UA"/>
              </w:rPr>
              <w:t xml:space="preserve"> може займатися комерційною діяльністю</w:t>
            </w:r>
            <w:r w:rsidR="00591A4E" w:rsidRPr="0024327D">
              <w:rPr>
                <w:lang w:val="uk-UA"/>
              </w:rPr>
              <w:t>, лише якщо вона відповідає</w:t>
            </w:r>
            <w:r w:rsidRPr="0024327D">
              <w:rPr>
                <w:lang w:val="uk-UA"/>
              </w:rPr>
              <w:t xml:space="preserve"> його цілям та сприя</w:t>
            </w:r>
            <w:r w:rsidR="00591A4E" w:rsidRPr="0024327D">
              <w:rPr>
                <w:lang w:val="uk-UA"/>
              </w:rPr>
              <w:t>є</w:t>
            </w:r>
            <w:r w:rsidRPr="0024327D">
              <w:rPr>
                <w:lang w:val="uk-UA"/>
              </w:rPr>
              <w:t xml:space="preserve"> їх досягненню.</w:t>
            </w:r>
          </w:p>
          <w:p w14:paraId="055C3160" w14:textId="75C70E62" w:rsidR="000B2674" w:rsidRPr="0024327D" w:rsidRDefault="00591A4E" w:rsidP="00591A4E">
            <w:pPr>
              <w:rPr>
                <w:lang w:val="uk-UA"/>
              </w:rPr>
            </w:pPr>
            <w:r w:rsidRPr="0024327D">
              <w:rPr>
                <w:lang w:val="uk-UA"/>
              </w:rPr>
              <w:t xml:space="preserve">Немає обмежень щодо того, хто може бути засновником (учасником) непідприємницького товариства. Засновник непідприємницького товариства може брати участь в управлінні ним, а </w:t>
            </w:r>
            <w:r w:rsidR="00240BCB" w:rsidRPr="0024327D">
              <w:rPr>
                <w:lang w:val="uk-UA"/>
              </w:rPr>
              <w:t xml:space="preserve">виконавчий орган </w:t>
            </w:r>
            <w:r w:rsidRPr="0024327D">
              <w:rPr>
                <w:lang w:val="uk-UA"/>
              </w:rPr>
              <w:t xml:space="preserve">може складатися лише з фізичних осіб (не передбачається участь компанії з управління активами або будь-якого іншого суб’єкта господарювання). Як і </w:t>
            </w:r>
            <w:r w:rsidR="00B90888" w:rsidRPr="0024327D">
              <w:rPr>
                <w:lang w:val="uk-UA"/>
              </w:rPr>
              <w:t xml:space="preserve">при </w:t>
            </w:r>
            <w:r w:rsidRPr="0024327D">
              <w:rPr>
                <w:lang w:val="uk-UA"/>
              </w:rPr>
              <w:t>так</w:t>
            </w:r>
            <w:r w:rsidR="00B90888" w:rsidRPr="0024327D">
              <w:rPr>
                <w:lang w:val="uk-UA"/>
              </w:rPr>
              <w:t>ій</w:t>
            </w:r>
            <w:r w:rsidRPr="0024327D">
              <w:rPr>
                <w:lang w:val="uk-UA"/>
              </w:rPr>
              <w:t xml:space="preserve"> організаційно-правов</w:t>
            </w:r>
            <w:r w:rsidR="00B90888" w:rsidRPr="0024327D">
              <w:rPr>
                <w:lang w:val="uk-UA"/>
              </w:rPr>
              <w:t>ій</w:t>
            </w:r>
            <w:r w:rsidRPr="0024327D">
              <w:rPr>
                <w:lang w:val="uk-UA"/>
              </w:rPr>
              <w:t xml:space="preserve"> форми як установа, використання непідприємницького товариства як основи для </w:t>
            </w:r>
            <w:r w:rsidR="00067972" w:rsidRPr="0024327D">
              <w:rPr>
                <w:lang w:val="uk-UA"/>
              </w:rPr>
              <w:t>к</w:t>
            </w:r>
            <w:r w:rsidRPr="0024327D">
              <w:rPr>
                <w:lang w:val="uk-UA"/>
              </w:rPr>
              <w:t xml:space="preserve">омпанії спеціального призначення тягне за собою ризик правової невизначеності, оскільки така форма застосовується </w:t>
            </w:r>
            <w:r w:rsidR="002D4954" w:rsidRPr="0024327D">
              <w:rPr>
                <w:lang w:val="uk-UA"/>
              </w:rPr>
              <w:t>нечасто</w:t>
            </w:r>
            <w:r w:rsidR="007F16E0" w:rsidRPr="0024327D">
              <w:rPr>
                <w:lang w:val="uk-UA"/>
              </w:rPr>
              <w:t>.</w:t>
            </w:r>
          </w:p>
        </w:tc>
      </w:tr>
    </w:tbl>
    <w:p w14:paraId="6F651E39" w14:textId="707FB7A4" w:rsidR="00C16312" w:rsidRPr="0024327D" w:rsidRDefault="002E44A5" w:rsidP="00BF7860">
      <w:pPr>
        <w:keepNext/>
        <w:keepLines/>
        <w:rPr>
          <w:lang w:val="uk-UA"/>
        </w:rPr>
      </w:pPr>
      <w:r w:rsidRPr="0024327D">
        <w:rPr>
          <w:lang w:val="uk-UA"/>
        </w:rPr>
        <w:t>За результатами аналізу перелічених вище опцій, на даний момент непідприємницьке товариство видається найбільш придатною форм</w:t>
      </w:r>
      <w:r w:rsidR="004834D5" w:rsidRPr="0024327D">
        <w:rPr>
          <w:lang w:val="uk-UA"/>
        </w:rPr>
        <w:t xml:space="preserve">ою для </w:t>
      </w:r>
      <w:r w:rsidR="00A972E4" w:rsidRPr="0024327D">
        <w:rPr>
          <w:lang w:val="uk-UA"/>
        </w:rPr>
        <w:t>к</w:t>
      </w:r>
      <w:r w:rsidR="00E343B6" w:rsidRPr="0024327D">
        <w:rPr>
          <w:lang w:val="uk-UA"/>
        </w:rPr>
        <w:t xml:space="preserve">омпанії спеціального призначення </w:t>
      </w:r>
      <w:r w:rsidR="004834D5" w:rsidRPr="0024327D">
        <w:rPr>
          <w:lang w:val="uk-UA"/>
        </w:rPr>
        <w:t>(за умови запровадження додаткових елементів, вказаних нижче).</w:t>
      </w:r>
    </w:p>
    <w:p w14:paraId="4D5D4A06" w14:textId="255E2444" w:rsidR="00374CF8" w:rsidRPr="0024327D" w:rsidRDefault="002D4954" w:rsidP="00BF7860">
      <w:pPr>
        <w:keepNext/>
        <w:keepLines/>
        <w:rPr>
          <w:lang w:val="uk-UA"/>
        </w:rPr>
      </w:pPr>
      <w:r w:rsidRPr="0024327D">
        <w:rPr>
          <w:lang w:val="uk-UA"/>
        </w:rPr>
        <w:t xml:space="preserve">Закон про сек’юритизацію та облігації </w:t>
      </w:r>
      <w:r w:rsidR="00554A1B" w:rsidRPr="0024327D">
        <w:rPr>
          <w:lang w:val="uk-UA"/>
        </w:rPr>
        <w:t xml:space="preserve">з покриттям </w:t>
      </w:r>
      <w:r w:rsidRPr="0024327D">
        <w:rPr>
          <w:lang w:val="uk-UA"/>
        </w:rPr>
        <w:t>має забезпечити таке</w:t>
      </w:r>
      <w:r w:rsidR="00374CF8" w:rsidRPr="0024327D">
        <w:rPr>
          <w:lang w:val="uk-UA"/>
        </w:rPr>
        <w:t>:</w:t>
      </w:r>
    </w:p>
    <w:p w14:paraId="0EED9C7A" w14:textId="2FEB8419" w:rsidR="00374CF8" w:rsidRPr="0024327D" w:rsidRDefault="002D4954" w:rsidP="00374CF8">
      <w:pPr>
        <w:pStyle w:val="a4"/>
        <w:numPr>
          <w:ilvl w:val="0"/>
          <w:numId w:val="2"/>
        </w:numPr>
        <w:rPr>
          <w:lang w:val="uk-UA"/>
        </w:rPr>
      </w:pPr>
      <w:r w:rsidRPr="0024327D">
        <w:rPr>
          <w:lang w:val="uk-UA"/>
        </w:rPr>
        <w:t>просту</w:t>
      </w:r>
      <w:r w:rsidR="00D34134" w:rsidRPr="0024327D">
        <w:rPr>
          <w:lang w:val="uk-UA"/>
        </w:rPr>
        <w:t xml:space="preserve"> </w:t>
      </w:r>
      <w:r w:rsidRPr="0024327D">
        <w:rPr>
          <w:lang w:val="uk-UA"/>
        </w:rPr>
        <w:t xml:space="preserve">процедуру визнання </w:t>
      </w:r>
      <w:r w:rsidR="00A37F89" w:rsidRPr="0024327D">
        <w:rPr>
          <w:lang w:val="uk-UA"/>
        </w:rPr>
        <w:t>к</w:t>
      </w:r>
      <w:r w:rsidRPr="0024327D">
        <w:rPr>
          <w:lang w:val="uk-UA"/>
        </w:rPr>
        <w:t xml:space="preserve">омпанії спеціального призначення такою, що відповідає вимогам до </w:t>
      </w:r>
      <w:r w:rsidR="00A37F89" w:rsidRPr="0024327D">
        <w:rPr>
          <w:lang w:val="uk-UA"/>
        </w:rPr>
        <w:t xml:space="preserve">компанії, яка </w:t>
      </w:r>
      <w:r w:rsidR="001E62E8" w:rsidRPr="0024327D">
        <w:rPr>
          <w:lang w:val="uk-UA"/>
        </w:rPr>
        <w:t xml:space="preserve">здійснює </w:t>
      </w:r>
      <w:r w:rsidR="00EF30F8" w:rsidRPr="0024327D">
        <w:rPr>
          <w:lang w:val="uk-UA"/>
        </w:rPr>
        <w:t xml:space="preserve"> емісію </w:t>
      </w:r>
      <w:r w:rsidR="001E62E8" w:rsidRPr="0024327D">
        <w:rPr>
          <w:lang w:val="uk-UA"/>
        </w:rPr>
        <w:t>облігацій в ході сек’юритизації</w:t>
      </w:r>
      <w:r w:rsidR="00874EE0" w:rsidRPr="0024327D">
        <w:rPr>
          <w:lang w:val="uk-UA"/>
        </w:rPr>
        <w:t>/</w:t>
      </w:r>
      <w:r w:rsidR="00EF30F8" w:rsidRPr="0024327D">
        <w:rPr>
          <w:lang w:val="uk-UA"/>
        </w:rPr>
        <w:t>емісію</w:t>
      </w:r>
      <w:r w:rsidR="001E62E8" w:rsidRPr="0024327D">
        <w:rPr>
          <w:lang w:val="uk-UA"/>
        </w:rPr>
        <w:t xml:space="preserve"> </w:t>
      </w:r>
      <w:r w:rsidR="00645A85" w:rsidRPr="0024327D">
        <w:rPr>
          <w:lang w:val="uk-UA"/>
        </w:rPr>
        <w:t>облігацій з покриттям</w:t>
      </w:r>
      <w:r w:rsidRPr="0024327D">
        <w:rPr>
          <w:lang w:val="uk-UA"/>
        </w:rPr>
        <w:t xml:space="preserve"> (наприклад, достатньо</w:t>
      </w:r>
      <w:r w:rsidR="00B90888" w:rsidRPr="0024327D">
        <w:rPr>
          <w:lang w:val="uk-UA"/>
        </w:rPr>
        <w:t xml:space="preserve"> вказати таку діяльність</w:t>
      </w:r>
      <w:r w:rsidRPr="0024327D">
        <w:rPr>
          <w:lang w:val="uk-UA"/>
        </w:rPr>
        <w:t xml:space="preserve"> у статуті</w:t>
      </w:r>
      <w:r w:rsidR="00374CF8" w:rsidRPr="0024327D">
        <w:rPr>
          <w:lang w:val="uk-UA"/>
        </w:rPr>
        <w:t>);</w:t>
      </w:r>
    </w:p>
    <w:p w14:paraId="4C98B50F" w14:textId="65D4983B" w:rsidR="00374CF8" w:rsidRPr="0024327D" w:rsidRDefault="002D4954" w:rsidP="00374CF8">
      <w:pPr>
        <w:pStyle w:val="a4"/>
        <w:numPr>
          <w:ilvl w:val="0"/>
          <w:numId w:val="2"/>
        </w:numPr>
        <w:rPr>
          <w:lang w:val="uk-UA"/>
        </w:rPr>
      </w:pPr>
      <w:r w:rsidRPr="0024327D">
        <w:rPr>
          <w:lang w:val="uk-UA"/>
        </w:rPr>
        <w:t xml:space="preserve">обмеження </w:t>
      </w:r>
      <w:r w:rsidR="00E00645" w:rsidRPr="0024327D">
        <w:rPr>
          <w:lang w:val="uk-UA"/>
        </w:rPr>
        <w:t xml:space="preserve">законом </w:t>
      </w:r>
      <w:r w:rsidRPr="0024327D">
        <w:rPr>
          <w:lang w:val="uk-UA"/>
        </w:rPr>
        <w:t xml:space="preserve">діяльності </w:t>
      </w:r>
      <w:r w:rsidR="00F87A90" w:rsidRPr="0024327D">
        <w:rPr>
          <w:lang w:val="uk-UA"/>
        </w:rPr>
        <w:t>к</w:t>
      </w:r>
      <w:r w:rsidRPr="0024327D">
        <w:rPr>
          <w:lang w:val="uk-UA"/>
        </w:rPr>
        <w:t xml:space="preserve">омпанії </w:t>
      </w:r>
      <w:r w:rsidR="00E00645" w:rsidRPr="0024327D">
        <w:rPr>
          <w:lang w:val="uk-UA"/>
        </w:rPr>
        <w:t xml:space="preserve">спеціального призначення </w:t>
      </w:r>
      <w:r w:rsidR="00B7093A" w:rsidRPr="0024327D">
        <w:rPr>
          <w:lang w:val="uk-UA"/>
        </w:rPr>
        <w:t xml:space="preserve">виключно </w:t>
      </w:r>
      <w:r w:rsidR="00E00645" w:rsidRPr="0024327D">
        <w:rPr>
          <w:lang w:val="uk-UA"/>
        </w:rPr>
        <w:t>придбання</w:t>
      </w:r>
      <w:r w:rsidR="00B7093A" w:rsidRPr="0024327D">
        <w:rPr>
          <w:lang w:val="uk-UA"/>
        </w:rPr>
        <w:t>м</w:t>
      </w:r>
      <w:r w:rsidR="00E00645" w:rsidRPr="0024327D">
        <w:rPr>
          <w:lang w:val="uk-UA"/>
        </w:rPr>
        <w:t xml:space="preserve"> (або прийняття</w:t>
      </w:r>
      <w:r w:rsidR="00B7093A" w:rsidRPr="0024327D">
        <w:rPr>
          <w:lang w:val="uk-UA"/>
        </w:rPr>
        <w:t>м</w:t>
      </w:r>
      <w:r w:rsidR="00E00645" w:rsidRPr="0024327D">
        <w:rPr>
          <w:lang w:val="uk-UA"/>
        </w:rPr>
        <w:t xml:space="preserve"> на себе ризиків, пов’язаних з придбанням) активів, прав вимоги та зобов’язань, прийнятих на себе третіми особами або </w:t>
      </w:r>
      <w:r w:rsidR="00F87A90" w:rsidRPr="0024327D">
        <w:rPr>
          <w:lang w:val="uk-UA"/>
        </w:rPr>
        <w:t>пов’язаних з ді</w:t>
      </w:r>
      <w:r w:rsidR="005F774B" w:rsidRPr="0024327D">
        <w:rPr>
          <w:lang w:val="uk-UA"/>
        </w:rPr>
        <w:t>я</w:t>
      </w:r>
      <w:r w:rsidR="00F87A90" w:rsidRPr="0024327D">
        <w:rPr>
          <w:lang w:val="uk-UA"/>
        </w:rPr>
        <w:t xml:space="preserve">льністю </w:t>
      </w:r>
      <w:r w:rsidR="00E00645" w:rsidRPr="0024327D">
        <w:rPr>
          <w:lang w:val="uk-UA"/>
        </w:rPr>
        <w:t xml:space="preserve">третіх осіб (а </w:t>
      </w:r>
      <w:r w:rsidR="005F774B" w:rsidRPr="0024327D">
        <w:rPr>
          <w:lang w:val="uk-UA"/>
        </w:rPr>
        <w:t xml:space="preserve">у випадку </w:t>
      </w:r>
      <w:r w:rsidR="00E00645" w:rsidRPr="0024327D">
        <w:rPr>
          <w:lang w:val="uk-UA"/>
        </w:rPr>
        <w:t>сек’юритизації - також випуск</w:t>
      </w:r>
      <w:r w:rsidR="005F774B" w:rsidRPr="0024327D">
        <w:rPr>
          <w:lang w:val="uk-UA"/>
        </w:rPr>
        <w:t>ом</w:t>
      </w:r>
      <w:r w:rsidR="00E00645" w:rsidRPr="0024327D">
        <w:rPr>
          <w:lang w:val="uk-UA"/>
        </w:rPr>
        <w:t xml:space="preserve"> цінних паперів); </w:t>
      </w:r>
      <w:r w:rsidR="001038E1" w:rsidRPr="0024327D">
        <w:rPr>
          <w:lang w:val="uk-UA"/>
        </w:rPr>
        <w:t xml:space="preserve">тобто </w:t>
      </w:r>
      <w:r w:rsidR="00E00645" w:rsidRPr="0024327D">
        <w:rPr>
          <w:lang w:val="uk-UA"/>
        </w:rPr>
        <w:t>будь-як</w:t>
      </w:r>
      <w:r w:rsidR="001038E1" w:rsidRPr="0024327D">
        <w:rPr>
          <w:lang w:val="uk-UA"/>
        </w:rPr>
        <w:t>а</w:t>
      </w:r>
      <w:r w:rsidR="006A2CBF" w:rsidRPr="0024327D">
        <w:rPr>
          <w:lang w:val="uk-UA"/>
        </w:rPr>
        <w:t xml:space="preserve"> діяльність</w:t>
      </w:r>
      <w:r w:rsidR="00E00645" w:rsidRPr="0024327D">
        <w:rPr>
          <w:lang w:val="uk-UA"/>
        </w:rPr>
        <w:t>, яка може кваліфікуватися як підприємниц</w:t>
      </w:r>
      <w:r w:rsidR="001038E1" w:rsidRPr="0024327D">
        <w:rPr>
          <w:lang w:val="uk-UA"/>
        </w:rPr>
        <w:t>ька</w:t>
      </w:r>
      <w:r w:rsidR="00E00645" w:rsidRPr="0024327D">
        <w:rPr>
          <w:lang w:val="uk-UA"/>
        </w:rPr>
        <w:t xml:space="preserve">, у тому числі </w:t>
      </w:r>
      <w:r w:rsidR="001038E1" w:rsidRPr="0024327D">
        <w:rPr>
          <w:lang w:val="uk-UA"/>
        </w:rPr>
        <w:t xml:space="preserve">призводити до виникнення </w:t>
      </w:r>
      <w:r w:rsidR="00E00645" w:rsidRPr="0024327D">
        <w:rPr>
          <w:lang w:val="uk-UA"/>
        </w:rPr>
        <w:t xml:space="preserve">додаткової заборгованості в </w:t>
      </w:r>
      <w:r w:rsidR="001038E1" w:rsidRPr="0024327D">
        <w:rPr>
          <w:lang w:val="uk-UA"/>
        </w:rPr>
        <w:t>к</w:t>
      </w:r>
      <w:r w:rsidR="00E00645" w:rsidRPr="0024327D">
        <w:rPr>
          <w:lang w:val="uk-UA"/>
        </w:rPr>
        <w:t>омпані</w:t>
      </w:r>
      <w:r w:rsidR="001038E1" w:rsidRPr="0024327D">
        <w:rPr>
          <w:lang w:val="uk-UA"/>
        </w:rPr>
        <w:t xml:space="preserve">ї </w:t>
      </w:r>
      <w:r w:rsidR="00E00645" w:rsidRPr="0024327D">
        <w:rPr>
          <w:lang w:val="uk-UA"/>
        </w:rPr>
        <w:t>спеціального призначення</w:t>
      </w:r>
      <w:r w:rsidR="001038E1" w:rsidRPr="0024327D">
        <w:rPr>
          <w:lang w:val="uk-UA"/>
        </w:rPr>
        <w:t>, повинна бути заборонена</w:t>
      </w:r>
      <w:r w:rsidR="00374CF8" w:rsidRPr="0024327D">
        <w:rPr>
          <w:lang w:val="uk-UA"/>
        </w:rPr>
        <w:t>;</w:t>
      </w:r>
    </w:p>
    <w:p w14:paraId="1966D7E5" w14:textId="27E0FF14" w:rsidR="00374CF8" w:rsidRPr="0024327D" w:rsidRDefault="00E00645" w:rsidP="00374CF8">
      <w:pPr>
        <w:pStyle w:val="a4"/>
        <w:numPr>
          <w:ilvl w:val="0"/>
          <w:numId w:val="2"/>
        </w:numPr>
        <w:rPr>
          <w:lang w:val="uk-UA"/>
        </w:rPr>
      </w:pPr>
      <w:r w:rsidRPr="0024327D">
        <w:rPr>
          <w:lang w:val="uk-UA"/>
        </w:rPr>
        <w:t>відсутність вимог або ж зовсім незначні вимоги щодо мінімального</w:t>
      </w:r>
      <w:r w:rsidR="006A2CBF" w:rsidRPr="0024327D">
        <w:rPr>
          <w:lang w:val="uk-UA"/>
        </w:rPr>
        <w:t xml:space="preserve"> розміру</w:t>
      </w:r>
      <w:r w:rsidRPr="0024327D">
        <w:rPr>
          <w:lang w:val="uk-UA"/>
        </w:rPr>
        <w:t xml:space="preserve"> капіталу </w:t>
      </w:r>
      <w:r w:rsidR="00970D5B" w:rsidRPr="0024327D">
        <w:rPr>
          <w:lang w:val="uk-UA"/>
        </w:rPr>
        <w:t>(</w:t>
      </w:r>
      <w:r w:rsidRPr="0024327D">
        <w:rPr>
          <w:lang w:val="uk-UA"/>
        </w:rPr>
        <w:t xml:space="preserve">оскільки високі вимоги до капіталу </w:t>
      </w:r>
      <w:r w:rsidR="000008FD" w:rsidRPr="0024327D">
        <w:rPr>
          <w:lang w:val="uk-UA"/>
        </w:rPr>
        <w:t>к</w:t>
      </w:r>
      <w:r w:rsidRPr="0024327D">
        <w:rPr>
          <w:lang w:val="uk-UA"/>
        </w:rPr>
        <w:t>омпанії спеціального призначення ще збільшують і без того великі витрати на структурування сек’юритизації</w:t>
      </w:r>
      <w:r w:rsidR="00970D5B" w:rsidRPr="0024327D">
        <w:rPr>
          <w:lang w:val="uk-UA"/>
        </w:rPr>
        <w:t>)</w:t>
      </w:r>
      <w:r w:rsidR="00374CF8" w:rsidRPr="0024327D">
        <w:rPr>
          <w:lang w:val="uk-UA"/>
        </w:rPr>
        <w:t>;</w:t>
      </w:r>
    </w:p>
    <w:p w14:paraId="19751EB2" w14:textId="79378606" w:rsidR="00374CF8" w:rsidRPr="0024327D" w:rsidRDefault="00E00645" w:rsidP="00374CF8">
      <w:pPr>
        <w:pStyle w:val="a4"/>
        <w:numPr>
          <w:ilvl w:val="0"/>
          <w:numId w:val="2"/>
        </w:numPr>
        <w:rPr>
          <w:lang w:val="uk-UA"/>
        </w:rPr>
      </w:pPr>
      <w:r w:rsidRPr="0024327D">
        <w:rPr>
          <w:lang w:val="uk-UA"/>
        </w:rPr>
        <w:t xml:space="preserve">проста і порівняно недорога процедура ліквідації після досягнення </w:t>
      </w:r>
      <w:r w:rsidR="000008FD" w:rsidRPr="0024327D">
        <w:rPr>
          <w:lang w:val="uk-UA"/>
        </w:rPr>
        <w:t>к</w:t>
      </w:r>
      <w:r w:rsidRPr="0024327D">
        <w:rPr>
          <w:lang w:val="uk-UA"/>
        </w:rPr>
        <w:t xml:space="preserve">омпанією спеціального призначення поставлених цілей </w:t>
      </w:r>
      <w:r w:rsidR="001F44AA" w:rsidRPr="0024327D">
        <w:rPr>
          <w:lang w:val="uk-UA"/>
        </w:rPr>
        <w:t>(</w:t>
      </w:r>
      <w:r w:rsidRPr="0024327D">
        <w:rPr>
          <w:lang w:val="uk-UA"/>
        </w:rPr>
        <w:t xml:space="preserve">зазвичай </w:t>
      </w:r>
      <w:r w:rsidR="0097564B" w:rsidRPr="0024327D">
        <w:rPr>
          <w:lang w:val="uk-UA"/>
        </w:rPr>
        <w:t>за ініціативою управителя</w:t>
      </w:r>
      <w:r w:rsidR="00A338EB" w:rsidRPr="0024327D">
        <w:rPr>
          <w:lang w:val="uk-UA"/>
        </w:rPr>
        <w:t xml:space="preserve"> (адміністратора за випуском облігацій)</w:t>
      </w:r>
      <w:r w:rsidR="0097564B" w:rsidRPr="0024327D">
        <w:rPr>
          <w:lang w:val="uk-UA"/>
        </w:rPr>
        <w:t xml:space="preserve"> та</w:t>
      </w:r>
      <w:r w:rsidR="006B28AA" w:rsidRPr="0024327D">
        <w:rPr>
          <w:lang w:val="uk-UA"/>
        </w:rPr>
        <w:t>/</w:t>
      </w:r>
      <w:r w:rsidR="0097564B" w:rsidRPr="0024327D">
        <w:rPr>
          <w:lang w:val="uk-UA"/>
        </w:rPr>
        <w:t>або компанії</w:t>
      </w:r>
      <w:r w:rsidR="000008FD" w:rsidRPr="0024327D">
        <w:rPr>
          <w:lang w:val="uk-UA"/>
        </w:rPr>
        <w:t xml:space="preserve"> з управління </w:t>
      </w:r>
      <w:r w:rsidR="005525B6" w:rsidRPr="0024327D">
        <w:rPr>
          <w:lang w:val="uk-UA"/>
        </w:rPr>
        <w:t>активами</w:t>
      </w:r>
      <w:r w:rsidR="0097564B" w:rsidRPr="0024327D">
        <w:rPr>
          <w:lang w:val="uk-UA"/>
        </w:rPr>
        <w:t xml:space="preserve"> (у разі її використання) </w:t>
      </w:r>
      <w:r w:rsidR="00B27CC1" w:rsidRPr="0024327D">
        <w:rPr>
          <w:lang w:val="uk-UA"/>
        </w:rPr>
        <w:t>к</w:t>
      </w:r>
      <w:r w:rsidR="0097564B" w:rsidRPr="0024327D">
        <w:rPr>
          <w:lang w:val="uk-UA"/>
        </w:rPr>
        <w:t xml:space="preserve">омпанії </w:t>
      </w:r>
      <w:r w:rsidR="0097564B" w:rsidRPr="0024327D">
        <w:rPr>
          <w:lang w:val="uk-UA"/>
        </w:rPr>
        <w:lastRenderedPageBreak/>
        <w:t>спеціального призначення</w:t>
      </w:r>
      <w:r w:rsidR="00214FDF" w:rsidRPr="0024327D">
        <w:rPr>
          <w:lang w:val="uk-UA"/>
        </w:rPr>
        <w:t xml:space="preserve">, </w:t>
      </w:r>
      <w:r w:rsidR="0097564B" w:rsidRPr="0024327D">
        <w:rPr>
          <w:lang w:val="uk-UA"/>
        </w:rPr>
        <w:t>з</w:t>
      </w:r>
      <w:r w:rsidR="00B27CC1" w:rsidRPr="0024327D">
        <w:rPr>
          <w:lang w:val="uk-UA"/>
        </w:rPr>
        <w:t xml:space="preserve"> дотриманням умов</w:t>
      </w:r>
      <w:r w:rsidR="0097564B" w:rsidRPr="0024327D">
        <w:rPr>
          <w:lang w:val="uk-UA"/>
        </w:rPr>
        <w:t xml:space="preserve">, визначених </w:t>
      </w:r>
      <w:r w:rsidR="00887701" w:rsidRPr="0024327D">
        <w:rPr>
          <w:lang w:val="uk-UA"/>
        </w:rPr>
        <w:t>в установчих документах такої компанії спеціального призначення</w:t>
      </w:r>
      <w:r w:rsidR="001F44AA" w:rsidRPr="0024327D">
        <w:rPr>
          <w:lang w:val="uk-UA"/>
        </w:rPr>
        <w:t>)</w:t>
      </w:r>
      <w:r w:rsidR="00374CF8" w:rsidRPr="0024327D">
        <w:rPr>
          <w:lang w:val="uk-UA"/>
        </w:rPr>
        <w:t>;</w:t>
      </w:r>
    </w:p>
    <w:p w14:paraId="3D27567A" w14:textId="592ADC83" w:rsidR="00374CF8" w:rsidRPr="0024327D" w:rsidRDefault="0097564B" w:rsidP="00374CF8">
      <w:pPr>
        <w:pStyle w:val="a4"/>
        <w:numPr>
          <w:ilvl w:val="0"/>
          <w:numId w:val="2"/>
        </w:numPr>
        <w:rPr>
          <w:lang w:val="uk-UA"/>
        </w:rPr>
      </w:pPr>
      <w:r w:rsidRPr="0024327D">
        <w:rPr>
          <w:lang w:val="uk-UA"/>
        </w:rPr>
        <w:t>максимально проста структура управління</w:t>
      </w:r>
      <w:r w:rsidR="00374CF8" w:rsidRPr="0024327D">
        <w:rPr>
          <w:lang w:val="uk-UA"/>
        </w:rPr>
        <w:t>;</w:t>
      </w:r>
    </w:p>
    <w:p w14:paraId="292D488F" w14:textId="49C3EF58" w:rsidR="00374CF8" w:rsidRPr="0024327D" w:rsidRDefault="0097564B" w:rsidP="00374CF8">
      <w:pPr>
        <w:pStyle w:val="a4"/>
        <w:numPr>
          <w:ilvl w:val="0"/>
          <w:numId w:val="2"/>
        </w:numPr>
        <w:rPr>
          <w:lang w:val="uk-UA"/>
        </w:rPr>
      </w:pPr>
      <w:r w:rsidRPr="0024327D">
        <w:rPr>
          <w:lang w:val="uk-UA"/>
        </w:rPr>
        <w:t>незалежне від оригінатора</w:t>
      </w:r>
      <w:r w:rsidR="00827046" w:rsidRPr="0024327D">
        <w:rPr>
          <w:lang w:val="uk-UA"/>
        </w:rPr>
        <w:t xml:space="preserve"> керівництво</w:t>
      </w:r>
      <w:r w:rsidR="00374CF8" w:rsidRPr="0024327D">
        <w:rPr>
          <w:lang w:val="uk-UA"/>
        </w:rPr>
        <w:t>;</w:t>
      </w:r>
    </w:p>
    <w:p w14:paraId="49455F4E" w14:textId="4B53577D" w:rsidR="00374CF8" w:rsidRPr="0024327D" w:rsidRDefault="0097564B" w:rsidP="00374CF8">
      <w:pPr>
        <w:pStyle w:val="a4"/>
        <w:numPr>
          <w:ilvl w:val="0"/>
          <w:numId w:val="2"/>
        </w:numPr>
        <w:rPr>
          <w:lang w:val="uk-UA"/>
        </w:rPr>
      </w:pPr>
      <w:r w:rsidRPr="0024327D">
        <w:rPr>
          <w:lang w:val="uk-UA"/>
        </w:rPr>
        <w:t xml:space="preserve">відсутність вимоги, щоб </w:t>
      </w:r>
      <w:r w:rsidR="00887701" w:rsidRPr="0024327D">
        <w:rPr>
          <w:lang w:val="uk-UA"/>
        </w:rPr>
        <w:t>к</w:t>
      </w:r>
      <w:r w:rsidRPr="0024327D">
        <w:rPr>
          <w:lang w:val="uk-UA"/>
        </w:rPr>
        <w:t xml:space="preserve">омпанія спеціального призначення </w:t>
      </w:r>
      <w:r w:rsidR="00887701" w:rsidRPr="0024327D">
        <w:rPr>
          <w:lang w:val="uk-UA"/>
        </w:rPr>
        <w:t xml:space="preserve">мала статус </w:t>
      </w:r>
      <w:r w:rsidRPr="0024327D">
        <w:rPr>
          <w:lang w:val="uk-UA"/>
        </w:rPr>
        <w:t>фінансов</w:t>
      </w:r>
      <w:r w:rsidR="00887701" w:rsidRPr="0024327D">
        <w:rPr>
          <w:lang w:val="uk-UA"/>
        </w:rPr>
        <w:t>ої</w:t>
      </w:r>
      <w:r w:rsidR="00373F95" w:rsidRPr="0024327D">
        <w:rPr>
          <w:lang w:val="uk-UA"/>
        </w:rPr>
        <w:t xml:space="preserve"> </w:t>
      </w:r>
      <w:r w:rsidRPr="0024327D">
        <w:rPr>
          <w:lang w:val="uk-UA"/>
        </w:rPr>
        <w:t>установ</w:t>
      </w:r>
      <w:r w:rsidR="00887701" w:rsidRPr="0024327D">
        <w:rPr>
          <w:lang w:val="uk-UA"/>
        </w:rPr>
        <w:t>и</w:t>
      </w:r>
      <w:r w:rsidR="00374CF8" w:rsidRPr="0024327D">
        <w:rPr>
          <w:lang w:val="uk-UA"/>
        </w:rPr>
        <w:t>;</w:t>
      </w:r>
    </w:p>
    <w:p w14:paraId="05660683" w14:textId="2AD931CC" w:rsidR="00374CF8" w:rsidRPr="0024327D" w:rsidRDefault="0097564B" w:rsidP="00874EE0">
      <w:pPr>
        <w:pStyle w:val="a4"/>
        <w:numPr>
          <w:ilvl w:val="0"/>
          <w:numId w:val="2"/>
        </w:numPr>
        <w:rPr>
          <w:lang w:val="uk-UA"/>
        </w:rPr>
      </w:pPr>
      <w:r w:rsidRPr="0024327D">
        <w:rPr>
          <w:lang w:val="uk-UA"/>
        </w:rPr>
        <w:t xml:space="preserve">відсутність вимог </w:t>
      </w:r>
      <w:r w:rsidR="007A1B1D" w:rsidRPr="0024327D">
        <w:rPr>
          <w:lang w:val="uk-UA"/>
        </w:rPr>
        <w:t xml:space="preserve">щодо </w:t>
      </w:r>
      <w:r w:rsidRPr="0024327D">
        <w:rPr>
          <w:lang w:val="uk-UA"/>
        </w:rPr>
        <w:t>одержання</w:t>
      </w:r>
      <w:r w:rsidR="007A1B1D" w:rsidRPr="0024327D">
        <w:rPr>
          <w:lang w:val="uk-UA"/>
        </w:rPr>
        <w:t xml:space="preserve"> свідоцтв</w:t>
      </w:r>
      <w:r w:rsidRPr="0024327D">
        <w:rPr>
          <w:lang w:val="uk-UA"/>
        </w:rPr>
        <w:t>, ліцензі</w:t>
      </w:r>
      <w:r w:rsidR="007A1B1D" w:rsidRPr="0024327D">
        <w:rPr>
          <w:lang w:val="uk-UA"/>
        </w:rPr>
        <w:t>й</w:t>
      </w:r>
      <w:r w:rsidRPr="0024327D">
        <w:rPr>
          <w:lang w:val="uk-UA"/>
        </w:rPr>
        <w:t xml:space="preserve"> або дозволів для </w:t>
      </w:r>
      <w:r w:rsidR="007A1B1D" w:rsidRPr="0024327D">
        <w:rPr>
          <w:lang w:val="uk-UA"/>
        </w:rPr>
        <w:t>к</w:t>
      </w:r>
      <w:r w:rsidRPr="0024327D">
        <w:rPr>
          <w:lang w:val="uk-UA"/>
        </w:rPr>
        <w:t xml:space="preserve">омпанії спеціального призначення (наприклад, відсутність вимоги щодо </w:t>
      </w:r>
      <w:r w:rsidR="007A1B1D" w:rsidRPr="0024327D">
        <w:rPr>
          <w:lang w:val="uk-UA"/>
        </w:rPr>
        <w:t xml:space="preserve">отримання </w:t>
      </w:r>
      <w:r w:rsidRPr="0024327D">
        <w:rPr>
          <w:lang w:val="uk-UA"/>
        </w:rPr>
        <w:t xml:space="preserve">ліцензії на здійснення банківської </w:t>
      </w:r>
      <w:r w:rsidR="006A1E18" w:rsidRPr="0024327D">
        <w:rPr>
          <w:lang w:val="uk-UA"/>
        </w:rPr>
        <w:t xml:space="preserve">або подібної </w:t>
      </w:r>
      <w:r w:rsidRPr="0024327D">
        <w:rPr>
          <w:lang w:val="uk-UA"/>
        </w:rPr>
        <w:t>діяльності, якщо здійснюється сек’юритизація споживчих кредитів</w:t>
      </w:r>
      <w:r w:rsidR="00374CF8" w:rsidRPr="0024327D">
        <w:rPr>
          <w:lang w:val="uk-UA"/>
        </w:rPr>
        <w:t>).</w:t>
      </w:r>
    </w:p>
    <w:p w14:paraId="36147488" w14:textId="470695B9" w:rsidR="00344B21" w:rsidRPr="0024327D" w:rsidRDefault="00827046" w:rsidP="002B681C">
      <w:pPr>
        <w:keepNext/>
        <w:keepLines/>
        <w:suppressAutoHyphens/>
        <w:rPr>
          <w:b/>
          <w:color w:val="000000"/>
          <w:lang w:val="uk-UA" w:eastAsia="uk-UA"/>
        </w:rPr>
      </w:pPr>
      <w:r w:rsidRPr="0024327D">
        <w:rPr>
          <w:b/>
          <w:color w:val="000000"/>
          <w:lang w:val="uk-UA" w:eastAsia="uk-UA"/>
        </w:rPr>
        <w:t>Капіталізація</w:t>
      </w:r>
    </w:p>
    <w:p w14:paraId="66EE42F3" w14:textId="621D974D" w:rsidR="00827046" w:rsidRPr="0024327D" w:rsidRDefault="00827046" w:rsidP="00501D25">
      <w:pPr>
        <w:suppressAutoHyphens/>
        <w:rPr>
          <w:color w:val="000000"/>
          <w:lang w:val="uk-UA" w:eastAsia="uk-UA"/>
        </w:rPr>
      </w:pPr>
      <w:r w:rsidRPr="0024327D">
        <w:rPr>
          <w:color w:val="000000"/>
          <w:lang w:val="uk-UA" w:eastAsia="uk-UA"/>
        </w:rPr>
        <w:t>Компанії, створені для сек'юритизації</w:t>
      </w:r>
      <w:r w:rsidR="00B90888" w:rsidRPr="0024327D">
        <w:rPr>
          <w:color w:val="000000"/>
          <w:lang w:val="uk-UA" w:eastAsia="uk-UA"/>
        </w:rPr>
        <w:t>,</w:t>
      </w:r>
      <w:r w:rsidRPr="0024327D">
        <w:rPr>
          <w:color w:val="000000"/>
          <w:lang w:val="uk-UA" w:eastAsia="uk-UA"/>
        </w:rPr>
        <w:t xml:space="preserve"> в інших країнах, як правило, мають незначний капітал. В Україні це на сьогодні проблематично. </w:t>
      </w:r>
      <w:r w:rsidR="00E947C4" w:rsidRPr="0024327D">
        <w:rPr>
          <w:color w:val="000000"/>
          <w:lang w:val="uk-UA" w:eastAsia="uk-UA"/>
        </w:rPr>
        <w:t xml:space="preserve">За Законом </w:t>
      </w:r>
      <w:r w:rsidR="006A1E18" w:rsidRPr="0024327D">
        <w:rPr>
          <w:color w:val="000000"/>
          <w:lang w:val="uk-UA" w:eastAsia="uk-UA"/>
        </w:rPr>
        <w:t>п</w:t>
      </w:r>
      <w:r w:rsidR="0085658B" w:rsidRPr="0024327D">
        <w:rPr>
          <w:color w:val="000000"/>
          <w:lang w:val="uk-UA" w:eastAsia="uk-UA"/>
        </w:rPr>
        <w:t xml:space="preserve">ро </w:t>
      </w:r>
      <w:r w:rsidR="00E343B6" w:rsidRPr="0024327D">
        <w:rPr>
          <w:color w:val="000000"/>
          <w:lang w:val="uk-UA" w:eastAsia="uk-UA"/>
        </w:rPr>
        <w:t>ринки капіталу</w:t>
      </w:r>
      <w:r w:rsidRPr="0024327D">
        <w:rPr>
          <w:color w:val="000000"/>
          <w:lang w:val="uk-UA" w:eastAsia="uk-UA"/>
        </w:rPr>
        <w:t xml:space="preserve"> </w:t>
      </w:r>
      <w:r w:rsidR="005F1BA0" w:rsidRPr="0024327D">
        <w:rPr>
          <w:color w:val="000000"/>
          <w:lang w:val="uk-UA" w:eastAsia="uk-UA"/>
        </w:rPr>
        <w:t xml:space="preserve">юридична особа </w:t>
      </w:r>
      <w:r w:rsidRPr="0024327D">
        <w:rPr>
          <w:color w:val="000000"/>
          <w:lang w:val="uk-UA" w:eastAsia="uk-UA"/>
        </w:rPr>
        <w:t xml:space="preserve">може випускати </w:t>
      </w:r>
      <w:r w:rsidR="00253A4B" w:rsidRPr="0024327D">
        <w:rPr>
          <w:color w:val="000000"/>
          <w:lang w:val="uk-UA" w:eastAsia="uk-UA"/>
        </w:rPr>
        <w:t xml:space="preserve">відсоткові або дисконтні </w:t>
      </w:r>
      <w:r w:rsidRPr="0024327D">
        <w:rPr>
          <w:color w:val="000000"/>
          <w:lang w:val="uk-UA" w:eastAsia="uk-UA"/>
        </w:rPr>
        <w:t xml:space="preserve">корпоративні облігації на основну суму, що </w:t>
      </w:r>
      <w:r w:rsidR="005F1BA0" w:rsidRPr="0024327D">
        <w:rPr>
          <w:color w:val="000000"/>
          <w:lang w:val="uk-UA" w:eastAsia="uk-UA"/>
        </w:rPr>
        <w:t xml:space="preserve">не перевищує трикратного розміру її власного капіталу або розміру забезпечення, що надається їй з цією метою третіми особами </w:t>
      </w:r>
      <w:r w:rsidRPr="0024327D">
        <w:rPr>
          <w:color w:val="000000"/>
          <w:lang w:val="uk-UA" w:eastAsia="uk-UA"/>
        </w:rPr>
        <w:t>(</w:t>
      </w:r>
      <w:r w:rsidR="007E1CD6" w:rsidRPr="0024327D">
        <w:rPr>
          <w:color w:val="000000"/>
          <w:lang w:val="uk-UA" w:eastAsia="uk-UA"/>
        </w:rPr>
        <w:t xml:space="preserve">інструментів </w:t>
      </w:r>
      <w:r w:rsidRPr="0024327D">
        <w:rPr>
          <w:color w:val="000000"/>
          <w:lang w:val="uk-UA" w:eastAsia="uk-UA"/>
        </w:rPr>
        <w:t xml:space="preserve">зниження кредитного ризику). </w:t>
      </w:r>
      <w:r w:rsidR="00253A4B" w:rsidRPr="0024327D">
        <w:rPr>
          <w:color w:val="000000"/>
          <w:lang w:val="uk-UA" w:eastAsia="uk-UA"/>
        </w:rPr>
        <w:t xml:space="preserve">Важливо забезпечити, що це правило не застосовується до </w:t>
      </w:r>
      <w:r w:rsidR="00F35490" w:rsidRPr="0024327D">
        <w:rPr>
          <w:color w:val="000000"/>
          <w:lang w:val="uk-UA" w:eastAsia="uk-UA"/>
        </w:rPr>
        <w:t>облігацій, що випускаються в рамках структури сек’юритизації.</w:t>
      </w:r>
    </w:p>
    <w:p w14:paraId="7E05C36E" w14:textId="117E783B" w:rsidR="00344B21" w:rsidRPr="0024327D" w:rsidRDefault="00E947C4" w:rsidP="000D3811">
      <w:pPr>
        <w:keepNext/>
        <w:keepLines/>
        <w:rPr>
          <w:b/>
          <w:lang w:val="uk-UA"/>
        </w:rPr>
      </w:pPr>
      <w:r w:rsidRPr="0024327D">
        <w:rPr>
          <w:b/>
          <w:lang w:val="uk-UA"/>
        </w:rPr>
        <w:t>Функціональна незалежність та захист від банкрутства</w:t>
      </w:r>
    </w:p>
    <w:p w14:paraId="3E274B99" w14:textId="49F73248" w:rsidR="00C61BB4" w:rsidRPr="0024327D" w:rsidRDefault="00E947C4" w:rsidP="000D3811">
      <w:pPr>
        <w:keepNext/>
        <w:keepLines/>
        <w:spacing w:before="0" w:after="0"/>
        <w:rPr>
          <w:lang w:val="uk-UA"/>
        </w:rPr>
      </w:pPr>
      <w:r w:rsidRPr="0024327D">
        <w:rPr>
          <w:lang w:val="uk-UA"/>
        </w:rPr>
        <w:t xml:space="preserve">Компанії спеціального призначення зазвичай </w:t>
      </w:r>
      <w:r w:rsidR="00655725" w:rsidRPr="0024327D">
        <w:rPr>
          <w:lang w:val="uk-UA"/>
        </w:rPr>
        <w:t>створюються</w:t>
      </w:r>
      <w:r w:rsidRPr="0024327D">
        <w:rPr>
          <w:lang w:val="uk-UA"/>
        </w:rPr>
        <w:t xml:space="preserve"> </w:t>
      </w:r>
      <w:r w:rsidR="00431579" w:rsidRPr="0024327D">
        <w:rPr>
          <w:lang w:val="uk-UA"/>
        </w:rPr>
        <w:t>для потреб оригінатора</w:t>
      </w:r>
      <w:r w:rsidRPr="0024327D">
        <w:rPr>
          <w:lang w:val="uk-UA"/>
        </w:rPr>
        <w:t xml:space="preserve"> професійними радниками оригінатора. Вони створюються як компанії</w:t>
      </w:r>
      <w:r w:rsidR="00655725" w:rsidRPr="0024327D">
        <w:rPr>
          <w:lang w:val="uk-UA"/>
        </w:rPr>
        <w:t>, що належать трасту (</w:t>
      </w:r>
      <w:r w:rsidR="00655725" w:rsidRPr="0024327D">
        <w:rPr>
          <w:i/>
          <w:iCs/>
          <w:lang w:val="uk-UA"/>
        </w:rPr>
        <w:t>orphan company</w:t>
      </w:r>
      <w:r w:rsidR="00655725" w:rsidRPr="0024327D">
        <w:rPr>
          <w:lang w:val="uk-UA"/>
        </w:rPr>
        <w:t>)</w:t>
      </w:r>
      <w:r w:rsidRPr="0024327D">
        <w:rPr>
          <w:lang w:val="uk-UA"/>
        </w:rPr>
        <w:t xml:space="preserve"> (тобто їх власний капітал, як правило, </w:t>
      </w:r>
      <w:r w:rsidR="00655725" w:rsidRPr="0024327D">
        <w:rPr>
          <w:lang w:val="uk-UA"/>
        </w:rPr>
        <w:t>знаходиться під довірчим управлінням номінальної компанії-довірчого управителя</w:t>
      </w:r>
      <w:r w:rsidRPr="0024327D">
        <w:rPr>
          <w:lang w:val="uk-UA"/>
        </w:rPr>
        <w:t>)</w:t>
      </w:r>
      <w:r w:rsidR="00FD77AF" w:rsidRPr="0024327D">
        <w:rPr>
          <w:lang w:val="uk-UA"/>
        </w:rPr>
        <w:t>, і за управлінською компанією закріпл</w:t>
      </w:r>
      <w:r w:rsidR="00B90888" w:rsidRPr="0024327D">
        <w:rPr>
          <w:lang w:val="uk-UA"/>
        </w:rPr>
        <w:t xml:space="preserve">юються </w:t>
      </w:r>
      <w:r w:rsidR="00FD77AF" w:rsidRPr="0024327D">
        <w:rPr>
          <w:lang w:val="uk-UA"/>
        </w:rPr>
        <w:t>професійні директор</w:t>
      </w:r>
      <w:r w:rsidR="0064644C" w:rsidRPr="0024327D">
        <w:rPr>
          <w:lang w:val="uk-UA"/>
        </w:rPr>
        <w:t>и</w:t>
      </w:r>
      <w:r w:rsidR="00FD77AF" w:rsidRPr="0024327D">
        <w:rPr>
          <w:lang w:val="uk-UA"/>
        </w:rPr>
        <w:t>, щоб забезпечити незалежність від оригінатора;</w:t>
      </w:r>
      <w:r w:rsidRPr="0024327D">
        <w:rPr>
          <w:lang w:val="uk-UA"/>
        </w:rPr>
        <w:t xml:space="preserve"> українськ</w:t>
      </w:r>
      <w:r w:rsidR="00FD77AF" w:rsidRPr="0024327D">
        <w:rPr>
          <w:lang w:val="uk-UA"/>
        </w:rPr>
        <w:t>им</w:t>
      </w:r>
      <w:r w:rsidRPr="0024327D">
        <w:rPr>
          <w:lang w:val="uk-UA"/>
        </w:rPr>
        <w:t xml:space="preserve"> законодавство</w:t>
      </w:r>
      <w:r w:rsidR="00FD77AF" w:rsidRPr="0024327D">
        <w:rPr>
          <w:lang w:val="uk-UA"/>
        </w:rPr>
        <w:t>м</w:t>
      </w:r>
      <w:r w:rsidRPr="0024327D">
        <w:rPr>
          <w:lang w:val="uk-UA"/>
        </w:rPr>
        <w:t xml:space="preserve"> не передбач</w:t>
      </w:r>
      <w:r w:rsidR="00FD77AF" w:rsidRPr="0024327D">
        <w:rPr>
          <w:lang w:val="uk-UA"/>
        </w:rPr>
        <w:t xml:space="preserve">ена </w:t>
      </w:r>
      <w:r w:rsidRPr="0024327D">
        <w:rPr>
          <w:lang w:val="uk-UA"/>
        </w:rPr>
        <w:t>юридичн</w:t>
      </w:r>
      <w:r w:rsidR="00FD77AF" w:rsidRPr="0024327D">
        <w:rPr>
          <w:lang w:val="uk-UA"/>
        </w:rPr>
        <w:t>а особа, що мала б усі такі</w:t>
      </w:r>
      <w:r w:rsidRPr="0024327D">
        <w:rPr>
          <w:lang w:val="uk-UA"/>
        </w:rPr>
        <w:t xml:space="preserve"> особливості. Засновник української компанії, як правило, має широкі права </w:t>
      </w:r>
      <w:r w:rsidR="00FD77AF" w:rsidRPr="0024327D">
        <w:rPr>
          <w:lang w:val="uk-UA"/>
        </w:rPr>
        <w:t xml:space="preserve">на управління </w:t>
      </w:r>
      <w:r w:rsidR="00726DBB" w:rsidRPr="0024327D">
        <w:rPr>
          <w:lang w:val="uk-UA"/>
        </w:rPr>
        <w:t xml:space="preserve">нею </w:t>
      </w:r>
      <w:r w:rsidRPr="0024327D">
        <w:rPr>
          <w:lang w:val="uk-UA"/>
        </w:rPr>
        <w:t xml:space="preserve">і, зокрема, </w:t>
      </w:r>
      <w:r w:rsidR="00FD77AF" w:rsidRPr="0024327D">
        <w:rPr>
          <w:lang w:val="uk-UA"/>
        </w:rPr>
        <w:t>право на внесення змін до статуту компанії у разі</w:t>
      </w:r>
      <w:r w:rsidRPr="0024327D">
        <w:rPr>
          <w:lang w:val="uk-UA"/>
        </w:rPr>
        <w:t xml:space="preserve"> необхідно</w:t>
      </w:r>
      <w:r w:rsidR="00FD77AF" w:rsidRPr="0024327D">
        <w:rPr>
          <w:lang w:val="uk-UA"/>
        </w:rPr>
        <w:t xml:space="preserve">сті, </w:t>
      </w:r>
      <w:r w:rsidR="001E3743" w:rsidRPr="0024327D">
        <w:rPr>
          <w:lang w:val="uk-UA"/>
        </w:rPr>
        <w:t xml:space="preserve">а при </w:t>
      </w:r>
      <w:r w:rsidRPr="0024327D">
        <w:rPr>
          <w:lang w:val="uk-UA"/>
        </w:rPr>
        <w:t>банкрутств</w:t>
      </w:r>
      <w:r w:rsidR="001E3743" w:rsidRPr="0024327D">
        <w:rPr>
          <w:lang w:val="uk-UA"/>
        </w:rPr>
        <w:t>і</w:t>
      </w:r>
      <w:r w:rsidRPr="0024327D">
        <w:rPr>
          <w:lang w:val="uk-UA"/>
        </w:rPr>
        <w:t xml:space="preserve"> засновника його акці</w:t>
      </w:r>
      <w:r w:rsidR="00FD77AF" w:rsidRPr="0024327D">
        <w:rPr>
          <w:lang w:val="uk-UA"/>
        </w:rPr>
        <w:t xml:space="preserve">ї (частки участі) </w:t>
      </w:r>
      <w:r w:rsidRPr="0024327D">
        <w:rPr>
          <w:lang w:val="uk-UA"/>
        </w:rPr>
        <w:t xml:space="preserve">в компанії </w:t>
      </w:r>
      <w:r w:rsidR="00726DBB" w:rsidRPr="0024327D">
        <w:rPr>
          <w:lang w:val="uk-UA"/>
        </w:rPr>
        <w:t xml:space="preserve">включаються до </w:t>
      </w:r>
      <w:r w:rsidRPr="0024327D">
        <w:rPr>
          <w:lang w:val="uk-UA"/>
        </w:rPr>
        <w:t>ліквідаційно</w:t>
      </w:r>
      <w:r w:rsidR="00726DBB" w:rsidRPr="0024327D">
        <w:rPr>
          <w:lang w:val="uk-UA"/>
        </w:rPr>
        <w:t>ї</w:t>
      </w:r>
      <w:r w:rsidR="00FD77AF" w:rsidRPr="0024327D">
        <w:rPr>
          <w:lang w:val="uk-UA"/>
        </w:rPr>
        <w:t xml:space="preserve"> мас</w:t>
      </w:r>
      <w:r w:rsidR="00726DBB" w:rsidRPr="0024327D">
        <w:rPr>
          <w:lang w:val="uk-UA"/>
        </w:rPr>
        <w:t>и</w:t>
      </w:r>
      <w:r w:rsidRPr="0024327D">
        <w:rPr>
          <w:lang w:val="uk-UA"/>
        </w:rPr>
        <w:t xml:space="preserve"> засновника. </w:t>
      </w:r>
      <w:r w:rsidR="00FD77AF" w:rsidRPr="0024327D">
        <w:rPr>
          <w:lang w:val="uk-UA"/>
        </w:rPr>
        <w:t xml:space="preserve">Таким чином </w:t>
      </w:r>
      <w:r w:rsidR="001E3743" w:rsidRPr="0024327D">
        <w:rPr>
          <w:lang w:val="uk-UA"/>
        </w:rPr>
        <w:t>необхідн</w:t>
      </w:r>
      <w:r w:rsidR="00227259" w:rsidRPr="0024327D">
        <w:rPr>
          <w:lang w:val="uk-UA"/>
        </w:rPr>
        <w:t>их</w:t>
      </w:r>
      <w:r w:rsidR="001E3743" w:rsidRPr="0024327D">
        <w:rPr>
          <w:lang w:val="uk-UA"/>
        </w:rPr>
        <w:t xml:space="preserve"> для сек'юритизації </w:t>
      </w:r>
      <w:r w:rsidR="00FD77AF" w:rsidRPr="0024327D">
        <w:rPr>
          <w:lang w:val="uk-UA"/>
        </w:rPr>
        <w:t>функціональн</w:t>
      </w:r>
      <w:r w:rsidR="00227259" w:rsidRPr="0024327D">
        <w:rPr>
          <w:lang w:val="uk-UA"/>
        </w:rPr>
        <w:t>ої</w:t>
      </w:r>
      <w:r w:rsidR="00FD77AF" w:rsidRPr="0024327D">
        <w:rPr>
          <w:lang w:val="uk-UA"/>
        </w:rPr>
        <w:t xml:space="preserve"> незалежн</w:t>
      </w:r>
      <w:r w:rsidR="00227259" w:rsidRPr="0024327D">
        <w:rPr>
          <w:lang w:val="uk-UA"/>
        </w:rPr>
        <w:t>ості</w:t>
      </w:r>
      <w:r w:rsidR="00FD77AF" w:rsidRPr="0024327D">
        <w:rPr>
          <w:lang w:val="uk-UA"/>
        </w:rPr>
        <w:t xml:space="preserve"> та захист</w:t>
      </w:r>
      <w:r w:rsidR="00227259" w:rsidRPr="0024327D">
        <w:rPr>
          <w:lang w:val="uk-UA"/>
        </w:rPr>
        <w:t>у</w:t>
      </w:r>
      <w:r w:rsidR="00FD77AF" w:rsidRPr="0024327D">
        <w:rPr>
          <w:lang w:val="uk-UA"/>
        </w:rPr>
        <w:t xml:space="preserve"> </w:t>
      </w:r>
      <w:r w:rsidRPr="0024327D">
        <w:rPr>
          <w:lang w:val="uk-UA"/>
        </w:rPr>
        <w:t>від банкрутства</w:t>
      </w:r>
      <w:r w:rsidR="00227259" w:rsidRPr="0024327D">
        <w:rPr>
          <w:lang w:val="uk-UA"/>
        </w:rPr>
        <w:t xml:space="preserve"> досягнути неможливо</w:t>
      </w:r>
      <w:r w:rsidR="00FF21E5" w:rsidRPr="0024327D">
        <w:rPr>
          <w:lang w:val="uk-UA"/>
        </w:rPr>
        <w:t xml:space="preserve"> без внесення відповідних змін до законодавства про банкрутство</w:t>
      </w:r>
      <w:r w:rsidRPr="0024327D">
        <w:rPr>
          <w:lang w:val="uk-UA"/>
        </w:rPr>
        <w:t>.</w:t>
      </w:r>
    </w:p>
    <w:p w14:paraId="048BF125" w14:textId="6B6E3078" w:rsidR="00344B21" w:rsidRPr="0024327D" w:rsidRDefault="00FD77AF" w:rsidP="00501D25">
      <w:pPr>
        <w:rPr>
          <w:b/>
          <w:lang w:val="uk-UA"/>
        </w:rPr>
      </w:pPr>
      <w:r w:rsidRPr="0024327D">
        <w:rPr>
          <w:b/>
          <w:lang w:val="uk-UA"/>
        </w:rPr>
        <w:t>Вимоги до ліцензування та нормативні вимоги</w:t>
      </w:r>
    </w:p>
    <w:p w14:paraId="15EC508A" w14:textId="435C585F" w:rsidR="00FD77AF" w:rsidRPr="0024327D" w:rsidRDefault="00FD77AF" w:rsidP="00FD77AF">
      <w:pPr>
        <w:rPr>
          <w:lang w:val="uk-UA"/>
        </w:rPr>
      </w:pPr>
      <w:r w:rsidRPr="0024327D">
        <w:rPr>
          <w:lang w:val="uk-UA"/>
        </w:rPr>
        <w:t xml:space="preserve">У багатьох випадках українське законодавство та судова практика </w:t>
      </w:r>
      <w:r w:rsidR="0080409D" w:rsidRPr="0024327D">
        <w:rPr>
          <w:lang w:val="uk-UA"/>
        </w:rPr>
        <w:t xml:space="preserve">щодо продажу (відступлення) дебіторської заборгованості </w:t>
      </w:r>
      <w:r w:rsidR="00AD225C" w:rsidRPr="0024327D">
        <w:rPr>
          <w:lang w:val="uk-UA"/>
        </w:rPr>
        <w:t>залишаються</w:t>
      </w:r>
      <w:r w:rsidR="005D7F3E" w:rsidRPr="0024327D">
        <w:rPr>
          <w:lang w:val="uk-UA"/>
        </w:rPr>
        <w:t xml:space="preserve"> заплутаними</w:t>
      </w:r>
      <w:r w:rsidRPr="0024327D">
        <w:rPr>
          <w:lang w:val="uk-UA"/>
        </w:rPr>
        <w:t>. Ключов</w:t>
      </w:r>
      <w:r w:rsidR="00AD225C" w:rsidRPr="0024327D">
        <w:rPr>
          <w:lang w:val="uk-UA"/>
        </w:rPr>
        <w:t>е</w:t>
      </w:r>
      <w:r w:rsidRPr="0024327D">
        <w:rPr>
          <w:lang w:val="uk-UA"/>
        </w:rPr>
        <w:t xml:space="preserve"> питання </w:t>
      </w:r>
      <w:r w:rsidR="00AD225C" w:rsidRPr="0024327D">
        <w:rPr>
          <w:lang w:val="uk-UA"/>
        </w:rPr>
        <w:t>полягає у тому</w:t>
      </w:r>
      <w:r w:rsidRPr="0024327D">
        <w:rPr>
          <w:lang w:val="uk-UA"/>
        </w:rPr>
        <w:t xml:space="preserve">, чи можна </w:t>
      </w:r>
      <w:r w:rsidR="00AD225C" w:rsidRPr="0024327D">
        <w:rPr>
          <w:lang w:val="uk-UA"/>
        </w:rPr>
        <w:t xml:space="preserve">вважати таку передачу </w:t>
      </w:r>
      <w:r w:rsidRPr="0024327D">
        <w:rPr>
          <w:lang w:val="uk-UA"/>
        </w:rPr>
        <w:t>фінансовою послугою (а саме факторингом), оскільки українське законодавство дозволяє нада</w:t>
      </w:r>
      <w:r w:rsidR="00AD225C" w:rsidRPr="0024327D">
        <w:rPr>
          <w:lang w:val="uk-UA"/>
        </w:rPr>
        <w:t xml:space="preserve">ння </w:t>
      </w:r>
      <w:r w:rsidRPr="0024327D">
        <w:rPr>
          <w:lang w:val="uk-UA"/>
        </w:rPr>
        <w:t>фінансов</w:t>
      </w:r>
      <w:r w:rsidR="00AD225C" w:rsidRPr="0024327D">
        <w:rPr>
          <w:lang w:val="uk-UA"/>
        </w:rPr>
        <w:t>их</w:t>
      </w:r>
      <w:r w:rsidRPr="0024327D">
        <w:rPr>
          <w:lang w:val="uk-UA"/>
        </w:rPr>
        <w:t xml:space="preserve"> послуг лише банками чи іншими фінансовими установами</w:t>
      </w:r>
      <w:r w:rsidR="00AD225C" w:rsidRPr="0024327D">
        <w:rPr>
          <w:lang w:val="uk-UA"/>
        </w:rPr>
        <w:t>.</w:t>
      </w:r>
    </w:p>
    <w:p w14:paraId="58F9DAB9" w14:textId="4DB921DB" w:rsidR="00DA30CD" w:rsidRPr="0024327D" w:rsidRDefault="001E3743" w:rsidP="00501D25">
      <w:pPr>
        <w:rPr>
          <w:lang w:val="uk-UA"/>
        </w:rPr>
      </w:pPr>
      <w:r w:rsidRPr="0024327D">
        <w:rPr>
          <w:lang w:val="uk-UA"/>
        </w:rPr>
        <w:t xml:space="preserve">У випадках, </w:t>
      </w:r>
      <w:r w:rsidR="00FB20E8" w:rsidRPr="0024327D">
        <w:rPr>
          <w:lang w:val="uk-UA"/>
        </w:rPr>
        <w:t xml:space="preserve">якщо </w:t>
      </w:r>
      <w:r w:rsidR="00AD225C" w:rsidRPr="0024327D">
        <w:rPr>
          <w:lang w:val="uk-UA"/>
        </w:rPr>
        <w:t xml:space="preserve">передача активів </w:t>
      </w:r>
      <w:r w:rsidR="00FB20E8" w:rsidRPr="0024327D">
        <w:rPr>
          <w:lang w:val="uk-UA"/>
        </w:rPr>
        <w:t xml:space="preserve">буде </w:t>
      </w:r>
      <w:r w:rsidR="00AD225C" w:rsidRPr="0024327D">
        <w:rPr>
          <w:lang w:val="uk-UA"/>
        </w:rPr>
        <w:t>регулю</w:t>
      </w:r>
      <w:r w:rsidR="00FB20E8" w:rsidRPr="0024327D">
        <w:rPr>
          <w:lang w:val="uk-UA"/>
        </w:rPr>
        <w:t>ватися</w:t>
      </w:r>
      <w:r w:rsidR="00AD225C" w:rsidRPr="0024327D">
        <w:rPr>
          <w:lang w:val="uk-UA"/>
        </w:rPr>
        <w:t xml:space="preserve"> правилами факторингу, українське законодавство вимагає, щоб </w:t>
      </w:r>
      <w:r w:rsidR="005D7F3E" w:rsidRPr="0024327D">
        <w:rPr>
          <w:lang w:val="uk-UA"/>
        </w:rPr>
        <w:t>к</w:t>
      </w:r>
      <w:r w:rsidR="00AD225C" w:rsidRPr="0024327D">
        <w:rPr>
          <w:lang w:val="uk-UA"/>
        </w:rPr>
        <w:t>омпанія спеціального призначення була зареєстрована як фінансова установа та мала ліцензію на здійснення факторингових операцій. Це, у свою чергу, вимагає, щоб власний капітал становив не менше 3 мільйонів гривень</w:t>
      </w:r>
      <w:r w:rsidR="00EE0820" w:rsidRPr="0024327D">
        <w:rPr>
          <w:lang w:val="uk-UA"/>
        </w:rPr>
        <w:t xml:space="preserve"> </w:t>
      </w:r>
      <w:r w:rsidR="00AD225C" w:rsidRPr="0024327D">
        <w:rPr>
          <w:lang w:val="uk-UA"/>
        </w:rPr>
        <w:t xml:space="preserve">(що на дату підготовки цього документу становить близько </w:t>
      </w:r>
      <w:r w:rsidR="00A30F66" w:rsidRPr="0024327D">
        <w:rPr>
          <w:lang w:val="uk-UA"/>
        </w:rPr>
        <w:t>83</w:t>
      </w:r>
      <w:r w:rsidR="00AD225C" w:rsidRPr="0024327D">
        <w:rPr>
          <w:lang w:val="uk-UA"/>
        </w:rPr>
        <w:t xml:space="preserve"> тисяч євро), затвердження регулятором прямих, непрямих та бенефіціарних власників і дотримання </w:t>
      </w:r>
      <w:r w:rsidRPr="0024327D">
        <w:rPr>
          <w:lang w:val="uk-UA"/>
        </w:rPr>
        <w:t>певних</w:t>
      </w:r>
      <w:r w:rsidR="00AD225C" w:rsidRPr="0024327D">
        <w:rPr>
          <w:lang w:val="uk-UA"/>
        </w:rPr>
        <w:t xml:space="preserve"> інших вимог, </w:t>
      </w:r>
      <w:r w:rsidR="00E96B32" w:rsidRPr="0024327D">
        <w:rPr>
          <w:lang w:val="uk-UA"/>
        </w:rPr>
        <w:t xml:space="preserve">що зазвичай не висуваються до </w:t>
      </w:r>
      <w:r w:rsidR="00D109F9" w:rsidRPr="0024327D">
        <w:rPr>
          <w:lang w:val="uk-UA"/>
        </w:rPr>
        <w:t>к</w:t>
      </w:r>
      <w:r w:rsidR="00E96B32" w:rsidRPr="0024327D">
        <w:rPr>
          <w:lang w:val="uk-UA"/>
        </w:rPr>
        <w:t>омпані</w:t>
      </w:r>
      <w:r w:rsidR="00D109F9" w:rsidRPr="0024327D">
        <w:rPr>
          <w:lang w:val="uk-UA"/>
        </w:rPr>
        <w:t>й</w:t>
      </w:r>
      <w:r w:rsidR="00E96B32" w:rsidRPr="0024327D">
        <w:rPr>
          <w:lang w:val="uk-UA"/>
        </w:rPr>
        <w:t xml:space="preserve"> спеціального призначення, як</w:t>
      </w:r>
      <w:r w:rsidR="00D109F9" w:rsidRPr="0024327D">
        <w:rPr>
          <w:lang w:val="uk-UA"/>
        </w:rPr>
        <w:t>і</w:t>
      </w:r>
      <w:r w:rsidR="00E96B32" w:rsidRPr="0024327D">
        <w:rPr>
          <w:lang w:val="uk-UA"/>
        </w:rPr>
        <w:t xml:space="preserve"> слугу</w:t>
      </w:r>
      <w:r w:rsidR="00D109F9" w:rsidRPr="0024327D">
        <w:rPr>
          <w:lang w:val="uk-UA"/>
        </w:rPr>
        <w:t>ють</w:t>
      </w:r>
      <w:r w:rsidR="00E96B32" w:rsidRPr="0024327D">
        <w:rPr>
          <w:lang w:val="uk-UA"/>
        </w:rPr>
        <w:t xml:space="preserve"> обмеженим цілям</w:t>
      </w:r>
      <w:r w:rsidR="00AD225C" w:rsidRPr="0024327D">
        <w:rPr>
          <w:lang w:val="uk-UA"/>
        </w:rPr>
        <w:t>. Закон про іпотечні облігації передбачає, що спеціалізована іпотечна установа (</w:t>
      </w:r>
      <w:r w:rsidR="00562BD4" w:rsidRPr="0024327D">
        <w:rPr>
          <w:lang w:val="uk-UA"/>
        </w:rPr>
        <w:t xml:space="preserve">аналог </w:t>
      </w:r>
      <w:r w:rsidR="00CE3FA8" w:rsidRPr="0024327D">
        <w:rPr>
          <w:lang w:val="uk-UA"/>
        </w:rPr>
        <w:t>к</w:t>
      </w:r>
      <w:r w:rsidR="00E96B32" w:rsidRPr="0024327D">
        <w:rPr>
          <w:lang w:val="uk-UA"/>
        </w:rPr>
        <w:t>омпані</w:t>
      </w:r>
      <w:r w:rsidR="00CE3FA8" w:rsidRPr="0024327D">
        <w:rPr>
          <w:lang w:val="uk-UA"/>
        </w:rPr>
        <w:t>ї</w:t>
      </w:r>
      <w:r w:rsidR="00E96B32" w:rsidRPr="0024327D">
        <w:rPr>
          <w:lang w:val="uk-UA"/>
        </w:rPr>
        <w:t xml:space="preserve"> спеціального призначення</w:t>
      </w:r>
      <w:r w:rsidR="00AD225C" w:rsidRPr="0024327D">
        <w:rPr>
          <w:lang w:val="uk-UA"/>
        </w:rPr>
        <w:t xml:space="preserve">) звільняється від </w:t>
      </w:r>
      <w:r w:rsidR="00E96B32" w:rsidRPr="0024327D">
        <w:rPr>
          <w:lang w:val="uk-UA"/>
        </w:rPr>
        <w:t xml:space="preserve">необхідності дотримання </w:t>
      </w:r>
      <w:r w:rsidR="00AD225C" w:rsidRPr="0024327D">
        <w:rPr>
          <w:lang w:val="uk-UA"/>
        </w:rPr>
        <w:t>певних</w:t>
      </w:r>
      <w:r w:rsidRPr="0024327D">
        <w:rPr>
          <w:lang w:val="uk-UA"/>
        </w:rPr>
        <w:t xml:space="preserve"> вимог</w:t>
      </w:r>
      <w:r w:rsidR="00E96B32" w:rsidRPr="0024327D">
        <w:rPr>
          <w:lang w:val="uk-UA"/>
        </w:rPr>
        <w:t>, але не всіх</w:t>
      </w:r>
      <w:r w:rsidR="00AD225C" w:rsidRPr="0024327D">
        <w:rPr>
          <w:lang w:val="uk-UA"/>
        </w:rPr>
        <w:t>. Зокрема, Закон про іпотечні облігації вимагає</w:t>
      </w:r>
      <w:r w:rsidR="00E96B32" w:rsidRPr="0024327D">
        <w:rPr>
          <w:lang w:val="uk-UA"/>
        </w:rPr>
        <w:t xml:space="preserve">, щоб </w:t>
      </w:r>
      <w:r w:rsidR="00CE3FA8" w:rsidRPr="0024327D">
        <w:rPr>
          <w:lang w:val="uk-UA"/>
        </w:rPr>
        <w:t xml:space="preserve">така юридична особа </w:t>
      </w:r>
      <w:r w:rsidR="00E96B32" w:rsidRPr="0024327D">
        <w:rPr>
          <w:lang w:val="uk-UA"/>
        </w:rPr>
        <w:t>бу</w:t>
      </w:r>
      <w:r w:rsidR="00CE3FA8" w:rsidRPr="0024327D">
        <w:rPr>
          <w:lang w:val="uk-UA"/>
        </w:rPr>
        <w:t>ла</w:t>
      </w:r>
      <w:r w:rsidR="00E96B32" w:rsidRPr="0024327D">
        <w:rPr>
          <w:lang w:val="uk-UA"/>
        </w:rPr>
        <w:t xml:space="preserve"> зареєстрован</w:t>
      </w:r>
      <w:r w:rsidR="00CE3FA8" w:rsidRPr="0024327D">
        <w:rPr>
          <w:lang w:val="uk-UA"/>
        </w:rPr>
        <w:t>а</w:t>
      </w:r>
      <w:r w:rsidR="00E96B32" w:rsidRPr="0024327D">
        <w:rPr>
          <w:lang w:val="uk-UA"/>
        </w:rPr>
        <w:t xml:space="preserve"> як фінансова установа</w:t>
      </w:r>
      <w:r w:rsidR="00EF240C" w:rsidRPr="0024327D">
        <w:rPr>
          <w:lang w:val="uk-UA"/>
        </w:rPr>
        <w:t>.</w:t>
      </w:r>
      <w:r w:rsidR="004E3BA5" w:rsidRPr="0024327D">
        <w:rPr>
          <w:lang w:val="uk-UA"/>
        </w:rPr>
        <w:t xml:space="preserve"> Відповідні положення законодавства повинні бути скориговані.</w:t>
      </w:r>
    </w:p>
    <w:p w14:paraId="0448C221" w14:textId="026F6825" w:rsidR="001D55E0" w:rsidRPr="0024327D" w:rsidRDefault="00E96B32" w:rsidP="00E96B32">
      <w:pPr>
        <w:pStyle w:val="3"/>
        <w:ind w:left="864"/>
        <w:rPr>
          <w:lang w:val="uk-UA"/>
        </w:rPr>
      </w:pPr>
      <w:bookmarkStart w:id="83" w:name="_Toc6942251"/>
      <w:bookmarkStart w:id="84" w:name="_Toc5081039"/>
      <w:bookmarkStart w:id="85" w:name="_Toc27153450"/>
      <w:bookmarkStart w:id="86" w:name="_Toc95480995"/>
      <w:r w:rsidRPr="0024327D">
        <w:rPr>
          <w:lang w:val="uk-UA"/>
        </w:rPr>
        <w:lastRenderedPageBreak/>
        <w:t>Передача активів</w:t>
      </w:r>
      <w:bookmarkEnd w:id="83"/>
      <w:bookmarkEnd w:id="84"/>
      <w:bookmarkEnd w:id="85"/>
      <w:bookmarkEnd w:id="86"/>
    </w:p>
    <w:p w14:paraId="67DAB051" w14:textId="66DA07C4" w:rsidR="00E96B32" w:rsidRPr="0024327D" w:rsidRDefault="00E96B32" w:rsidP="00067DE1">
      <w:pPr>
        <w:suppressAutoHyphens/>
        <w:rPr>
          <w:color w:val="000000"/>
          <w:lang w:val="uk-UA" w:eastAsia="uk-UA"/>
        </w:rPr>
      </w:pPr>
      <w:r w:rsidRPr="0024327D">
        <w:rPr>
          <w:color w:val="000000"/>
          <w:lang w:val="uk-UA" w:eastAsia="uk-UA"/>
        </w:rPr>
        <w:t>Українське законодавство передбачає два основних правових механізм</w:t>
      </w:r>
      <w:r w:rsidR="001E3743" w:rsidRPr="0024327D">
        <w:rPr>
          <w:color w:val="000000"/>
          <w:lang w:val="uk-UA" w:eastAsia="uk-UA"/>
        </w:rPr>
        <w:t>и</w:t>
      </w:r>
      <w:r w:rsidRPr="0024327D">
        <w:rPr>
          <w:color w:val="000000"/>
          <w:lang w:val="uk-UA" w:eastAsia="uk-UA"/>
        </w:rPr>
        <w:t xml:space="preserve"> передачі активів: </w:t>
      </w:r>
      <w:r w:rsidRPr="0024327D">
        <w:rPr>
          <w:color w:val="000000"/>
          <w:lang w:val="uk-UA"/>
        </w:rPr>
        <w:t>відступлення</w:t>
      </w:r>
      <w:r w:rsidRPr="0024327D">
        <w:rPr>
          <w:color w:val="000000"/>
          <w:lang w:val="uk-UA" w:eastAsia="uk-UA"/>
        </w:rPr>
        <w:t xml:space="preserve"> дебіторської заборгованості та факторинг. Як зазначалося вище, факторинг не </w:t>
      </w:r>
      <w:r w:rsidR="001E3743" w:rsidRPr="0024327D">
        <w:rPr>
          <w:color w:val="000000"/>
          <w:lang w:val="uk-UA" w:eastAsia="uk-UA"/>
        </w:rPr>
        <w:t>буде</w:t>
      </w:r>
      <w:r w:rsidRPr="0024327D">
        <w:rPr>
          <w:color w:val="000000"/>
          <w:lang w:val="uk-UA" w:eastAsia="uk-UA"/>
        </w:rPr>
        <w:t xml:space="preserve"> </w:t>
      </w:r>
      <w:r w:rsidR="002B204C" w:rsidRPr="0024327D">
        <w:rPr>
          <w:color w:val="000000"/>
          <w:lang w:val="uk-UA" w:eastAsia="uk-UA"/>
        </w:rPr>
        <w:t xml:space="preserve">належним </w:t>
      </w:r>
      <w:r w:rsidRPr="0024327D">
        <w:rPr>
          <w:color w:val="000000"/>
          <w:lang w:val="uk-UA" w:eastAsia="uk-UA"/>
        </w:rPr>
        <w:t>механізмом для передачі активів, оскільки він вважається фінансовою послугою. Для уникнення ризику перекласифікації необхідно</w:t>
      </w:r>
      <w:r w:rsidR="001E3743" w:rsidRPr="0024327D">
        <w:rPr>
          <w:color w:val="000000"/>
          <w:lang w:val="uk-UA" w:eastAsia="uk-UA"/>
        </w:rPr>
        <w:t xml:space="preserve">, щоб </w:t>
      </w:r>
      <w:r w:rsidR="000B39CA" w:rsidRPr="0024327D">
        <w:rPr>
          <w:color w:val="000000"/>
          <w:lang w:val="uk-UA" w:eastAsia="uk-UA"/>
        </w:rPr>
        <w:t xml:space="preserve">застосування норм про факторинг до </w:t>
      </w:r>
      <w:r w:rsidRPr="0024327D">
        <w:rPr>
          <w:color w:val="000000"/>
          <w:lang w:val="uk-UA" w:eastAsia="uk-UA"/>
        </w:rPr>
        <w:t>продаж</w:t>
      </w:r>
      <w:r w:rsidR="000B39CA" w:rsidRPr="0024327D">
        <w:rPr>
          <w:color w:val="000000"/>
          <w:lang w:val="uk-UA" w:eastAsia="uk-UA"/>
        </w:rPr>
        <w:t>у</w:t>
      </w:r>
      <w:r w:rsidRPr="0024327D">
        <w:rPr>
          <w:color w:val="000000"/>
          <w:lang w:val="uk-UA" w:eastAsia="uk-UA"/>
        </w:rPr>
        <w:t xml:space="preserve"> (відступлення) дебіторської заборгованості </w:t>
      </w:r>
      <w:r w:rsidR="002B204C" w:rsidRPr="0024327D">
        <w:rPr>
          <w:color w:val="000000"/>
          <w:lang w:val="uk-UA" w:eastAsia="uk-UA"/>
        </w:rPr>
        <w:t>к</w:t>
      </w:r>
      <w:r w:rsidRPr="0024327D">
        <w:rPr>
          <w:color w:val="000000"/>
          <w:lang w:val="uk-UA" w:eastAsia="uk-UA"/>
        </w:rPr>
        <w:t xml:space="preserve">омпанії спеціального призначення за номінальною вартістю або </w:t>
      </w:r>
      <w:r w:rsidR="002B0AD5" w:rsidRPr="0024327D">
        <w:rPr>
          <w:color w:val="000000"/>
          <w:lang w:val="uk-UA" w:eastAsia="uk-UA"/>
        </w:rPr>
        <w:t>нижче номінальної вартості</w:t>
      </w:r>
      <w:r w:rsidR="002B204C" w:rsidRPr="0024327D">
        <w:rPr>
          <w:color w:val="000000"/>
          <w:lang w:val="uk-UA" w:eastAsia="uk-UA"/>
        </w:rPr>
        <w:t xml:space="preserve"> </w:t>
      </w:r>
      <w:r w:rsidR="001E3743" w:rsidRPr="0024327D">
        <w:rPr>
          <w:color w:val="000000"/>
          <w:lang w:val="uk-UA" w:eastAsia="uk-UA"/>
        </w:rPr>
        <w:t>бул</w:t>
      </w:r>
      <w:r w:rsidR="000B39CA" w:rsidRPr="0024327D">
        <w:rPr>
          <w:color w:val="000000"/>
          <w:lang w:val="uk-UA" w:eastAsia="uk-UA"/>
        </w:rPr>
        <w:t>о</w:t>
      </w:r>
      <w:r w:rsidR="001E3743" w:rsidRPr="0024327D">
        <w:rPr>
          <w:color w:val="000000"/>
          <w:lang w:val="uk-UA" w:eastAsia="uk-UA"/>
        </w:rPr>
        <w:t xml:space="preserve"> </w:t>
      </w:r>
      <w:r w:rsidR="002B204C" w:rsidRPr="0024327D">
        <w:rPr>
          <w:color w:val="000000"/>
          <w:lang w:val="uk-UA" w:eastAsia="uk-UA"/>
        </w:rPr>
        <w:t xml:space="preserve">прямо </w:t>
      </w:r>
      <w:r w:rsidR="000B39CA" w:rsidRPr="0024327D">
        <w:rPr>
          <w:color w:val="000000"/>
          <w:lang w:val="uk-UA" w:eastAsia="uk-UA"/>
        </w:rPr>
        <w:t>виключене</w:t>
      </w:r>
      <w:r w:rsidRPr="0024327D">
        <w:rPr>
          <w:color w:val="000000"/>
          <w:lang w:val="uk-UA" w:eastAsia="uk-UA"/>
        </w:rPr>
        <w:t>.</w:t>
      </w:r>
    </w:p>
    <w:p w14:paraId="764C1412" w14:textId="2271EC0D" w:rsidR="00091A27" w:rsidRPr="0024327D" w:rsidRDefault="00AC6E5A" w:rsidP="00067DE1">
      <w:pPr>
        <w:suppressAutoHyphens/>
        <w:rPr>
          <w:color w:val="000000"/>
          <w:lang w:val="uk-UA" w:eastAsia="uk-UA"/>
        </w:rPr>
      </w:pPr>
      <w:r w:rsidRPr="0024327D">
        <w:rPr>
          <w:color w:val="000000"/>
          <w:lang w:val="uk-UA" w:eastAsia="uk-UA"/>
        </w:rPr>
        <w:t xml:space="preserve">Заміна кредитора за зобов’язанням не вимагає згоди боржника, якщо угодою між ними не передбачено інше. Але при цьому, якщо договір спочатку мав бути нотаріально засвідчений та/або підлягав державній реєстрації (наприклад, </w:t>
      </w:r>
      <w:r w:rsidR="00B90888" w:rsidRPr="0024327D">
        <w:rPr>
          <w:color w:val="000000"/>
          <w:lang w:val="uk-UA" w:eastAsia="uk-UA"/>
        </w:rPr>
        <w:t>договір</w:t>
      </w:r>
      <w:r w:rsidR="003A195F" w:rsidRPr="0024327D">
        <w:rPr>
          <w:color w:val="000000"/>
          <w:lang w:val="uk-UA" w:eastAsia="uk-UA"/>
        </w:rPr>
        <w:t xml:space="preserve"> іпотеки</w:t>
      </w:r>
      <w:r w:rsidRPr="0024327D">
        <w:rPr>
          <w:color w:val="000000"/>
          <w:lang w:val="uk-UA" w:eastAsia="uk-UA"/>
        </w:rPr>
        <w:t xml:space="preserve">), у разі </w:t>
      </w:r>
      <w:r w:rsidR="001E3743" w:rsidRPr="0024327D">
        <w:rPr>
          <w:color w:val="000000"/>
          <w:lang w:val="uk-UA" w:eastAsia="uk-UA"/>
        </w:rPr>
        <w:t>відступлення вимагається виконання таких сам</w:t>
      </w:r>
      <w:r w:rsidR="003A195F" w:rsidRPr="0024327D">
        <w:rPr>
          <w:color w:val="000000"/>
          <w:lang w:val="uk-UA" w:eastAsia="uk-UA"/>
        </w:rPr>
        <w:t>их</w:t>
      </w:r>
      <w:r w:rsidR="001E3743" w:rsidRPr="0024327D">
        <w:rPr>
          <w:color w:val="000000"/>
          <w:lang w:val="uk-UA" w:eastAsia="uk-UA"/>
        </w:rPr>
        <w:t xml:space="preserve"> </w:t>
      </w:r>
      <w:r w:rsidRPr="0024327D">
        <w:rPr>
          <w:color w:val="000000"/>
          <w:lang w:val="uk-UA" w:eastAsia="uk-UA"/>
        </w:rPr>
        <w:t>формальност</w:t>
      </w:r>
      <w:r w:rsidR="001E3743" w:rsidRPr="0024327D">
        <w:rPr>
          <w:color w:val="000000"/>
          <w:lang w:val="uk-UA" w:eastAsia="uk-UA"/>
        </w:rPr>
        <w:t>ей</w:t>
      </w:r>
      <w:r w:rsidRPr="0024327D">
        <w:rPr>
          <w:color w:val="000000"/>
          <w:lang w:val="uk-UA" w:eastAsia="uk-UA"/>
        </w:rPr>
        <w:t xml:space="preserve">. </w:t>
      </w:r>
      <w:r w:rsidR="001E3743" w:rsidRPr="0024327D">
        <w:rPr>
          <w:color w:val="000000"/>
          <w:lang w:val="uk-UA" w:eastAsia="uk-UA"/>
        </w:rPr>
        <w:t xml:space="preserve">За відсутності вимоги нотаріального засвідчення </w:t>
      </w:r>
      <w:r w:rsidRPr="0024327D">
        <w:rPr>
          <w:color w:val="000000"/>
          <w:lang w:val="uk-UA" w:eastAsia="uk-UA"/>
        </w:rPr>
        <w:t>або державної реєстрації</w:t>
      </w:r>
      <w:r w:rsidR="001E3743" w:rsidRPr="0024327D">
        <w:rPr>
          <w:color w:val="000000"/>
          <w:lang w:val="uk-UA" w:eastAsia="uk-UA"/>
        </w:rPr>
        <w:t xml:space="preserve"> договору</w:t>
      </w:r>
      <w:r w:rsidR="00AD6B62" w:rsidRPr="0024327D">
        <w:rPr>
          <w:color w:val="000000"/>
          <w:lang w:val="uk-UA" w:eastAsia="uk-UA"/>
        </w:rPr>
        <w:t>,</w:t>
      </w:r>
      <w:r w:rsidR="001E3743" w:rsidRPr="0024327D">
        <w:rPr>
          <w:color w:val="000000"/>
          <w:lang w:val="uk-UA" w:eastAsia="uk-UA"/>
        </w:rPr>
        <w:t xml:space="preserve"> </w:t>
      </w:r>
      <w:r w:rsidR="003A195F" w:rsidRPr="0024327D">
        <w:rPr>
          <w:color w:val="000000"/>
          <w:lang w:val="uk-UA" w:eastAsia="uk-UA"/>
        </w:rPr>
        <w:t xml:space="preserve">права за забезпечувальними правочинами </w:t>
      </w:r>
      <w:r w:rsidR="001E3743" w:rsidRPr="0024327D">
        <w:rPr>
          <w:color w:val="000000"/>
          <w:lang w:val="uk-UA" w:eastAsia="uk-UA"/>
        </w:rPr>
        <w:t xml:space="preserve">автоматично </w:t>
      </w:r>
      <w:r w:rsidR="005773C4" w:rsidRPr="0024327D">
        <w:rPr>
          <w:color w:val="000000"/>
          <w:lang w:val="uk-UA" w:eastAsia="uk-UA"/>
        </w:rPr>
        <w:t xml:space="preserve">повторюють правову долю </w:t>
      </w:r>
      <w:r w:rsidRPr="0024327D">
        <w:rPr>
          <w:color w:val="000000"/>
          <w:lang w:val="uk-UA" w:eastAsia="uk-UA"/>
        </w:rPr>
        <w:t>основн</w:t>
      </w:r>
      <w:r w:rsidR="005773C4" w:rsidRPr="0024327D">
        <w:rPr>
          <w:color w:val="000000"/>
          <w:lang w:val="uk-UA" w:eastAsia="uk-UA"/>
        </w:rPr>
        <w:t>их</w:t>
      </w:r>
      <w:r w:rsidR="003A195F" w:rsidRPr="0024327D">
        <w:rPr>
          <w:color w:val="000000"/>
          <w:lang w:val="uk-UA" w:eastAsia="uk-UA"/>
        </w:rPr>
        <w:t xml:space="preserve"> зобов’яза</w:t>
      </w:r>
      <w:r w:rsidR="005773C4" w:rsidRPr="0024327D">
        <w:rPr>
          <w:color w:val="000000"/>
          <w:lang w:val="uk-UA" w:eastAsia="uk-UA"/>
        </w:rPr>
        <w:t>нь</w:t>
      </w:r>
      <w:r w:rsidRPr="0024327D">
        <w:rPr>
          <w:color w:val="000000"/>
          <w:lang w:val="uk-UA" w:eastAsia="uk-UA"/>
        </w:rPr>
        <w:t>. Однак</w:t>
      </w:r>
      <w:r w:rsidR="00F33584" w:rsidRPr="0024327D">
        <w:rPr>
          <w:color w:val="000000"/>
          <w:lang w:val="uk-UA" w:eastAsia="uk-UA"/>
        </w:rPr>
        <w:t xml:space="preserve">, як показує практика, часто для уникнення невизначеності </w:t>
      </w:r>
      <w:r w:rsidRPr="0024327D">
        <w:rPr>
          <w:color w:val="000000"/>
          <w:lang w:val="uk-UA" w:eastAsia="uk-UA"/>
        </w:rPr>
        <w:t xml:space="preserve">сторони </w:t>
      </w:r>
      <w:r w:rsidR="00F33584" w:rsidRPr="0024327D">
        <w:rPr>
          <w:color w:val="000000"/>
          <w:lang w:val="uk-UA" w:eastAsia="uk-UA"/>
        </w:rPr>
        <w:t xml:space="preserve">укладають договір </w:t>
      </w:r>
      <w:r w:rsidRPr="0024327D">
        <w:rPr>
          <w:color w:val="000000"/>
          <w:lang w:val="uk-UA" w:eastAsia="uk-UA"/>
        </w:rPr>
        <w:t>про внесення змін або інший документ, що підтверджує заміну кредитора</w:t>
      </w:r>
      <w:r w:rsidR="003A195F" w:rsidRPr="0024327D">
        <w:rPr>
          <w:color w:val="000000"/>
          <w:lang w:val="uk-UA" w:eastAsia="uk-UA"/>
        </w:rPr>
        <w:t xml:space="preserve"> також і в забезпечувальних правочинах</w:t>
      </w:r>
      <w:r w:rsidR="00F33584" w:rsidRPr="0024327D">
        <w:rPr>
          <w:color w:val="000000"/>
          <w:lang w:val="uk-UA" w:eastAsia="uk-UA"/>
        </w:rPr>
        <w:t>.</w:t>
      </w:r>
    </w:p>
    <w:p w14:paraId="01772137" w14:textId="18427AE6" w:rsidR="00F33584" w:rsidRPr="0024327D" w:rsidRDefault="00F33584" w:rsidP="00F33584">
      <w:pPr>
        <w:suppressAutoHyphens/>
        <w:rPr>
          <w:color w:val="000000"/>
          <w:lang w:val="uk-UA" w:eastAsia="uk-UA"/>
        </w:rPr>
      </w:pPr>
      <w:r w:rsidRPr="0024327D">
        <w:rPr>
          <w:color w:val="000000"/>
          <w:lang w:val="uk-UA" w:eastAsia="uk-UA"/>
        </w:rPr>
        <w:t xml:space="preserve">Отже, передача активів </w:t>
      </w:r>
      <w:r w:rsidR="00AD6B62" w:rsidRPr="0024327D">
        <w:rPr>
          <w:color w:val="000000"/>
          <w:lang w:val="uk-UA" w:eastAsia="uk-UA"/>
        </w:rPr>
        <w:t>к</w:t>
      </w:r>
      <w:r w:rsidRPr="0024327D">
        <w:rPr>
          <w:color w:val="000000"/>
          <w:lang w:val="uk-UA" w:eastAsia="uk-UA"/>
        </w:rPr>
        <w:t xml:space="preserve">омпанії спеціального призначення може </w:t>
      </w:r>
      <w:r w:rsidR="00AD6B62" w:rsidRPr="0024327D">
        <w:rPr>
          <w:color w:val="000000"/>
          <w:lang w:val="uk-UA" w:eastAsia="uk-UA"/>
        </w:rPr>
        <w:t xml:space="preserve">передбачати </w:t>
      </w:r>
      <w:r w:rsidRPr="0024327D">
        <w:rPr>
          <w:color w:val="000000"/>
          <w:lang w:val="uk-UA" w:eastAsia="uk-UA"/>
        </w:rPr>
        <w:t xml:space="preserve">кілька реєстрацій. Залежно від виду активів це може бути реєстрація змін до договорів іпотеки, яку у деяких випадках повинен здійснювати тільки нотаріус, який зареєстрував первинний договір іпотеки; перереєстрація транспортного засобу в органах поліції тощо. </w:t>
      </w:r>
      <w:r w:rsidR="00270F09" w:rsidRPr="0024327D">
        <w:rPr>
          <w:color w:val="000000"/>
          <w:lang w:val="uk-UA" w:eastAsia="uk-UA"/>
        </w:rPr>
        <w:t xml:space="preserve">Виконання всіх цих формальностей може виявитися затратним та </w:t>
      </w:r>
      <w:r w:rsidR="000B6BA2" w:rsidRPr="0024327D">
        <w:rPr>
          <w:color w:val="000000"/>
          <w:lang w:val="uk-UA" w:eastAsia="uk-UA"/>
        </w:rPr>
        <w:t>тривалим</w:t>
      </w:r>
      <w:r w:rsidRPr="0024327D">
        <w:rPr>
          <w:color w:val="000000"/>
          <w:lang w:val="uk-UA" w:eastAsia="uk-UA"/>
        </w:rPr>
        <w:t xml:space="preserve">. </w:t>
      </w:r>
      <w:r w:rsidR="00270F09" w:rsidRPr="0024327D">
        <w:rPr>
          <w:color w:val="000000"/>
          <w:lang w:val="uk-UA" w:eastAsia="uk-UA"/>
        </w:rPr>
        <w:t>До того ж</w:t>
      </w:r>
      <w:r w:rsidRPr="0024327D">
        <w:rPr>
          <w:color w:val="000000"/>
          <w:lang w:val="uk-UA" w:eastAsia="uk-UA"/>
        </w:rPr>
        <w:t xml:space="preserve"> за </w:t>
      </w:r>
      <w:r w:rsidR="00E612B4" w:rsidRPr="0024327D">
        <w:rPr>
          <w:color w:val="000000"/>
          <w:lang w:val="uk-UA" w:eastAsia="uk-UA"/>
        </w:rPr>
        <w:t xml:space="preserve">нотаріальне засвідчення </w:t>
      </w:r>
      <w:r w:rsidRPr="0024327D">
        <w:rPr>
          <w:color w:val="000000"/>
          <w:lang w:val="uk-UA" w:eastAsia="uk-UA"/>
        </w:rPr>
        <w:t>кожн</w:t>
      </w:r>
      <w:r w:rsidR="00E612B4" w:rsidRPr="0024327D">
        <w:rPr>
          <w:color w:val="000000"/>
          <w:lang w:val="uk-UA" w:eastAsia="uk-UA"/>
        </w:rPr>
        <w:t>ої передачі</w:t>
      </w:r>
      <w:r w:rsidRPr="0024327D">
        <w:rPr>
          <w:color w:val="000000"/>
          <w:lang w:val="uk-UA" w:eastAsia="uk-UA"/>
        </w:rPr>
        <w:t xml:space="preserve"> стягується плата </w:t>
      </w:r>
      <w:r w:rsidR="00270F09" w:rsidRPr="0024327D">
        <w:rPr>
          <w:color w:val="000000"/>
          <w:lang w:val="uk-UA" w:eastAsia="uk-UA"/>
        </w:rPr>
        <w:t>у</w:t>
      </w:r>
      <w:r w:rsidRPr="0024327D">
        <w:rPr>
          <w:color w:val="000000"/>
          <w:lang w:val="uk-UA" w:eastAsia="uk-UA"/>
        </w:rPr>
        <w:t xml:space="preserve"> розмірі 0,01% </w:t>
      </w:r>
      <w:r w:rsidR="00270F09" w:rsidRPr="0024327D">
        <w:rPr>
          <w:color w:val="000000"/>
          <w:lang w:val="uk-UA" w:eastAsia="uk-UA"/>
        </w:rPr>
        <w:t xml:space="preserve">або більше </w:t>
      </w:r>
      <w:r w:rsidRPr="0024327D">
        <w:rPr>
          <w:color w:val="000000"/>
          <w:lang w:val="uk-UA" w:eastAsia="uk-UA"/>
        </w:rPr>
        <w:t xml:space="preserve">від вартості </w:t>
      </w:r>
      <w:r w:rsidR="00270F09" w:rsidRPr="0024327D">
        <w:rPr>
          <w:color w:val="000000"/>
          <w:lang w:val="uk-UA" w:eastAsia="uk-UA"/>
        </w:rPr>
        <w:t>заставленого майна</w:t>
      </w:r>
      <w:r w:rsidRPr="0024327D">
        <w:rPr>
          <w:color w:val="000000"/>
          <w:lang w:val="uk-UA" w:eastAsia="uk-UA"/>
        </w:rPr>
        <w:t xml:space="preserve">. </w:t>
      </w:r>
      <w:r w:rsidR="00270F09" w:rsidRPr="0024327D">
        <w:rPr>
          <w:color w:val="000000"/>
          <w:lang w:val="uk-UA" w:eastAsia="uk-UA"/>
        </w:rPr>
        <w:t>Але н</w:t>
      </w:r>
      <w:r w:rsidRPr="0024327D">
        <w:rPr>
          <w:color w:val="000000"/>
          <w:lang w:val="uk-UA" w:eastAsia="uk-UA"/>
        </w:rPr>
        <w:t xml:space="preserve">а практиці </w:t>
      </w:r>
      <w:r w:rsidR="000B6BA2" w:rsidRPr="0024327D">
        <w:rPr>
          <w:color w:val="000000"/>
          <w:lang w:val="uk-UA" w:eastAsia="uk-UA"/>
        </w:rPr>
        <w:t>ця</w:t>
      </w:r>
      <w:r w:rsidRPr="0024327D">
        <w:rPr>
          <w:color w:val="000000"/>
          <w:lang w:val="uk-UA" w:eastAsia="uk-UA"/>
        </w:rPr>
        <w:t xml:space="preserve"> плата може </w:t>
      </w:r>
      <w:r w:rsidR="00270F09" w:rsidRPr="0024327D">
        <w:rPr>
          <w:color w:val="000000"/>
          <w:lang w:val="uk-UA" w:eastAsia="uk-UA"/>
        </w:rPr>
        <w:t xml:space="preserve">виявитися </w:t>
      </w:r>
      <w:r w:rsidRPr="0024327D">
        <w:rPr>
          <w:color w:val="000000"/>
          <w:lang w:val="uk-UA" w:eastAsia="uk-UA"/>
        </w:rPr>
        <w:t xml:space="preserve">значно вищою. </w:t>
      </w:r>
      <w:r w:rsidR="00270F09" w:rsidRPr="0024327D">
        <w:rPr>
          <w:color w:val="000000"/>
          <w:lang w:val="uk-UA" w:eastAsia="uk-UA"/>
        </w:rPr>
        <w:t>Необхідно максимально зменшити необхідність виконання цих та інших формальностей</w:t>
      </w:r>
      <w:r w:rsidRPr="0024327D">
        <w:rPr>
          <w:color w:val="000000"/>
          <w:lang w:val="uk-UA" w:eastAsia="uk-UA"/>
        </w:rPr>
        <w:t>.</w:t>
      </w:r>
    </w:p>
    <w:p w14:paraId="52199800" w14:textId="75208168" w:rsidR="00270F09" w:rsidRPr="0024327D" w:rsidRDefault="000D06F7" w:rsidP="003061A0">
      <w:pPr>
        <w:suppressAutoHyphens/>
        <w:rPr>
          <w:color w:val="000000"/>
          <w:lang w:val="uk-UA" w:eastAsia="uk-UA"/>
        </w:rPr>
      </w:pPr>
      <w:r w:rsidRPr="0024327D">
        <w:rPr>
          <w:color w:val="000000"/>
          <w:lang w:val="uk-UA" w:eastAsia="uk-UA"/>
        </w:rPr>
        <w:t xml:space="preserve"> В окремих</w:t>
      </w:r>
      <w:r w:rsidR="00F4406B" w:rsidRPr="0024327D">
        <w:rPr>
          <w:color w:val="000000"/>
          <w:lang w:val="uk-UA" w:eastAsia="uk-UA"/>
        </w:rPr>
        <w:t xml:space="preserve"> випадках </w:t>
      </w:r>
      <w:r w:rsidR="00E85852" w:rsidRPr="0024327D">
        <w:rPr>
          <w:color w:val="000000"/>
          <w:lang w:val="uk-UA" w:eastAsia="uk-UA"/>
        </w:rPr>
        <w:t>прода</w:t>
      </w:r>
      <w:r w:rsidRPr="0024327D">
        <w:rPr>
          <w:color w:val="000000"/>
          <w:lang w:val="uk-UA" w:eastAsia="uk-UA"/>
        </w:rPr>
        <w:t>ж</w:t>
      </w:r>
      <w:r w:rsidR="00E85852" w:rsidRPr="0024327D">
        <w:rPr>
          <w:color w:val="000000"/>
          <w:lang w:val="uk-UA" w:eastAsia="uk-UA"/>
        </w:rPr>
        <w:t xml:space="preserve"> або відступ</w:t>
      </w:r>
      <w:r w:rsidRPr="0024327D">
        <w:rPr>
          <w:color w:val="000000"/>
          <w:lang w:val="uk-UA" w:eastAsia="uk-UA"/>
        </w:rPr>
        <w:t>лення</w:t>
      </w:r>
      <w:r w:rsidR="00E85852" w:rsidRPr="0024327D">
        <w:rPr>
          <w:color w:val="000000"/>
          <w:lang w:val="uk-UA" w:eastAsia="uk-UA"/>
        </w:rPr>
        <w:t xml:space="preserve"> актив</w:t>
      </w:r>
      <w:r w:rsidRPr="0024327D">
        <w:rPr>
          <w:color w:val="000000"/>
          <w:lang w:val="uk-UA" w:eastAsia="uk-UA"/>
        </w:rPr>
        <w:t>ів</w:t>
      </w:r>
      <w:r w:rsidR="00E85852" w:rsidRPr="0024327D">
        <w:rPr>
          <w:color w:val="000000"/>
          <w:lang w:val="uk-UA" w:eastAsia="uk-UA"/>
        </w:rPr>
        <w:t xml:space="preserve"> до</w:t>
      </w:r>
      <w:r w:rsidR="00270F09" w:rsidRPr="0024327D">
        <w:rPr>
          <w:color w:val="000000"/>
          <w:lang w:val="uk-UA" w:eastAsia="uk-UA"/>
        </w:rPr>
        <w:t xml:space="preserve"> </w:t>
      </w:r>
      <w:r w:rsidR="00954C26" w:rsidRPr="0024327D">
        <w:rPr>
          <w:color w:val="000000"/>
          <w:lang w:val="uk-UA" w:eastAsia="uk-UA"/>
        </w:rPr>
        <w:t>к</w:t>
      </w:r>
      <w:r w:rsidR="00270F09" w:rsidRPr="0024327D">
        <w:rPr>
          <w:color w:val="000000"/>
          <w:lang w:val="uk-UA" w:eastAsia="uk-UA"/>
        </w:rPr>
        <w:t>омпанії спеціального призначення у рамках сек'юритизації за номінальною вартістю</w:t>
      </w:r>
      <w:r w:rsidRPr="0024327D">
        <w:rPr>
          <w:color w:val="000000"/>
          <w:lang w:val="uk-UA" w:eastAsia="uk-UA"/>
        </w:rPr>
        <w:t xml:space="preserve"> буде неможливим</w:t>
      </w:r>
      <w:r w:rsidR="00C02850" w:rsidRPr="0024327D">
        <w:rPr>
          <w:color w:val="000000"/>
          <w:lang w:val="uk-UA" w:eastAsia="uk-UA"/>
        </w:rPr>
        <w:t>.</w:t>
      </w:r>
      <w:r w:rsidR="00270F09" w:rsidRPr="0024327D">
        <w:rPr>
          <w:color w:val="000000"/>
          <w:lang w:val="uk-UA" w:eastAsia="uk-UA"/>
        </w:rPr>
        <w:t xml:space="preserve"> Українські правоохоронні органи не завжди </w:t>
      </w:r>
      <w:r w:rsidR="003061A0" w:rsidRPr="0024327D">
        <w:rPr>
          <w:color w:val="000000"/>
          <w:lang w:val="uk-UA" w:eastAsia="uk-UA"/>
        </w:rPr>
        <w:t>добре розуміють усі тонкощі</w:t>
      </w:r>
      <w:r w:rsidR="000118C1" w:rsidRPr="0024327D">
        <w:rPr>
          <w:color w:val="000000"/>
          <w:lang w:val="uk-UA" w:eastAsia="uk-UA"/>
        </w:rPr>
        <w:t xml:space="preserve"> структурованого фінансування</w:t>
      </w:r>
      <w:r w:rsidR="00270F09" w:rsidRPr="0024327D">
        <w:rPr>
          <w:color w:val="000000"/>
          <w:lang w:val="uk-UA" w:eastAsia="uk-UA"/>
        </w:rPr>
        <w:t xml:space="preserve"> і можуть </w:t>
      </w:r>
      <w:r w:rsidR="003061A0" w:rsidRPr="0024327D">
        <w:rPr>
          <w:color w:val="000000"/>
          <w:lang w:val="uk-UA" w:eastAsia="uk-UA"/>
        </w:rPr>
        <w:t xml:space="preserve">вважати передачу </w:t>
      </w:r>
      <w:r w:rsidR="008B4C2D" w:rsidRPr="0024327D">
        <w:rPr>
          <w:color w:val="000000"/>
          <w:lang w:val="uk-UA" w:eastAsia="uk-UA"/>
        </w:rPr>
        <w:t>за вар</w:t>
      </w:r>
      <w:r w:rsidR="003179F3" w:rsidRPr="0024327D">
        <w:rPr>
          <w:color w:val="000000"/>
          <w:lang w:val="uk-UA" w:eastAsia="uk-UA"/>
        </w:rPr>
        <w:t>тістю</w:t>
      </w:r>
      <w:r w:rsidR="0045503A" w:rsidRPr="0024327D">
        <w:rPr>
          <w:color w:val="000000"/>
          <w:lang w:val="uk-UA" w:eastAsia="uk-UA"/>
        </w:rPr>
        <w:t>,</w:t>
      </w:r>
      <w:r w:rsidR="003179F3" w:rsidRPr="0024327D">
        <w:rPr>
          <w:color w:val="000000"/>
          <w:lang w:val="uk-UA" w:eastAsia="uk-UA"/>
        </w:rPr>
        <w:t xml:space="preserve"> </w:t>
      </w:r>
      <w:r w:rsidR="0045503A" w:rsidRPr="0024327D">
        <w:rPr>
          <w:color w:val="000000"/>
          <w:lang w:val="uk-UA" w:eastAsia="uk-UA"/>
        </w:rPr>
        <w:t xml:space="preserve">що </w:t>
      </w:r>
      <w:r w:rsidR="003179F3" w:rsidRPr="0024327D">
        <w:rPr>
          <w:color w:val="000000"/>
          <w:lang w:val="uk-UA" w:eastAsia="uk-UA"/>
        </w:rPr>
        <w:t>нижч</w:t>
      </w:r>
      <w:r w:rsidR="0045503A" w:rsidRPr="0024327D">
        <w:rPr>
          <w:color w:val="000000"/>
          <w:lang w:val="uk-UA" w:eastAsia="uk-UA"/>
        </w:rPr>
        <w:t>а</w:t>
      </w:r>
      <w:r w:rsidR="003179F3" w:rsidRPr="0024327D">
        <w:rPr>
          <w:color w:val="000000"/>
          <w:lang w:val="uk-UA" w:eastAsia="uk-UA"/>
        </w:rPr>
        <w:t xml:space="preserve"> від номінальної</w:t>
      </w:r>
      <w:r w:rsidR="0045503A" w:rsidRPr="0024327D">
        <w:rPr>
          <w:color w:val="000000"/>
          <w:lang w:val="uk-UA" w:eastAsia="uk-UA"/>
        </w:rPr>
        <w:t>,</w:t>
      </w:r>
      <w:r w:rsidR="000118C1" w:rsidRPr="0024327D">
        <w:rPr>
          <w:color w:val="000000"/>
          <w:lang w:val="uk-UA" w:eastAsia="uk-UA"/>
        </w:rPr>
        <w:t xml:space="preserve"> </w:t>
      </w:r>
      <w:r w:rsidR="00270F09" w:rsidRPr="0024327D">
        <w:rPr>
          <w:color w:val="000000"/>
          <w:lang w:val="uk-UA" w:eastAsia="uk-UA"/>
        </w:rPr>
        <w:t>розкрадання</w:t>
      </w:r>
      <w:r w:rsidR="003061A0" w:rsidRPr="0024327D">
        <w:rPr>
          <w:color w:val="000000"/>
          <w:lang w:val="uk-UA" w:eastAsia="uk-UA"/>
        </w:rPr>
        <w:t>м</w:t>
      </w:r>
      <w:r w:rsidR="000118C1" w:rsidRPr="0024327D">
        <w:rPr>
          <w:color w:val="000000"/>
          <w:lang w:val="uk-UA" w:eastAsia="uk-UA"/>
        </w:rPr>
        <w:t xml:space="preserve"> майна</w:t>
      </w:r>
      <w:r w:rsidR="00270F09" w:rsidRPr="0024327D">
        <w:rPr>
          <w:color w:val="000000"/>
          <w:lang w:val="uk-UA" w:eastAsia="uk-UA"/>
        </w:rPr>
        <w:t xml:space="preserve">. </w:t>
      </w:r>
      <w:r w:rsidR="003061A0" w:rsidRPr="0024327D">
        <w:rPr>
          <w:color w:val="000000"/>
          <w:lang w:val="uk-UA" w:eastAsia="uk-UA"/>
        </w:rPr>
        <w:t xml:space="preserve">Ймовірність такого ризику особливо велика </w:t>
      </w:r>
      <w:r w:rsidR="00270F09" w:rsidRPr="0024327D">
        <w:rPr>
          <w:color w:val="000000"/>
          <w:lang w:val="uk-UA" w:eastAsia="uk-UA"/>
        </w:rPr>
        <w:t xml:space="preserve">для державних підприємств (наприклад, банку, який </w:t>
      </w:r>
      <w:r w:rsidR="003061A0" w:rsidRPr="0024327D">
        <w:rPr>
          <w:color w:val="000000"/>
          <w:lang w:val="uk-UA" w:eastAsia="uk-UA"/>
        </w:rPr>
        <w:t xml:space="preserve">хоче здійснити </w:t>
      </w:r>
      <w:r w:rsidR="00270F09" w:rsidRPr="0024327D">
        <w:rPr>
          <w:color w:val="000000"/>
          <w:lang w:val="uk-UA" w:eastAsia="uk-UA"/>
        </w:rPr>
        <w:t>сек'юритизаці</w:t>
      </w:r>
      <w:r w:rsidR="003061A0" w:rsidRPr="0024327D">
        <w:rPr>
          <w:color w:val="000000"/>
          <w:lang w:val="uk-UA" w:eastAsia="uk-UA"/>
        </w:rPr>
        <w:t xml:space="preserve">ю </w:t>
      </w:r>
      <w:r w:rsidR="00270F09" w:rsidRPr="0024327D">
        <w:rPr>
          <w:color w:val="000000"/>
          <w:lang w:val="uk-UA" w:eastAsia="uk-UA"/>
        </w:rPr>
        <w:t xml:space="preserve">непрацюючих </w:t>
      </w:r>
      <w:r w:rsidR="003061A0" w:rsidRPr="0024327D">
        <w:rPr>
          <w:color w:val="000000"/>
          <w:lang w:val="uk-UA" w:eastAsia="uk-UA"/>
        </w:rPr>
        <w:t>кредитів</w:t>
      </w:r>
      <w:r w:rsidR="00270F09" w:rsidRPr="0024327D">
        <w:rPr>
          <w:color w:val="000000"/>
          <w:lang w:val="uk-UA" w:eastAsia="uk-UA"/>
        </w:rPr>
        <w:t xml:space="preserve">), або для суб'єктів комунальної власності (наприклад, </w:t>
      </w:r>
      <w:r w:rsidR="003061A0" w:rsidRPr="0024327D">
        <w:rPr>
          <w:color w:val="000000"/>
          <w:lang w:val="uk-UA" w:eastAsia="uk-UA"/>
        </w:rPr>
        <w:t xml:space="preserve">районних </w:t>
      </w:r>
      <w:r w:rsidR="00270F09" w:rsidRPr="0024327D">
        <w:rPr>
          <w:color w:val="000000"/>
          <w:lang w:val="uk-UA" w:eastAsia="uk-UA"/>
        </w:rPr>
        <w:t>комунальних підприємств</w:t>
      </w:r>
      <w:r w:rsidR="003061A0" w:rsidRPr="0024327D">
        <w:rPr>
          <w:color w:val="000000"/>
          <w:lang w:val="uk-UA" w:eastAsia="uk-UA"/>
        </w:rPr>
        <w:t>-теплопостачальників</w:t>
      </w:r>
      <w:r w:rsidR="00270F09" w:rsidRPr="0024327D">
        <w:rPr>
          <w:color w:val="000000"/>
          <w:lang w:val="uk-UA" w:eastAsia="uk-UA"/>
        </w:rPr>
        <w:t xml:space="preserve">, які </w:t>
      </w:r>
      <w:r w:rsidR="003061A0" w:rsidRPr="0024327D">
        <w:rPr>
          <w:color w:val="000000"/>
          <w:lang w:val="uk-UA" w:eastAsia="uk-UA"/>
        </w:rPr>
        <w:t xml:space="preserve">хочуть </w:t>
      </w:r>
      <w:r w:rsidR="00270F09" w:rsidRPr="0024327D">
        <w:rPr>
          <w:color w:val="000000"/>
          <w:lang w:val="uk-UA" w:eastAsia="uk-UA"/>
        </w:rPr>
        <w:t>сек'юритиз</w:t>
      </w:r>
      <w:r w:rsidR="003061A0" w:rsidRPr="0024327D">
        <w:rPr>
          <w:color w:val="000000"/>
          <w:lang w:val="uk-UA" w:eastAsia="uk-UA"/>
        </w:rPr>
        <w:t xml:space="preserve">увати </w:t>
      </w:r>
      <w:r w:rsidR="00270F09" w:rsidRPr="0024327D">
        <w:rPr>
          <w:color w:val="000000"/>
          <w:lang w:val="uk-UA" w:eastAsia="uk-UA"/>
        </w:rPr>
        <w:t>дебіторськ</w:t>
      </w:r>
      <w:r w:rsidR="003061A0" w:rsidRPr="0024327D">
        <w:rPr>
          <w:color w:val="000000"/>
          <w:lang w:val="uk-UA" w:eastAsia="uk-UA"/>
        </w:rPr>
        <w:t>у</w:t>
      </w:r>
      <w:r w:rsidR="00270F09" w:rsidRPr="0024327D">
        <w:rPr>
          <w:color w:val="000000"/>
          <w:lang w:val="uk-UA" w:eastAsia="uk-UA"/>
        </w:rPr>
        <w:t xml:space="preserve"> заборгован</w:t>
      </w:r>
      <w:r w:rsidR="003061A0" w:rsidRPr="0024327D">
        <w:rPr>
          <w:color w:val="000000"/>
          <w:lang w:val="uk-UA" w:eastAsia="uk-UA"/>
        </w:rPr>
        <w:t>ість</w:t>
      </w:r>
      <w:r w:rsidR="00270F09" w:rsidRPr="0024327D">
        <w:rPr>
          <w:color w:val="000000"/>
          <w:lang w:val="uk-UA" w:eastAsia="uk-UA"/>
        </w:rPr>
        <w:t xml:space="preserve">). </w:t>
      </w:r>
      <w:r w:rsidR="0058517E" w:rsidRPr="0024327D">
        <w:rPr>
          <w:color w:val="000000"/>
          <w:lang w:val="uk-UA" w:eastAsia="uk-UA"/>
        </w:rPr>
        <w:t xml:space="preserve">Коли законодавча база буде оновлена </w:t>
      </w:r>
      <w:r w:rsidRPr="0024327D">
        <w:rPr>
          <w:color w:val="000000"/>
          <w:lang w:val="uk-UA" w:eastAsia="uk-UA"/>
        </w:rPr>
        <w:t>та передбачатиме</w:t>
      </w:r>
      <w:r w:rsidR="0058517E" w:rsidRPr="0024327D">
        <w:rPr>
          <w:color w:val="000000"/>
          <w:lang w:val="uk-UA" w:eastAsia="uk-UA"/>
        </w:rPr>
        <w:t xml:space="preserve"> так</w:t>
      </w:r>
      <w:r w:rsidRPr="0024327D">
        <w:rPr>
          <w:color w:val="000000"/>
          <w:lang w:val="uk-UA" w:eastAsia="uk-UA"/>
        </w:rPr>
        <w:t>і</w:t>
      </w:r>
      <w:r w:rsidR="0058517E" w:rsidRPr="0024327D">
        <w:rPr>
          <w:color w:val="000000"/>
          <w:lang w:val="uk-UA" w:eastAsia="uk-UA"/>
        </w:rPr>
        <w:t xml:space="preserve"> </w:t>
      </w:r>
      <w:r w:rsidRPr="0024327D">
        <w:rPr>
          <w:color w:val="000000"/>
          <w:lang w:val="uk-UA" w:eastAsia="uk-UA"/>
        </w:rPr>
        <w:t>види</w:t>
      </w:r>
      <w:r w:rsidR="0058517E" w:rsidRPr="0024327D">
        <w:rPr>
          <w:color w:val="000000"/>
          <w:lang w:val="uk-UA" w:eastAsia="uk-UA"/>
        </w:rPr>
        <w:t xml:space="preserve"> активів, для </w:t>
      </w:r>
      <w:r w:rsidRPr="0024327D">
        <w:rPr>
          <w:color w:val="000000"/>
          <w:lang w:val="uk-UA" w:eastAsia="uk-UA"/>
        </w:rPr>
        <w:t>усунення</w:t>
      </w:r>
      <w:r w:rsidR="0058517E" w:rsidRPr="0024327D">
        <w:rPr>
          <w:color w:val="000000"/>
          <w:lang w:val="uk-UA" w:eastAsia="uk-UA"/>
        </w:rPr>
        <w:t xml:space="preserve"> зазначених ризиків може знадобитися </w:t>
      </w:r>
      <w:r w:rsidR="00886E7C" w:rsidRPr="0024327D">
        <w:rPr>
          <w:color w:val="000000"/>
          <w:lang w:val="uk-UA" w:eastAsia="uk-UA"/>
        </w:rPr>
        <w:t>запровад</w:t>
      </w:r>
      <w:r w:rsidRPr="0024327D">
        <w:rPr>
          <w:color w:val="000000"/>
          <w:lang w:val="uk-UA" w:eastAsia="uk-UA"/>
        </w:rPr>
        <w:t>ження</w:t>
      </w:r>
      <w:r w:rsidR="0058517E" w:rsidRPr="0024327D">
        <w:rPr>
          <w:color w:val="000000"/>
          <w:lang w:val="uk-UA" w:eastAsia="uk-UA"/>
        </w:rPr>
        <w:t xml:space="preserve"> в законі спеціальн</w:t>
      </w:r>
      <w:r w:rsidRPr="0024327D">
        <w:rPr>
          <w:color w:val="000000"/>
          <w:lang w:val="uk-UA" w:eastAsia="uk-UA"/>
        </w:rPr>
        <w:t>их</w:t>
      </w:r>
      <w:r w:rsidR="0058517E" w:rsidRPr="0024327D">
        <w:rPr>
          <w:color w:val="000000"/>
          <w:lang w:val="uk-UA" w:eastAsia="uk-UA"/>
        </w:rPr>
        <w:t xml:space="preserve"> дозвол</w:t>
      </w:r>
      <w:r w:rsidRPr="0024327D">
        <w:rPr>
          <w:color w:val="000000"/>
          <w:lang w:val="uk-UA" w:eastAsia="uk-UA"/>
        </w:rPr>
        <w:t>ів</w:t>
      </w:r>
      <w:r w:rsidR="0058517E" w:rsidRPr="0024327D">
        <w:rPr>
          <w:color w:val="000000"/>
          <w:lang w:val="uk-UA" w:eastAsia="uk-UA"/>
        </w:rPr>
        <w:t xml:space="preserve"> на продаж (відступлення) активів за вартістю, яка нижча за номінальну.</w:t>
      </w:r>
    </w:p>
    <w:p w14:paraId="148FD38C" w14:textId="77B56F54" w:rsidR="001D55E0" w:rsidRPr="0024327D" w:rsidRDefault="0050244A" w:rsidP="00033D9D">
      <w:pPr>
        <w:pStyle w:val="3"/>
        <w:ind w:left="864"/>
        <w:rPr>
          <w:lang w:val="uk-UA"/>
        </w:rPr>
      </w:pPr>
      <w:bookmarkStart w:id="87" w:name="_Toc8065585"/>
      <w:bookmarkStart w:id="88" w:name="_Toc8065654"/>
      <w:bookmarkStart w:id="89" w:name="_Toc8065722"/>
      <w:bookmarkStart w:id="90" w:name="_Toc8065789"/>
      <w:bookmarkStart w:id="91" w:name="_Toc8065586"/>
      <w:bookmarkStart w:id="92" w:name="_Toc8065655"/>
      <w:bookmarkStart w:id="93" w:name="_Toc8065723"/>
      <w:bookmarkStart w:id="94" w:name="_Toc8065790"/>
      <w:bookmarkStart w:id="95" w:name="_Toc95480996"/>
      <w:bookmarkEnd w:id="87"/>
      <w:bookmarkEnd w:id="88"/>
      <w:bookmarkEnd w:id="89"/>
      <w:bookmarkEnd w:id="90"/>
      <w:bookmarkEnd w:id="91"/>
      <w:bookmarkEnd w:id="92"/>
      <w:bookmarkEnd w:id="93"/>
      <w:bookmarkEnd w:id="94"/>
      <w:r w:rsidRPr="0024327D">
        <w:rPr>
          <w:lang w:val="uk-UA"/>
        </w:rPr>
        <w:t>Створення забезпечення</w:t>
      </w:r>
      <w:bookmarkEnd w:id="95"/>
    </w:p>
    <w:p w14:paraId="66D9E52C" w14:textId="58333203" w:rsidR="001D55E0" w:rsidRPr="0024327D" w:rsidRDefault="003D133F" w:rsidP="00B3302C">
      <w:pPr>
        <w:suppressAutoHyphens/>
        <w:rPr>
          <w:color w:val="000000"/>
          <w:lang w:val="uk-UA"/>
        </w:rPr>
      </w:pPr>
      <w:r w:rsidRPr="0024327D">
        <w:rPr>
          <w:color w:val="333333"/>
          <w:shd w:val="clear" w:color="auto" w:fill="FFFFFF"/>
          <w:lang w:val="uk-UA"/>
        </w:rPr>
        <w:t xml:space="preserve">Відповідно до закону, </w:t>
      </w:r>
      <w:r w:rsidR="000A5385" w:rsidRPr="0024327D">
        <w:rPr>
          <w:color w:val="333333"/>
          <w:shd w:val="clear" w:color="auto" w:fill="FFFFFF"/>
          <w:lang w:val="uk-UA"/>
        </w:rPr>
        <w:t xml:space="preserve">адміністратор з випуску облігацій стає стороною </w:t>
      </w:r>
      <w:r w:rsidR="00327162" w:rsidRPr="0024327D">
        <w:rPr>
          <w:color w:val="333333"/>
          <w:shd w:val="clear" w:color="auto" w:fill="FFFFFF"/>
          <w:lang w:val="uk-UA"/>
        </w:rPr>
        <w:t xml:space="preserve">договорів щодо забезпечення виконання зобов’язань за облігаціями. Цей підхід ще не був відображений у </w:t>
      </w:r>
      <w:r w:rsidR="00D71548" w:rsidRPr="0024327D">
        <w:rPr>
          <w:color w:val="333333"/>
          <w:shd w:val="clear" w:color="auto" w:fill="FFFFFF"/>
          <w:lang w:val="uk-UA"/>
        </w:rPr>
        <w:t>положенні</w:t>
      </w:r>
      <w:r w:rsidR="00327162" w:rsidRPr="0024327D">
        <w:rPr>
          <w:color w:val="333333"/>
          <w:shd w:val="clear" w:color="auto" w:fill="FFFFFF"/>
          <w:lang w:val="uk-UA"/>
        </w:rPr>
        <w:t xml:space="preserve"> НКЦПФР </w:t>
      </w:r>
      <w:r w:rsidR="001D4572" w:rsidRPr="0024327D">
        <w:rPr>
          <w:color w:val="333333"/>
          <w:shd w:val="clear" w:color="auto" w:fill="FFFFFF"/>
          <w:lang w:val="uk-UA"/>
        </w:rPr>
        <w:t xml:space="preserve">про порядок здійснення емісії облігацій підприємств та їх обігу, який наразі передбачає, </w:t>
      </w:r>
      <w:r w:rsidR="0050244A" w:rsidRPr="0024327D">
        <w:rPr>
          <w:color w:val="000000"/>
          <w:lang w:val="uk-UA"/>
        </w:rPr>
        <w:t xml:space="preserve">що для забезпечення облігацій заставою емітент повинен укласти договори застави з первинними власниками відповідних активів ще на етапі розміщення облігацій. </w:t>
      </w:r>
      <w:r w:rsidR="001D4572" w:rsidRPr="0024327D">
        <w:rPr>
          <w:color w:val="000000"/>
          <w:lang w:val="uk-UA"/>
        </w:rPr>
        <w:t xml:space="preserve">Положення НКЦПФР також </w:t>
      </w:r>
      <w:r w:rsidR="00B3302C" w:rsidRPr="0024327D">
        <w:rPr>
          <w:color w:val="000000"/>
          <w:lang w:val="uk-UA"/>
        </w:rPr>
        <w:t xml:space="preserve">передбачає, що </w:t>
      </w:r>
      <w:r w:rsidR="0050244A" w:rsidRPr="0024327D">
        <w:rPr>
          <w:color w:val="000000"/>
          <w:lang w:val="uk-UA"/>
        </w:rPr>
        <w:t xml:space="preserve">емітент повинен вжити заходів </w:t>
      </w:r>
      <w:r w:rsidR="000B5722" w:rsidRPr="0024327D">
        <w:rPr>
          <w:color w:val="333333"/>
          <w:shd w:val="clear" w:color="auto" w:fill="FFFFFF"/>
          <w:lang w:val="uk-UA"/>
        </w:rPr>
        <w:t xml:space="preserve">щодо безперервності забезпечення облігацій, </w:t>
      </w:r>
      <w:r w:rsidR="0050244A" w:rsidRPr="0024327D">
        <w:rPr>
          <w:color w:val="000000"/>
          <w:lang w:val="uk-UA"/>
        </w:rPr>
        <w:t xml:space="preserve">у тому числі шляхом укладення відповідних нових </w:t>
      </w:r>
      <w:r w:rsidR="00F22B01" w:rsidRPr="0024327D">
        <w:rPr>
          <w:color w:val="000000"/>
          <w:lang w:val="uk-UA"/>
        </w:rPr>
        <w:t>договорів</w:t>
      </w:r>
      <w:r w:rsidR="0050244A" w:rsidRPr="0024327D">
        <w:rPr>
          <w:color w:val="000000"/>
          <w:lang w:val="uk-UA"/>
        </w:rPr>
        <w:t xml:space="preserve">. </w:t>
      </w:r>
      <w:bookmarkStart w:id="96" w:name="_Toc84302533"/>
      <w:bookmarkStart w:id="97" w:name="_Toc84302534"/>
      <w:bookmarkEnd w:id="96"/>
      <w:bookmarkEnd w:id="97"/>
      <w:r w:rsidR="00636B1D" w:rsidRPr="0024327D">
        <w:rPr>
          <w:color w:val="000000"/>
          <w:lang w:val="uk-UA" w:eastAsia="uk-UA"/>
        </w:rPr>
        <w:t xml:space="preserve"> </w:t>
      </w:r>
      <w:r w:rsidR="00AA57AA" w:rsidRPr="0024327D">
        <w:rPr>
          <w:color w:val="000000"/>
          <w:lang w:val="uk-UA" w:eastAsia="uk-UA"/>
        </w:rPr>
        <w:t>В</w:t>
      </w:r>
      <w:r w:rsidR="00153215" w:rsidRPr="0024327D">
        <w:rPr>
          <w:color w:val="000000"/>
          <w:lang w:val="uk-UA" w:eastAsia="uk-UA"/>
        </w:rPr>
        <w:t>ідповідне положення найближчим часом</w:t>
      </w:r>
      <w:r w:rsidR="00AA57AA" w:rsidRPr="0024327D">
        <w:rPr>
          <w:color w:val="000000"/>
          <w:lang w:val="uk-UA" w:eastAsia="uk-UA"/>
        </w:rPr>
        <w:t xml:space="preserve"> буде оновлено</w:t>
      </w:r>
      <w:r w:rsidR="00153215" w:rsidRPr="0024327D">
        <w:rPr>
          <w:color w:val="000000"/>
          <w:lang w:val="uk-UA" w:eastAsia="uk-UA"/>
        </w:rPr>
        <w:t xml:space="preserve">, щоб відобразити нові правила. </w:t>
      </w:r>
      <w:r w:rsidR="00AA57AA" w:rsidRPr="0024327D">
        <w:rPr>
          <w:color w:val="000000"/>
          <w:lang w:val="uk-UA" w:eastAsia="uk-UA"/>
        </w:rPr>
        <w:t xml:space="preserve"> Необхідно зазначити</w:t>
      </w:r>
      <w:r w:rsidR="00153215" w:rsidRPr="0024327D">
        <w:rPr>
          <w:color w:val="000000"/>
          <w:lang w:val="uk-UA" w:eastAsia="uk-UA"/>
        </w:rPr>
        <w:t xml:space="preserve">, що жоден з підходів щодо забезпечення </w:t>
      </w:r>
      <w:r w:rsidR="00C43FE1" w:rsidRPr="0024327D">
        <w:rPr>
          <w:color w:val="000000"/>
          <w:lang w:val="uk-UA" w:eastAsia="uk-UA"/>
        </w:rPr>
        <w:t xml:space="preserve">облігацій не був </w:t>
      </w:r>
      <w:r w:rsidR="001F6371" w:rsidRPr="0024327D">
        <w:rPr>
          <w:color w:val="000000"/>
          <w:lang w:val="uk-UA" w:eastAsia="uk-UA"/>
        </w:rPr>
        <w:t>випробуваний на практиці.</w:t>
      </w:r>
    </w:p>
    <w:p w14:paraId="65259108" w14:textId="77777777" w:rsidR="001D55E0" w:rsidRPr="0024327D" w:rsidRDefault="00945866" w:rsidP="00945866">
      <w:pPr>
        <w:pStyle w:val="3"/>
        <w:ind w:left="864"/>
        <w:rPr>
          <w:lang w:val="uk-UA"/>
        </w:rPr>
      </w:pPr>
      <w:bookmarkStart w:id="98" w:name="_Toc95480997"/>
      <w:r w:rsidRPr="0024327D">
        <w:rPr>
          <w:lang w:val="uk-UA"/>
        </w:rPr>
        <w:lastRenderedPageBreak/>
        <w:t>Зниження кредитного ризику</w:t>
      </w:r>
      <w:bookmarkEnd w:id="98"/>
    </w:p>
    <w:p w14:paraId="44C761E3" w14:textId="1B80BCAE" w:rsidR="00945866" w:rsidRPr="0024327D" w:rsidRDefault="00945866" w:rsidP="00501D25">
      <w:pPr>
        <w:suppressAutoHyphens/>
        <w:rPr>
          <w:color w:val="000000"/>
          <w:lang w:val="uk-UA" w:eastAsia="uk-UA"/>
        </w:rPr>
      </w:pPr>
      <w:r w:rsidRPr="0024327D">
        <w:rPr>
          <w:color w:val="000000"/>
          <w:lang w:val="uk-UA" w:eastAsia="uk-UA"/>
        </w:rPr>
        <w:t>Сек</w:t>
      </w:r>
      <w:r w:rsidR="00033D9D" w:rsidRPr="0024327D">
        <w:rPr>
          <w:color w:val="000000"/>
          <w:lang w:val="uk-UA" w:eastAsia="uk-UA"/>
        </w:rPr>
        <w:t>’</w:t>
      </w:r>
      <w:r w:rsidRPr="0024327D">
        <w:rPr>
          <w:color w:val="000000"/>
          <w:lang w:val="uk-UA" w:eastAsia="uk-UA"/>
        </w:rPr>
        <w:t xml:space="preserve">юритизація, як правило, включає різні </w:t>
      </w:r>
      <w:r w:rsidR="00BE0345" w:rsidRPr="0024327D">
        <w:rPr>
          <w:color w:val="000000"/>
          <w:lang w:val="uk-UA" w:eastAsia="uk-UA"/>
        </w:rPr>
        <w:t xml:space="preserve">механізми </w:t>
      </w:r>
      <w:r w:rsidRPr="0024327D">
        <w:rPr>
          <w:color w:val="000000"/>
          <w:lang w:val="uk-UA" w:eastAsia="uk-UA"/>
        </w:rPr>
        <w:t xml:space="preserve">зниження кредитного ризику, що зменшують ризик для інвесторів, а отже в кінцевому підсумку </w:t>
      </w:r>
      <w:r w:rsidR="00BE0345" w:rsidRPr="0024327D">
        <w:rPr>
          <w:color w:val="000000"/>
          <w:lang w:val="uk-UA" w:eastAsia="uk-UA"/>
        </w:rPr>
        <w:t xml:space="preserve">дають </w:t>
      </w:r>
      <w:r w:rsidR="00F50E57" w:rsidRPr="0024327D">
        <w:rPr>
          <w:color w:val="000000"/>
          <w:lang w:val="uk-UA" w:eastAsia="uk-UA"/>
        </w:rPr>
        <w:t xml:space="preserve">емітентам </w:t>
      </w:r>
      <w:r w:rsidR="00BE0345" w:rsidRPr="0024327D">
        <w:rPr>
          <w:color w:val="000000"/>
          <w:lang w:val="uk-UA" w:eastAsia="uk-UA"/>
        </w:rPr>
        <w:t>можливість заощадити</w:t>
      </w:r>
      <w:r w:rsidR="00F50E57" w:rsidRPr="0024327D">
        <w:rPr>
          <w:color w:val="000000"/>
          <w:lang w:val="uk-UA" w:eastAsia="uk-UA"/>
        </w:rPr>
        <w:t xml:space="preserve"> на вартості фінансування</w:t>
      </w:r>
      <w:r w:rsidRPr="0024327D">
        <w:rPr>
          <w:color w:val="000000"/>
          <w:lang w:val="uk-UA" w:eastAsia="uk-UA"/>
        </w:rPr>
        <w:t xml:space="preserve">. </w:t>
      </w:r>
      <w:r w:rsidR="00BE0345" w:rsidRPr="0024327D">
        <w:rPr>
          <w:color w:val="000000"/>
          <w:lang w:val="uk-UA" w:eastAsia="uk-UA"/>
        </w:rPr>
        <w:t xml:space="preserve">Так, наприклад, </w:t>
      </w:r>
      <w:r w:rsidR="00F50E57" w:rsidRPr="0024327D">
        <w:rPr>
          <w:color w:val="000000"/>
          <w:lang w:val="uk-UA" w:eastAsia="uk-UA"/>
        </w:rPr>
        <w:t xml:space="preserve">основну </w:t>
      </w:r>
      <w:r w:rsidR="00BE0345" w:rsidRPr="0024327D">
        <w:rPr>
          <w:color w:val="000000"/>
          <w:lang w:val="uk-UA" w:eastAsia="uk-UA"/>
        </w:rPr>
        <w:t>суму</w:t>
      </w:r>
      <w:r w:rsidR="00F50E57" w:rsidRPr="0024327D">
        <w:rPr>
          <w:color w:val="000000"/>
          <w:lang w:val="uk-UA" w:eastAsia="uk-UA"/>
        </w:rPr>
        <w:t xml:space="preserve"> фінансування</w:t>
      </w:r>
      <w:r w:rsidR="00BE0345" w:rsidRPr="0024327D">
        <w:rPr>
          <w:color w:val="000000"/>
          <w:lang w:val="uk-UA" w:eastAsia="uk-UA"/>
        </w:rPr>
        <w:t xml:space="preserve"> </w:t>
      </w:r>
      <w:r w:rsidRPr="0024327D">
        <w:rPr>
          <w:color w:val="000000"/>
          <w:lang w:val="uk-UA" w:eastAsia="uk-UA"/>
        </w:rPr>
        <w:t>мож</w:t>
      </w:r>
      <w:r w:rsidR="00BE0345" w:rsidRPr="0024327D">
        <w:rPr>
          <w:color w:val="000000"/>
          <w:lang w:val="uk-UA" w:eastAsia="uk-UA"/>
        </w:rPr>
        <w:t xml:space="preserve">на розділити </w:t>
      </w:r>
      <w:r w:rsidRPr="0024327D">
        <w:rPr>
          <w:color w:val="000000"/>
          <w:lang w:val="uk-UA" w:eastAsia="uk-UA"/>
        </w:rPr>
        <w:t>на кілька траншів з різним пріоритетом</w:t>
      </w:r>
      <w:r w:rsidR="00BE0345" w:rsidRPr="0024327D">
        <w:rPr>
          <w:color w:val="000000"/>
          <w:lang w:val="uk-UA" w:eastAsia="uk-UA"/>
        </w:rPr>
        <w:t xml:space="preserve"> погашення</w:t>
      </w:r>
      <w:r w:rsidRPr="0024327D">
        <w:rPr>
          <w:color w:val="000000"/>
          <w:lang w:val="uk-UA" w:eastAsia="uk-UA"/>
        </w:rPr>
        <w:t xml:space="preserve">: </w:t>
      </w:r>
      <w:r w:rsidR="00BE0345" w:rsidRPr="0024327D">
        <w:rPr>
          <w:color w:val="000000"/>
          <w:lang w:val="uk-UA" w:eastAsia="uk-UA"/>
        </w:rPr>
        <w:t xml:space="preserve">транші найвищого пріоритету, </w:t>
      </w:r>
      <w:r w:rsidRPr="0024327D">
        <w:rPr>
          <w:color w:val="000000"/>
          <w:lang w:val="uk-UA" w:eastAsia="uk-UA"/>
        </w:rPr>
        <w:t>власники яких отримуватимуть виплати</w:t>
      </w:r>
      <w:r w:rsidR="00BE0345" w:rsidRPr="0024327D">
        <w:rPr>
          <w:color w:val="000000"/>
          <w:lang w:val="uk-UA" w:eastAsia="uk-UA"/>
        </w:rPr>
        <w:t xml:space="preserve"> першими</w:t>
      </w:r>
      <w:r w:rsidRPr="0024327D">
        <w:rPr>
          <w:color w:val="000000"/>
          <w:lang w:val="uk-UA" w:eastAsia="uk-UA"/>
        </w:rPr>
        <w:t xml:space="preserve">, та </w:t>
      </w:r>
      <w:r w:rsidR="00BE0345" w:rsidRPr="0024327D">
        <w:rPr>
          <w:color w:val="000000"/>
          <w:lang w:val="uk-UA" w:eastAsia="uk-UA"/>
        </w:rPr>
        <w:t>мезонінні транші або транші другої черги</w:t>
      </w:r>
      <w:r w:rsidRPr="0024327D">
        <w:rPr>
          <w:color w:val="000000"/>
          <w:lang w:val="uk-UA" w:eastAsia="uk-UA"/>
        </w:rPr>
        <w:t>, які матимуть нижчий пріоритет. На</w:t>
      </w:r>
      <w:r w:rsidR="00BE0345" w:rsidRPr="0024327D">
        <w:rPr>
          <w:color w:val="000000"/>
          <w:lang w:val="uk-UA" w:eastAsia="uk-UA"/>
        </w:rPr>
        <w:t xml:space="preserve">разі поділ на транші </w:t>
      </w:r>
      <w:r w:rsidRPr="0024327D">
        <w:rPr>
          <w:color w:val="000000"/>
          <w:lang w:val="uk-UA" w:eastAsia="uk-UA"/>
        </w:rPr>
        <w:t>українським законодавством</w:t>
      </w:r>
      <w:r w:rsidR="00BE0345" w:rsidRPr="0024327D">
        <w:rPr>
          <w:color w:val="000000"/>
          <w:lang w:val="uk-UA" w:eastAsia="uk-UA"/>
        </w:rPr>
        <w:t xml:space="preserve"> не </w:t>
      </w:r>
      <w:r w:rsidR="00024A58" w:rsidRPr="0024327D">
        <w:rPr>
          <w:color w:val="000000"/>
          <w:lang w:val="uk-UA" w:eastAsia="uk-UA"/>
        </w:rPr>
        <w:t xml:space="preserve"> передбачений</w:t>
      </w:r>
      <w:r w:rsidRPr="0024327D">
        <w:rPr>
          <w:color w:val="000000"/>
          <w:lang w:val="uk-UA" w:eastAsia="uk-UA"/>
        </w:rPr>
        <w:t xml:space="preserve">. Крім того, структурування такої угоди може </w:t>
      </w:r>
      <w:r w:rsidR="00BE0345" w:rsidRPr="0024327D">
        <w:rPr>
          <w:color w:val="000000"/>
          <w:lang w:val="uk-UA" w:eastAsia="uk-UA"/>
        </w:rPr>
        <w:t xml:space="preserve">виявитися </w:t>
      </w:r>
      <w:r w:rsidRPr="0024327D">
        <w:rPr>
          <w:color w:val="000000"/>
          <w:lang w:val="uk-UA" w:eastAsia="uk-UA"/>
        </w:rPr>
        <w:t xml:space="preserve">дуже складним і не забезпечить достатньої </w:t>
      </w:r>
      <w:r w:rsidR="00BE0345" w:rsidRPr="0024327D">
        <w:rPr>
          <w:color w:val="000000"/>
          <w:lang w:val="uk-UA" w:eastAsia="uk-UA"/>
        </w:rPr>
        <w:t xml:space="preserve">правової </w:t>
      </w:r>
      <w:r w:rsidR="001E1E2B" w:rsidRPr="0024327D">
        <w:rPr>
          <w:color w:val="000000"/>
          <w:lang w:val="uk-UA" w:eastAsia="uk-UA"/>
        </w:rPr>
        <w:t xml:space="preserve">визначеності </w:t>
      </w:r>
      <w:r w:rsidRPr="0024327D">
        <w:rPr>
          <w:color w:val="000000"/>
          <w:lang w:val="uk-UA" w:eastAsia="uk-UA"/>
        </w:rPr>
        <w:t>інвестор</w:t>
      </w:r>
      <w:r w:rsidR="00BE0345" w:rsidRPr="0024327D">
        <w:rPr>
          <w:color w:val="000000"/>
          <w:lang w:val="uk-UA" w:eastAsia="uk-UA"/>
        </w:rPr>
        <w:t>ам</w:t>
      </w:r>
      <w:r w:rsidRPr="0024327D">
        <w:rPr>
          <w:color w:val="000000"/>
          <w:lang w:val="uk-UA" w:eastAsia="uk-UA"/>
        </w:rPr>
        <w:t xml:space="preserve">. Концепція </w:t>
      </w:r>
      <w:r w:rsidR="00BE0345" w:rsidRPr="0024327D">
        <w:rPr>
          <w:color w:val="000000"/>
          <w:lang w:val="uk-UA" w:eastAsia="uk-UA"/>
        </w:rPr>
        <w:t>договору між кредиторами</w:t>
      </w:r>
      <w:r w:rsidRPr="0024327D">
        <w:rPr>
          <w:color w:val="000000"/>
          <w:lang w:val="uk-UA" w:eastAsia="uk-UA"/>
        </w:rPr>
        <w:t xml:space="preserve"> (</w:t>
      </w:r>
      <w:r w:rsidR="00BE0345" w:rsidRPr="0024327D">
        <w:rPr>
          <w:color w:val="000000"/>
          <w:lang w:val="uk-UA" w:eastAsia="uk-UA"/>
        </w:rPr>
        <w:t xml:space="preserve">у якому </w:t>
      </w:r>
      <w:r w:rsidRPr="0024327D">
        <w:rPr>
          <w:color w:val="000000"/>
          <w:lang w:val="uk-UA" w:eastAsia="uk-UA"/>
        </w:rPr>
        <w:t xml:space="preserve">кредитори могли б домовитись між собою щодо </w:t>
      </w:r>
      <w:r w:rsidR="001E1E2B" w:rsidRPr="0024327D">
        <w:rPr>
          <w:color w:val="000000"/>
          <w:lang w:val="uk-UA" w:eastAsia="uk-UA"/>
        </w:rPr>
        <w:t>черговості з</w:t>
      </w:r>
      <w:r w:rsidR="00F13CCE" w:rsidRPr="0024327D">
        <w:rPr>
          <w:color w:val="000000"/>
          <w:lang w:val="uk-UA" w:eastAsia="uk-UA"/>
        </w:rPr>
        <w:t>а</w:t>
      </w:r>
      <w:r w:rsidR="001E1E2B" w:rsidRPr="0024327D">
        <w:rPr>
          <w:color w:val="000000"/>
          <w:lang w:val="uk-UA" w:eastAsia="uk-UA"/>
        </w:rPr>
        <w:t xml:space="preserve">доволення </w:t>
      </w:r>
      <w:r w:rsidRPr="0024327D">
        <w:rPr>
          <w:color w:val="000000"/>
          <w:lang w:val="uk-UA" w:eastAsia="uk-UA"/>
        </w:rPr>
        <w:t xml:space="preserve">вимог до того, як боржник </w:t>
      </w:r>
      <w:r w:rsidR="00F13CCE" w:rsidRPr="0024327D">
        <w:rPr>
          <w:color w:val="000000"/>
          <w:lang w:val="uk-UA" w:eastAsia="uk-UA"/>
        </w:rPr>
        <w:t>потрапить в банкрутство</w:t>
      </w:r>
      <w:r w:rsidRPr="0024327D">
        <w:rPr>
          <w:color w:val="000000"/>
          <w:lang w:val="uk-UA" w:eastAsia="uk-UA"/>
        </w:rPr>
        <w:t>) українським законодавством про банкрутство</w:t>
      </w:r>
      <w:r w:rsidR="00BE0345" w:rsidRPr="0024327D">
        <w:rPr>
          <w:color w:val="000000"/>
          <w:lang w:val="uk-UA" w:eastAsia="uk-UA"/>
        </w:rPr>
        <w:t xml:space="preserve"> не передбачена</w:t>
      </w:r>
      <w:r w:rsidRPr="0024327D">
        <w:rPr>
          <w:color w:val="000000"/>
          <w:lang w:val="uk-UA" w:eastAsia="uk-UA"/>
        </w:rPr>
        <w:t>.</w:t>
      </w:r>
    </w:p>
    <w:p w14:paraId="790F5AAA" w14:textId="1C853B15" w:rsidR="00AA57AA" w:rsidRPr="00E83610" w:rsidRDefault="00BE0345" w:rsidP="00501D25">
      <w:pPr>
        <w:suppressAutoHyphens/>
        <w:rPr>
          <w:color w:val="000000"/>
          <w:lang w:val="uk-UA" w:eastAsia="uk-UA"/>
        </w:rPr>
      </w:pPr>
      <w:r w:rsidRPr="0024327D">
        <w:rPr>
          <w:color w:val="000000"/>
          <w:lang w:val="uk-UA" w:eastAsia="uk-UA"/>
        </w:rPr>
        <w:t xml:space="preserve">Крім того, </w:t>
      </w:r>
      <w:r w:rsidR="007B05FB" w:rsidRPr="0024327D">
        <w:rPr>
          <w:color w:val="000000"/>
          <w:lang w:val="uk-UA" w:eastAsia="uk-UA"/>
        </w:rPr>
        <w:t>відступлення</w:t>
      </w:r>
      <w:r w:rsidR="00333015" w:rsidRPr="0024327D">
        <w:rPr>
          <w:color w:val="000000"/>
          <w:lang w:val="uk-UA" w:eastAsia="uk-UA"/>
        </w:rPr>
        <w:t xml:space="preserve"> прав вимоги за</w:t>
      </w:r>
      <w:r w:rsidR="007B05FB" w:rsidRPr="0024327D">
        <w:rPr>
          <w:color w:val="000000"/>
          <w:lang w:val="uk-UA" w:eastAsia="uk-UA"/>
        </w:rPr>
        <w:t xml:space="preserve"> </w:t>
      </w:r>
      <w:r w:rsidRPr="0024327D">
        <w:rPr>
          <w:color w:val="000000"/>
          <w:lang w:val="uk-UA" w:eastAsia="uk-UA"/>
        </w:rPr>
        <w:t>актив</w:t>
      </w:r>
      <w:r w:rsidR="00333015" w:rsidRPr="0024327D">
        <w:rPr>
          <w:color w:val="000000"/>
          <w:lang w:val="uk-UA" w:eastAsia="uk-UA"/>
        </w:rPr>
        <w:t>ами</w:t>
      </w:r>
      <w:r w:rsidRPr="0024327D">
        <w:rPr>
          <w:color w:val="000000"/>
          <w:lang w:val="uk-UA" w:eastAsia="uk-UA"/>
        </w:rPr>
        <w:t xml:space="preserve"> з</w:t>
      </w:r>
      <w:r w:rsidR="00F13CCE" w:rsidRPr="0024327D">
        <w:rPr>
          <w:color w:val="000000"/>
          <w:lang w:val="uk-UA" w:eastAsia="uk-UA"/>
        </w:rPr>
        <w:t xml:space="preserve"> дисконтом </w:t>
      </w:r>
      <w:r w:rsidRPr="0024327D">
        <w:rPr>
          <w:color w:val="000000"/>
          <w:lang w:val="uk-UA" w:eastAsia="uk-UA"/>
        </w:rPr>
        <w:t xml:space="preserve">може здатися підозрілим </w:t>
      </w:r>
      <w:r w:rsidR="000B6BA2" w:rsidRPr="0024327D">
        <w:rPr>
          <w:color w:val="000000"/>
          <w:lang w:val="uk-UA" w:eastAsia="uk-UA"/>
        </w:rPr>
        <w:t xml:space="preserve">для </w:t>
      </w:r>
      <w:r w:rsidR="00024A58" w:rsidRPr="0024327D">
        <w:rPr>
          <w:color w:val="000000"/>
          <w:lang w:val="uk-UA" w:eastAsia="uk-UA"/>
        </w:rPr>
        <w:t xml:space="preserve">правоохоронних та податкових </w:t>
      </w:r>
      <w:r w:rsidRPr="0024327D">
        <w:rPr>
          <w:color w:val="000000"/>
          <w:lang w:val="uk-UA" w:eastAsia="uk-UA"/>
        </w:rPr>
        <w:t>орган</w:t>
      </w:r>
      <w:r w:rsidR="000B6BA2" w:rsidRPr="0024327D">
        <w:rPr>
          <w:color w:val="000000"/>
          <w:lang w:val="uk-UA" w:eastAsia="uk-UA"/>
        </w:rPr>
        <w:t>ів</w:t>
      </w:r>
      <w:r w:rsidRPr="0024327D">
        <w:rPr>
          <w:color w:val="000000"/>
          <w:lang w:val="uk-UA" w:eastAsia="uk-UA"/>
        </w:rPr>
        <w:t>.</w:t>
      </w:r>
      <w:r w:rsidR="009376B4" w:rsidRPr="0024327D">
        <w:rPr>
          <w:color w:val="000000"/>
          <w:lang w:val="uk-UA" w:eastAsia="uk-UA"/>
        </w:rPr>
        <w:t xml:space="preserve"> </w:t>
      </w:r>
      <w:r w:rsidR="003F02FB" w:rsidRPr="0024327D">
        <w:rPr>
          <w:color w:val="000000"/>
          <w:lang w:val="uk-UA" w:eastAsia="uk-UA"/>
        </w:rPr>
        <w:t xml:space="preserve">Аналогічно, надмірний рівень надлишкового забезпечення може також розглядатися органом, що здійснює тимчасову адміністрацію, як спосіб виведення активів із оригінатора. </w:t>
      </w:r>
      <w:r w:rsidR="007A59FE" w:rsidRPr="0024327D">
        <w:rPr>
          <w:color w:val="000000"/>
          <w:lang w:val="uk-UA" w:eastAsia="uk-UA"/>
        </w:rPr>
        <w:t>Як правило</w:t>
      </w:r>
      <w:r w:rsidR="003F02FB" w:rsidRPr="0024327D">
        <w:rPr>
          <w:color w:val="000000"/>
          <w:lang w:val="uk-UA" w:eastAsia="uk-UA"/>
        </w:rPr>
        <w:t xml:space="preserve">, </w:t>
      </w:r>
      <w:r w:rsidR="006F0ABF" w:rsidRPr="0024327D">
        <w:rPr>
          <w:color w:val="000000"/>
          <w:lang w:val="uk-UA" w:eastAsia="uk-UA"/>
        </w:rPr>
        <w:t>рівень надлишкового</w:t>
      </w:r>
      <w:r w:rsidR="003F02FB" w:rsidRPr="0024327D">
        <w:rPr>
          <w:color w:val="000000"/>
          <w:lang w:val="uk-UA" w:eastAsia="uk-UA"/>
        </w:rPr>
        <w:t xml:space="preserve"> забезпечення не має істотно перевищувати </w:t>
      </w:r>
      <w:r w:rsidR="006F0ABF" w:rsidRPr="0024327D">
        <w:rPr>
          <w:color w:val="000000"/>
          <w:lang w:val="uk-UA" w:eastAsia="uk-UA"/>
        </w:rPr>
        <w:t>рівень</w:t>
      </w:r>
      <w:r w:rsidR="003F02FB" w:rsidRPr="0024327D">
        <w:rPr>
          <w:color w:val="000000"/>
          <w:lang w:val="uk-UA" w:eastAsia="uk-UA"/>
        </w:rPr>
        <w:t xml:space="preserve">, що </w:t>
      </w:r>
      <w:r w:rsidR="006F0ABF" w:rsidRPr="0024327D">
        <w:rPr>
          <w:color w:val="000000"/>
          <w:lang w:val="uk-UA" w:eastAsia="uk-UA"/>
        </w:rPr>
        <w:t>вимагається</w:t>
      </w:r>
      <w:r w:rsidR="003F02FB" w:rsidRPr="0024327D">
        <w:rPr>
          <w:color w:val="000000"/>
          <w:lang w:val="uk-UA" w:eastAsia="uk-UA"/>
        </w:rPr>
        <w:t xml:space="preserve"> для підтримки </w:t>
      </w:r>
      <w:r w:rsidR="006F0ABF" w:rsidRPr="0024327D">
        <w:rPr>
          <w:color w:val="000000"/>
          <w:lang w:val="uk-UA" w:eastAsia="uk-UA"/>
        </w:rPr>
        <w:t>найбільш</w:t>
      </w:r>
      <w:r w:rsidR="003F02FB" w:rsidRPr="0024327D">
        <w:rPr>
          <w:color w:val="000000"/>
          <w:lang w:val="uk-UA" w:eastAsia="uk-UA"/>
        </w:rPr>
        <w:t xml:space="preserve"> можливо</w:t>
      </w:r>
      <w:r w:rsidR="00AC25E8" w:rsidRPr="0024327D">
        <w:rPr>
          <w:color w:val="000000"/>
          <w:lang w:val="uk-UA" w:eastAsia="uk-UA"/>
        </w:rPr>
        <w:t>го</w:t>
      </w:r>
      <w:r w:rsidR="003F02FB" w:rsidRPr="0024327D">
        <w:rPr>
          <w:color w:val="000000"/>
          <w:lang w:val="uk-UA" w:eastAsia="uk-UA"/>
        </w:rPr>
        <w:t xml:space="preserve"> </w:t>
      </w:r>
      <w:r w:rsidR="00AC25E8" w:rsidRPr="0024327D">
        <w:rPr>
          <w:color w:val="000000"/>
          <w:lang w:val="uk-UA" w:eastAsia="uk-UA"/>
        </w:rPr>
        <w:t xml:space="preserve">рівня </w:t>
      </w:r>
      <w:r w:rsidR="00AC25E8" w:rsidRPr="0024327D">
        <w:rPr>
          <w:rFonts w:cs="Arial"/>
          <w:lang w:val="uk-UA"/>
        </w:rPr>
        <w:t xml:space="preserve">якості активів </w:t>
      </w:r>
      <w:r w:rsidR="003F02FB" w:rsidRPr="0024327D">
        <w:rPr>
          <w:color w:val="000000"/>
          <w:lang w:val="uk-UA" w:eastAsia="uk-UA"/>
        </w:rPr>
        <w:t>за облігаціями. Це може бути перевірено регулятором (НКЦПФР або НБУ) під час випуску облігацій.</w:t>
      </w:r>
    </w:p>
    <w:p w14:paraId="7261ECA4" w14:textId="77AB1346" w:rsidR="00207490" w:rsidRPr="0024327D" w:rsidRDefault="005D1EC1" w:rsidP="00501D25">
      <w:pPr>
        <w:suppressAutoHyphens/>
        <w:rPr>
          <w:b/>
          <w:color w:val="000000"/>
          <w:lang w:val="uk-UA" w:eastAsia="uk-UA"/>
        </w:rPr>
      </w:pPr>
      <w:r w:rsidRPr="0024327D">
        <w:rPr>
          <w:b/>
          <w:color w:val="000000"/>
          <w:lang w:val="uk-UA" w:eastAsia="uk-UA"/>
        </w:rPr>
        <w:t>Дериватив</w:t>
      </w:r>
      <w:r w:rsidR="00024A58" w:rsidRPr="0024327D">
        <w:rPr>
          <w:b/>
          <w:color w:val="000000"/>
          <w:lang w:val="uk-UA" w:eastAsia="uk-UA"/>
        </w:rPr>
        <w:t xml:space="preserve">ні </w:t>
      </w:r>
      <w:r w:rsidR="00377D9F" w:rsidRPr="0024327D">
        <w:rPr>
          <w:b/>
          <w:color w:val="000000"/>
          <w:lang w:val="uk-UA" w:eastAsia="uk-UA"/>
        </w:rPr>
        <w:t xml:space="preserve"> фінансові  інструменти</w:t>
      </w:r>
    </w:p>
    <w:p w14:paraId="4F496E29" w14:textId="35DF61C5" w:rsidR="005D1EC1" w:rsidRPr="0024327D" w:rsidRDefault="005D1EC1" w:rsidP="00501D25">
      <w:pPr>
        <w:rPr>
          <w:color w:val="000000"/>
          <w:lang w:val="uk-UA" w:eastAsia="uk-UA"/>
        </w:rPr>
      </w:pPr>
      <w:r w:rsidRPr="0024327D">
        <w:rPr>
          <w:color w:val="000000"/>
          <w:lang w:val="uk-UA" w:eastAsia="uk-UA"/>
        </w:rPr>
        <w:t xml:space="preserve">Емітент також може </w:t>
      </w:r>
      <w:r w:rsidR="00BE00A9" w:rsidRPr="0024327D">
        <w:rPr>
          <w:color w:val="000000"/>
          <w:lang w:val="uk-UA" w:eastAsia="uk-UA"/>
        </w:rPr>
        <w:t xml:space="preserve">скористатись </w:t>
      </w:r>
      <w:r w:rsidRPr="0024327D">
        <w:rPr>
          <w:color w:val="000000"/>
          <w:lang w:val="uk-UA" w:eastAsia="uk-UA"/>
        </w:rPr>
        <w:t>дериватив</w:t>
      </w:r>
      <w:r w:rsidR="00024A58" w:rsidRPr="0024327D">
        <w:rPr>
          <w:color w:val="000000"/>
          <w:lang w:val="uk-UA" w:eastAsia="uk-UA"/>
        </w:rPr>
        <w:t xml:space="preserve">ними </w:t>
      </w:r>
      <w:r w:rsidR="00377D9F" w:rsidRPr="0024327D">
        <w:rPr>
          <w:color w:val="000000"/>
          <w:lang w:val="uk-UA" w:eastAsia="uk-UA"/>
        </w:rPr>
        <w:t>фінансовими інструментами</w:t>
      </w:r>
      <w:r w:rsidRPr="0024327D">
        <w:rPr>
          <w:color w:val="000000"/>
          <w:lang w:val="uk-UA" w:eastAsia="uk-UA"/>
        </w:rPr>
        <w:t>, таки</w:t>
      </w:r>
      <w:r w:rsidR="00BE00A9" w:rsidRPr="0024327D">
        <w:rPr>
          <w:color w:val="000000"/>
          <w:lang w:val="uk-UA" w:eastAsia="uk-UA"/>
        </w:rPr>
        <w:t>ми</w:t>
      </w:r>
      <w:r w:rsidRPr="0024327D">
        <w:rPr>
          <w:color w:val="000000"/>
          <w:lang w:val="uk-UA" w:eastAsia="uk-UA"/>
        </w:rPr>
        <w:t xml:space="preserve"> як </w:t>
      </w:r>
      <w:r w:rsidR="00BE00A9" w:rsidRPr="0024327D">
        <w:rPr>
          <w:color w:val="000000"/>
          <w:lang w:val="uk-UA" w:eastAsia="uk-UA"/>
        </w:rPr>
        <w:t xml:space="preserve">свопи на </w:t>
      </w:r>
      <w:r w:rsidR="0087354C" w:rsidRPr="0024327D">
        <w:rPr>
          <w:color w:val="000000"/>
          <w:lang w:val="uk-UA" w:eastAsia="uk-UA"/>
        </w:rPr>
        <w:t xml:space="preserve">відсоткові </w:t>
      </w:r>
      <w:r w:rsidRPr="0024327D">
        <w:rPr>
          <w:color w:val="000000"/>
          <w:lang w:val="uk-UA" w:eastAsia="uk-UA"/>
        </w:rPr>
        <w:t xml:space="preserve">ставки або валютні свопи. </w:t>
      </w:r>
      <w:r w:rsidR="00BE00A9" w:rsidRPr="0024327D">
        <w:rPr>
          <w:color w:val="000000"/>
          <w:lang w:val="uk-UA" w:eastAsia="uk-UA"/>
        </w:rPr>
        <w:t>С</w:t>
      </w:r>
      <w:r w:rsidRPr="0024327D">
        <w:rPr>
          <w:color w:val="000000"/>
          <w:lang w:val="uk-UA" w:eastAsia="uk-UA"/>
        </w:rPr>
        <w:t xml:space="preserve">воп </w:t>
      </w:r>
      <w:r w:rsidR="00BE00A9" w:rsidRPr="0024327D">
        <w:rPr>
          <w:color w:val="000000"/>
          <w:lang w:val="uk-UA" w:eastAsia="uk-UA"/>
        </w:rPr>
        <w:t xml:space="preserve">на </w:t>
      </w:r>
      <w:r w:rsidR="0087354C" w:rsidRPr="0024327D">
        <w:rPr>
          <w:color w:val="000000"/>
          <w:lang w:val="uk-UA" w:eastAsia="uk-UA"/>
        </w:rPr>
        <w:t xml:space="preserve">відсоткову </w:t>
      </w:r>
      <w:r w:rsidR="00BE00A9" w:rsidRPr="0024327D">
        <w:rPr>
          <w:color w:val="000000"/>
          <w:lang w:val="uk-UA" w:eastAsia="uk-UA"/>
        </w:rPr>
        <w:t xml:space="preserve">ставку </w:t>
      </w:r>
      <w:r w:rsidRPr="0024327D">
        <w:rPr>
          <w:color w:val="000000"/>
          <w:lang w:val="uk-UA" w:eastAsia="uk-UA"/>
        </w:rPr>
        <w:t>дозволяє компанії випускати облігації з плаваючою ставкою, не наражаючи її при цьому на ризик збільшення базової ставки. Отже, це може забезпечити емітенту доступ до ширшо</w:t>
      </w:r>
      <w:r w:rsidR="00AC5CA8" w:rsidRPr="0024327D">
        <w:rPr>
          <w:color w:val="000000"/>
          <w:lang w:val="uk-UA" w:eastAsia="uk-UA"/>
        </w:rPr>
        <w:t xml:space="preserve">го кола </w:t>
      </w:r>
      <w:r w:rsidRPr="0024327D">
        <w:rPr>
          <w:color w:val="000000"/>
          <w:lang w:val="uk-UA" w:eastAsia="uk-UA"/>
        </w:rPr>
        <w:t xml:space="preserve">інвесторів. Валютний своп дозволяє компанії хеджувати свої валютні ризики у разі </w:t>
      </w:r>
      <w:r w:rsidR="00AC5CA8" w:rsidRPr="0024327D">
        <w:rPr>
          <w:color w:val="000000"/>
          <w:lang w:val="uk-UA" w:eastAsia="uk-UA"/>
        </w:rPr>
        <w:t xml:space="preserve">залучення фінансування </w:t>
      </w:r>
      <w:r w:rsidR="000B6BA2" w:rsidRPr="0024327D">
        <w:rPr>
          <w:color w:val="000000"/>
          <w:lang w:val="uk-UA" w:eastAsia="uk-UA"/>
        </w:rPr>
        <w:t>у</w:t>
      </w:r>
      <w:r w:rsidRPr="0024327D">
        <w:rPr>
          <w:color w:val="000000"/>
          <w:lang w:val="uk-UA" w:eastAsia="uk-UA"/>
        </w:rPr>
        <w:t xml:space="preserve"> іноземній валюті. </w:t>
      </w:r>
      <w:r w:rsidR="00195E20" w:rsidRPr="0024327D">
        <w:rPr>
          <w:color w:val="000000"/>
          <w:lang w:val="uk-UA" w:eastAsia="uk-UA"/>
        </w:rPr>
        <w:t xml:space="preserve">Реформа </w:t>
      </w:r>
      <w:r w:rsidR="006D56FB" w:rsidRPr="0024327D">
        <w:rPr>
          <w:color w:val="000000"/>
          <w:lang w:val="uk-UA" w:eastAsia="uk-UA"/>
        </w:rPr>
        <w:t>законодавства у сфері дериватив</w:t>
      </w:r>
      <w:r w:rsidR="005575B2" w:rsidRPr="0024327D">
        <w:rPr>
          <w:color w:val="000000"/>
          <w:lang w:val="uk-UA" w:eastAsia="uk-UA"/>
        </w:rPr>
        <w:t xml:space="preserve">них </w:t>
      </w:r>
      <w:r w:rsidR="00377D9F" w:rsidRPr="0024327D">
        <w:rPr>
          <w:color w:val="000000"/>
          <w:lang w:val="uk-UA" w:eastAsia="uk-UA"/>
        </w:rPr>
        <w:t xml:space="preserve"> фінансових інструментів</w:t>
      </w:r>
      <w:r w:rsidR="006D56FB" w:rsidRPr="0024327D">
        <w:rPr>
          <w:color w:val="000000"/>
          <w:lang w:val="uk-UA" w:eastAsia="uk-UA"/>
        </w:rPr>
        <w:t>, яка була нещодавно запроваджена в Україні, має надати можливість використовувати дериватив</w:t>
      </w:r>
      <w:r w:rsidR="005575B2" w:rsidRPr="0024327D">
        <w:rPr>
          <w:color w:val="000000"/>
          <w:lang w:val="uk-UA" w:eastAsia="uk-UA"/>
        </w:rPr>
        <w:t xml:space="preserve">ні </w:t>
      </w:r>
      <w:r w:rsidR="00377D9F" w:rsidRPr="0024327D">
        <w:rPr>
          <w:color w:val="000000"/>
          <w:lang w:val="uk-UA" w:eastAsia="uk-UA"/>
        </w:rPr>
        <w:t>фінансові інструменти</w:t>
      </w:r>
      <w:r w:rsidR="006D56FB" w:rsidRPr="0024327D">
        <w:rPr>
          <w:color w:val="000000"/>
          <w:lang w:val="uk-UA" w:eastAsia="uk-UA"/>
        </w:rPr>
        <w:t>, зокрема, в сек’юритизації</w:t>
      </w:r>
      <w:r w:rsidR="0038719A" w:rsidRPr="0024327D">
        <w:rPr>
          <w:color w:val="000000"/>
          <w:lang w:val="uk-UA" w:eastAsia="uk-UA"/>
        </w:rPr>
        <w:t xml:space="preserve"> та розширити перелік інструментів зниження кредитного ризику.</w:t>
      </w:r>
    </w:p>
    <w:p w14:paraId="46FEB112" w14:textId="417481D6" w:rsidR="001D55E0" w:rsidRPr="0024327D" w:rsidRDefault="0068426B" w:rsidP="005D1EC1">
      <w:pPr>
        <w:pStyle w:val="3"/>
        <w:ind w:left="864"/>
        <w:rPr>
          <w:lang w:val="uk-UA"/>
        </w:rPr>
      </w:pPr>
      <w:bookmarkStart w:id="99" w:name="_Toc84302536"/>
      <w:bookmarkStart w:id="100" w:name="_Toc8065590"/>
      <w:bookmarkStart w:id="101" w:name="_Toc8065659"/>
      <w:bookmarkStart w:id="102" w:name="_Toc8065727"/>
      <w:bookmarkStart w:id="103" w:name="_Toc8065794"/>
      <w:bookmarkStart w:id="104" w:name="_Toc8065591"/>
      <w:bookmarkStart w:id="105" w:name="_Toc8065660"/>
      <w:bookmarkStart w:id="106" w:name="_Toc8065728"/>
      <w:bookmarkStart w:id="107" w:name="_Toc8065795"/>
      <w:bookmarkStart w:id="108" w:name="_Toc95480998"/>
      <w:bookmarkEnd w:id="99"/>
      <w:bookmarkEnd w:id="100"/>
      <w:bookmarkEnd w:id="101"/>
      <w:bookmarkEnd w:id="102"/>
      <w:bookmarkEnd w:id="103"/>
      <w:bookmarkEnd w:id="104"/>
      <w:bookmarkEnd w:id="105"/>
      <w:bookmarkEnd w:id="106"/>
      <w:bookmarkEnd w:id="107"/>
      <w:r w:rsidRPr="0024327D">
        <w:rPr>
          <w:lang w:val="uk-UA"/>
        </w:rPr>
        <w:t>Податковий нейтралітет</w:t>
      </w:r>
      <w:bookmarkEnd w:id="108"/>
    </w:p>
    <w:p w14:paraId="5786FD65" w14:textId="18529CA3" w:rsidR="00033D9D" w:rsidRPr="0024327D" w:rsidRDefault="002C73B9" w:rsidP="00BB60E8">
      <w:pPr>
        <w:rPr>
          <w:lang w:val="uk-UA"/>
        </w:rPr>
      </w:pPr>
      <w:r w:rsidRPr="0024327D">
        <w:rPr>
          <w:lang w:val="uk-UA"/>
        </w:rPr>
        <w:t>Необхідно, щоб п</w:t>
      </w:r>
      <w:r w:rsidR="00033D9D" w:rsidRPr="0024327D">
        <w:rPr>
          <w:lang w:val="uk-UA"/>
        </w:rPr>
        <w:t xml:space="preserve">одатковий режим </w:t>
      </w:r>
      <w:r w:rsidRPr="0024327D">
        <w:rPr>
          <w:lang w:val="uk-UA"/>
        </w:rPr>
        <w:t xml:space="preserve">і </w:t>
      </w:r>
      <w:r w:rsidR="00033D9D" w:rsidRPr="0024327D">
        <w:rPr>
          <w:lang w:val="uk-UA"/>
        </w:rPr>
        <w:t xml:space="preserve">сек'юритизації, </w:t>
      </w:r>
      <w:r w:rsidRPr="0024327D">
        <w:rPr>
          <w:lang w:val="uk-UA"/>
        </w:rPr>
        <w:t xml:space="preserve">і </w:t>
      </w:r>
      <w:r w:rsidR="00645A85" w:rsidRPr="0024327D">
        <w:rPr>
          <w:lang w:val="uk-UA"/>
        </w:rPr>
        <w:t>облігацій з покриттям</w:t>
      </w:r>
      <w:r w:rsidR="00033D9D" w:rsidRPr="0024327D">
        <w:rPr>
          <w:lang w:val="uk-UA"/>
        </w:rPr>
        <w:t xml:space="preserve"> базува</w:t>
      </w:r>
      <w:r w:rsidRPr="0024327D">
        <w:rPr>
          <w:lang w:val="uk-UA"/>
        </w:rPr>
        <w:t>в</w:t>
      </w:r>
      <w:r w:rsidR="00033D9D" w:rsidRPr="0024327D">
        <w:rPr>
          <w:lang w:val="uk-UA"/>
        </w:rPr>
        <w:t xml:space="preserve">ся на принципі, </w:t>
      </w:r>
      <w:r w:rsidR="000045A6" w:rsidRPr="0024327D">
        <w:rPr>
          <w:lang w:val="uk-UA"/>
        </w:rPr>
        <w:t xml:space="preserve">що </w:t>
      </w:r>
      <w:r w:rsidR="00D97CEC" w:rsidRPr="0024327D">
        <w:rPr>
          <w:lang w:val="uk-UA"/>
        </w:rPr>
        <w:t xml:space="preserve">жодні податки не повинні </w:t>
      </w:r>
      <w:r w:rsidR="00116385" w:rsidRPr="0024327D">
        <w:rPr>
          <w:lang w:val="uk-UA"/>
        </w:rPr>
        <w:t xml:space="preserve">стягуватись, </w:t>
      </w:r>
      <w:r w:rsidR="004A0C28" w:rsidRPr="0024327D">
        <w:rPr>
          <w:lang w:val="uk-UA"/>
        </w:rPr>
        <w:t xml:space="preserve">і </w:t>
      </w:r>
      <w:r w:rsidR="00116385" w:rsidRPr="0024327D">
        <w:rPr>
          <w:lang w:val="uk-UA"/>
        </w:rPr>
        <w:t xml:space="preserve">жодних податків не має бути уникнено, </w:t>
      </w:r>
      <w:r w:rsidRPr="0024327D">
        <w:rPr>
          <w:lang w:val="uk-UA"/>
        </w:rPr>
        <w:t>внаслідок трансакції</w:t>
      </w:r>
      <w:r w:rsidR="004A0C28" w:rsidRPr="0024327D">
        <w:rPr>
          <w:lang w:val="uk-UA"/>
        </w:rPr>
        <w:t>, а також</w:t>
      </w:r>
      <w:r w:rsidR="00033D9D" w:rsidRPr="0024327D">
        <w:rPr>
          <w:lang w:val="uk-UA"/>
        </w:rPr>
        <w:t xml:space="preserve"> </w:t>
      </w:r>
      <w:r w:rsidR="00F21CDF" w:rsidRPr="0024327D">
        <w:rPr>
          <w:lang w:val="uk-UA"/>
        </w:rPr>
        <w:t xml:space="preserve">виплата жодних податків не повинна пришвидшуватись </w:t>
      </w:r>
      <w:r w:rsidR="004A0C28" w:rsidRPr="0024327D">
        <w:rPr>
          <w:lang w:val="uk-UA"/>
        </w:rPr>
        <w:t>внаслід</w:t>
      </w:r>
      <w:r w:rsidR="00F21CDF" w:rsidRPr="0024327D">
        <w:rPr>
          <w:lang w:val="uk-UA"/>
        </w:rPr>
        <w:t>ок</w:t>
      </w:r>
      <w:r w:rsidR="004A0C28" w:rsidRPr="0024327D">
        <w:rPr>
          <w:lang w:val="uk-UA"/>
        </w:rPr>
        <w:t xml:space="preserve"> трансакції</w:t>
      </w:r>
      <w:r w:rsidR="00F21CDF" w:rsidRPr="0024327D">
        <w:rPr>
          <w:lang w:val="uk-UA"/>
        </w:rPr>
        <w:t>, крім таких податків, які були б стягнуті, уникнені або стягнення яких було б прискорене у зв’язку з випуском звичайних незабезпечених облігацій</w:t>
      </w:r>
      <w:r w:rsidR="00BB60E8" w:rsidRPr="0024327D">
        <w:rPr>
          <w:lang w:val="uk-UA"/>
        </w:rPr>
        <w:t xml:space="preserve">. </w:t>
      </w:r>
    </w:p>
    <w:p w14:paraId="14127135" w14:textId="4C4EB553" w:rsidR="00593A91" w:rsidRPr="0024327D" w:rsidRDefault="000045A6" w:rsidP="00CC2791">
      <w:pPr>
        <w:rPr>
          <w:lang w:val="uk-UA"/>
        </w:rPr>
      </w:pPr>
      <w:r w:rsidRPr="0024327D">
        <w:rPr>
          <w:lang w:val="uk-UA"/>
        </w:rPr>
        <w:t>Огляд цього податкового режиму викладено нижче</w:t>
      </w:r>
      <w:r w:rsidR="00DE1E97" w:rsidRPr="0024327D">
        <w:rPr>
          <w:lang w:val="uk-UA"/>
        </w:rPr>
        <w:t>:</w:t>
      </w:r>
    </w:p>
    <w:p w14:paraId="228DB421" w14:textId="580C7ADE" w:rsidR="00CC2791" w:rsidRPr="0024327D" w:rsidRDefault="000045A6" w:rsidP="001F563F">
      <w:pPr>
        <w:pStyle w:val="a4"/>
        <w:numPr>
          <w:ilvl w:val="0"/>
          <w:numId w:val="23"/>
        </w:numPr>
        <w:rPr>
          <w:lang w:val="uk-UA"/>
        </w:rPr>
      </w:pPr>
      <w:r w:rsidRPr="0024327D">
        <w:rPr>
          <w:lang w:val="uk-UA"/>
        </w:rPr>
        <w:t>Податковий режим збитків, що виникають внаслідок передачі права вимоги за вартістю, нижчою за номінальну</w:t>
      </w:r>
      <w:r w:rsidR="00CC2791" w:rsidRPr="0024327D">
        <w:rPr>
          <w:lang w:val="uk-UA"/>
        </w:rPr>
        <w:t>:</w:t>
      </w:r>
    </w:p>
    <w:p w14:paraId="31442078" w14:textId="77C6A010" w:rsidR="00D731A4" w:rsidRPr="0024327D" w:rsidRDefault="000045A6" w:rsidP="00CC2791">
      <w:pPr>
        <w:rPr>
          <w:lang w:val="uk-UA"/>
        </w:rPr>
      </w:pPr>
      <w:r w:rsidRPr="0024327D">
        <w:rPr>
          <w:lang w:val="uk-UA"/>
        </w:rPr>
        <w:t>На даний момент не існує спеціального податкового режиму щодо таких збитків, тому податкові наслідки визначатимуться за даними бухгалтерського обліку, тобто якщо передача права вимоги веде до збитків, відображених у даних бухгалтерському обліку, вони також вважатимуться збитками для цілей оподаткування. Збитки оригінатора, що виникають внаслідок передачі права вимоги, зазвичай вважаються витратами, що не включаються у податкову базу при визначенні податку на прибуток підприємства.</w:t>
      </w:r>
      <w:r w:rsidR="00454A75" w:rsidRPr="0024327D" w:rsidDel="00454A75">
        <w:rPr>
          <w:b/>
          <w:lang w:val="uk-UA"/>
        </w:rPr>
        <w:t xml:space="preserve"> </w:t>
      </w:r>
    </w:p>
    <w:p w14:paraId="1D9E6434" w14:textId="71D28397" w:rsidR="00CC2791" w:rsidRPr="0024327D" w:rsidRDefault="00975DF7" w:rsidP="001F563F">
      <w:pPr>
        <w:pStyle w:val="a4"/>
        <w:numPr>
          <w:ilvl w:val="0"/>
          <w:numId w:val="23"/>
        </w:numPr>
        <w:rPr>
          <w:lang w:val="uk-UA"/>
        </w:rPr>
      </w:pPr>
      <w:r w:rsidRPr="0024327D">
        <w:rPr>
          <w:lang w:val="uk-UA"/>
        </w:rPr>
        <w:t>Правила трансфертного ціноутворення</w:t>
      </w:r>
      <w:r w:rsidR="00A30862" w:rsidRPr="0024327D">
        <w:rPr>
          <w:lang w:val="uk-UA"/>
        </w:rPr>
        <w:t>:</w:t>
      </w:r>
    </w:p>
    <w:p w14:paraId="6076D2BD" w14:textId="6CC76E90" w:rsidR="00DE1E97" w:rsidRPr="0024327D" w:rsidRDefault="00975DF7" w:rsidP="00C91568">
      <w:pPr>
        <w:rPr>
          <w:lang w:val="uk-UA"/>
        </w:rPr>
      </w:pPr>
      <w:r w:rsidRPr="0024327D">
        <w:rPr>
          <w:lang w:val="uk-UA"/>
        </w:rPr>
        <w:t xml:space="preserve">Правила трансфертного </w:t>
      </w:r>
      <w:r w:rsidR="00974760" w:rsidRPr="0024327D">
        <w:rPr>
          <w:lang w:val="uk-UA"/>
        </w:rPr>
        <w:t xml:space="preserve">ціноутворення </w:t>
      </w:r>
      <w:r w:rsidRPr="0024327D">
        <w:rPr>
          <w:lang w:val="uk-UA"/>
        </w:rPr>
        <w:t>не застосовуються у відносинах між резидентами України</w:t>
      </w:r>
      <w:r w:rsidR="00446B2B" w:rsidRPr="0024327D">
        <w:rPr>
          <w:lang w:val="uk-UA"/>
        </w:rPr>
        <w:t>.</w:t>
      </w:r>
    </w:p>
    <w:p w14:paraId="497F912C" w14:textId="340F3C1B" w:rsidR="00564BCF" w:rsidRPr="0024327D" w:rsidRDefault="00975DF7" w:rsidP="001F563F">
      <w:pPr>
        <w:pStyle w:val="a4"/>
        <w:numPr>
          <w:ilvl w:val="0"/>
          <w:numId w:val="23"/>
        </w:numPr>
        <w:rPr>
          <w:lang w:val="uk-UA"/>
        </w:rPr>
      </w:pPr>
      <w:r w:rsidRPr="0024327D">
        <w:rPr>
          <w:lang w:val="uk-UA"/>
        </w:rPr>
        <w:lastRenderedPageBreak/>
        <w:t xml:space="preserve">Податок на прибуток підприємства та одержання прибутку від </w:t>
      </w:r>
      <w:r w:rsidR="0024173E" w:rsidRPr="0024327D">
        <w:rPr>
          <w:lang w:val="uk-UA"/>
        </w:rPr>
        <w:t>к</w:t>
      </w:r>
      <w:r w:rsidRPr="0024327D">
        <w:rPr>
          <w:lang w:val="uk-UA"/>
        </w:rPr>
        <w:t>омпанії спеціального призначення</w:t>
      </w:r>
      <w:r w:rsidR="00564BCF" w:rsidRPr="0024327D">
        <w:rPr>
          <w:lang w:val="uk-UA"/>
        </w:rPr>
        <w:t>:</w:t>
      </w:r>
    </w:p>
    <w:p w14:paraId="3DF13022" w14:textId="509CB805" w:rsidR="00E21D65" w:rsidRPr="0024327D" w:rsidRDefault="00975DF7" w:rsidP="00FE40B8">
      <w:pPr>
        <w:rPr>
          <w:lang w:val="uk-UA"/>
        </w:rPr>
      </w:pPr>
      <w:r w:rsidRPr="0024327D">
        <w:rPr>
          <w:lang w:val="uk-UA"/>
        </w:rPr>
        <w:t xml:space="preserve">Якщо </w:t>
      </w:r>
      <w:r w:rsidR="0024173E" w:rsidRPr="0024327D">
        <w:rPr>
          <w:lang w:val="uk-UA"/>
        </w:rPr>
        <w:t>к</w:t>
      </w:r>
      <w:r w:rsidRPr="0024327D">
        <w:rPr>
          <w:lang w:val="uk-UA"/>
        </w:rPr>
        <w:t>омпанія спеціального призначення створена як звичайний платник податку на прибуток підприємств, її прибутки оподаткову</w:t>
      </w:r>
      <w:r w:rsidR="000B6BA2" w:rsidRPr="0024327D">
        <w:rPr>
          <w:lang w:val="uk-UA"/>
        </w:rPr>
        <w:t>ю</w:t>
      </w:r>
      <w:r w:rsidRPr="0024327D">
        <w:rPr>
          <w:lang w:val="uk-UA"/>
        </w:rPr>
        <w:t>ться з</w:t>
      </w:r>
      <w:r w:rsidR="000B6BA2" w:rsidRPr="0024327D">
        <w:rPr>
          <w:lang w:val="uk-UA"/>
        </w:rPr>
        <w:t>а</w:t>
      </w:r>
      <w:r w:rsidRPr="0024327D">
        <w:rPr>
          <w:lang w:val="uk-UA"/>
        </w:rPr>
        <w:t xml:space="preserve"> стандартни</w:t>
      </w:r>
      <w:r w:rsidR="000B6BA2" w:rsidRPr="0024327D">
        <w:rPr>
          <w:lang w:val="uk-UA"/>
        </w:rPr>
        <w:t>ми</w:t>
      </w:r>
      <w:r w:rsidRPr="0024327D">
        <w:rPr>
          <w:lang w:val="uk-UA"/>
        </w:rPr>
        <w:t xml:space="preserve"> правил</w:t>
      </w:r>
      <w:r w:rsidR="000B6BA2" w:rsidRPr="0024327D">
        <w:rPr>
          <w:lang w:val="uk-UA"/>
        </w:rPr>
        <w:t>ами</w:t>
      </w:r>
      <w:r w:rsidRPr="0024327D">
        <w:rPr>
          <w:lang w:val="uk-UA"/>
        </w:rPr>
        <w:t xml:space="preserve"> оподаткування прибутку підприємств. Необхідно внести зміни у положення Податкового кодексу України, які б забезпечували, що на рівні </w:t>
      </w:r>
      <w:r w:rsidR="0024173E" w:rsidRPr="0024327D">
        <w:rPr>
          <w:lang w:val="uk-UA"/>
        </w:rPr>
        <w:t>к</w:t>
      </w:r>
      <w:r w:rsidRPr="0024327D">
        <w:rPr>
          <w:lang w:val="uk-UA"/>
        </w:rPr>
        <w:t>омпанії спеціального призначення податок на прибуток підприємств не стягу</w:t>
      </w:r>
      <w:r w:rsidR="00FE40B8" w:rsidRPr="0024327D">
        <w:rPr>
          <w:lang w:val="uk-UA"/>
        </w:rPr>
        <w:t>ється</w:t>
      </w:r>
      <w:r w:rsidRPr="0024327D">
        <w:rPr>
          <w:lang w:val="uk-UA"/>
        </w:rPr>
        <w:t xml:space="preserve"> за рахунок того, що оригінатору дозволяється одержувати прибуток </w:t>
      </w:r>
      <w:r w:rsidR="0024173E" w:rsidRPr="0024327D">
        <w:rPr>
          <w:lang w:val="uk-UA"/>
        </w:rPr>
        <w:t>к</w:t>
      </w:r>
      <w:r w:rsidRPr="0024327D">
        <w:rPr>
          <w:lang w:val="uk-UA"/>
        </w:rPr>
        <w:t xml:space="preserve">омпанії спеціального призначення податково нейтральним способом, а оподаткування цього прибутку здійснюється виключно на рівні оригінатора. </w:t>
      </w:r>
      <w:r w:rsidR="00A9018B" w:rsidRPr="0024327D">
        <w:rPr>
          <w:lang w:val="uk-UA"/>
        </w:rPr>
        <w:t xml:space="preserve"> Альте</w:t>
      </w:r>
      <w:r w:rsidR="00FB694C" w:rsidRPr="0024327D">
        <w:rPr>
          <w:lang w:val="uk-UA"/>
        </w:rPr>
        <w:t xml:space="preserve">рнативно, цього можна досягнути шляхом отримання статусу неприбуткової організації відповідно до Податкового кодексу. Наразі, </w:t>
      </w:r>
      <w:r w:rsidR="00D266FA" w:rsidRPr="0024327D">
        <w:rPr>
          <w:lang w:val="uk-UA"/>
        </w:rPr>
        <w:t>організація повинна відповідати таким вимогам, щоб отримати такий статус:</w:t>
      </w:r>
    </w:p>
    <w:p w14:paraId="4128639C" w14:textId="3B42C7E8" w:rsidR="00D266FA" w:rsidRPr="0024327D" w:rsidRDefault="00D266FA" w:rsidP="00FE40B8">
      <w:pPr>
        <w:rPr>
          <w:color w:val="333333"/>
          <w:shd w:val="clear" w:color="auto" w:fill="FFFFFF"/>
          <w:lang w:val="uk-UA"/>
        </w:rPr>
      </w:pPr>
      <w:r w:rsidRPr="0024327D">
        <w:rPr>
          <w:lang w:val="uk-UA"/>
        </w:rPr>
        <w:t xml:space="preserve">1) </w:t>
      </w:r>
      <w:r w:rsidR="00FD0A1A" w:rsidRPr="0024327D">
        <w:rPr>
          <w:lang w:val="uk-UA"/>
        </w:rPr>
        <w:t xml:space="preserve">вона повинна </w:t>
      </w:r>
      <w:r w:rsidR="001B77FD" w:rsidRPr="0024327D">
        <w:rPr>
          <w:lang w:val="uk-UA"/>
        </w:rPr>
        <w:t xml:space="preserve">бути </w:t>
      </w:r>
      <w:r w:rsidR="001B77FD" w:rsidRPr="0024327D">
        <w:rPr>
          <w:color w:val="333333"/>
          <w:shd w:val="clear" w:color="auto" w:fill="FFFFFF"/>
          <w:lang w:val="uk-UA"/>
        </w:rPr>
        <w:t xml:space="preserve">утворена та зареєстрована в порядку, визначеному законом, що регулює діяльність відповідної неприбуткової організації (тобто, </w:t>
      </w:r>
      <w:r w:rsidR="00FD0A1A" w:rsidRPr="0024327D">
        <w:rPr>
          <w:color w:val="333333"/>
          <w:shd w:val="clear" w:color="auto" w:fill="FFFFFF"/>
          <w:lang w:val="uk-UA"/>
        </w:rPr>
        <w:t>необхідний окремий закон, що регулює діяльність такої організації)</w:t>
      </w:r>
      <w:r w:rsidR="0092372A" w:rsidRPr="0024327D">
        <w:rPr>
          <w:color w:val="333333"/>
          <w:shd w:val="clear" w:color="auto" w:fill="FFFFFF"/>
          <w:lang w:val="uk-UA"/>
        </w:rPr>
        <w:t>;</w:t>
      </w:r>
    </w:p>
    <w:p w14:paraId="6CEA7BC8" w14:textId="115E8FB5" w:rsidR="00FD0A1A" w:rsidRPr="0024327D" w:rsidRDefault="00FD0A1A" w:rsidP="00FE40B8">
      <w:pPr>
        <w:rPr>
          <w:lang w:val="uk-UA"/>
        </w:rPr>
      </w:pPr>
      <w:r w:rsidRPr="0024327D">
        <w:rPr>
          <w:lang w:val="uk-UA"/>
        </w:rPr>
        <w:t xml:space="preserve">2) </w:t>
      </w:r>
      <w:r w:rsidR="006D2618" w:rsidRPr="0024327D">
        <w:rPr>
          <w:lang w:val="uk-UA"/>
        </w:rPr>
        <w:t xml:space="preserve">установчі документи організації повинні містити заборону розподілу доходів (прибутків) серед </w:t>
      </w:r>
      <w:r w:rsidR="0092372A" w:rsidRPr="0024327D">
        <w:rPr>
          <w:lang w:val="uk-UA"/>
        </w:rPr>
        <w:t>засновників (учасників);</w:t>
      </w:r>
    </w:p>
    <w:p w14:paraId="73BBD6C9" w14:textId="356E05FB" w:rsidR="0092372A" w:rsidRPr="0024327D" w:rsidRDefault="0092372A" w:rsidP="00FE40B8">
      <w:pPr>
        <w:rPr>
          <w:lang w:val="uk-UA"/>
        </w:rPr>
      </w:pPr>
      <w:r w:rsidRPr="0024327D">
        <w:rPr>
          <w:lang w:val="uk-UA"/>
        </w:rPr>
        <w:t xml:space="preserve">3) </w:t>
      </w:r>
      <w:r w:rsidR="00F87662" w:rsidRPr="0024327D">
        <w:rPr>
          <w:lang w:val="uk-UA"/>
        </w:rPr>
        <w:t xml:space="preserve">у разі припинення організації, її активи повинні бути передані іншим неприбутковим організаціям або </w:t>
      </w:r>
      <w:r w:rsidR="00166207" w:rsidRPr="0024327D">
        <w:rPr>
          <w:lang w:val="uk-UA"/>
        </w:rPr>
        <w:t>зараховані до доходу бюджету;</w:t>
      </w:r>
    </w:p>
    <w:p w14:paraId="58E841E1" w14:textId="4108D5F3" w:rsidR="00166207" w:rsidRPr="0024327D" w:rsidRDefault="00166207" w:rsidP="00FE40B8">
      <w:pPr>
        <w:rPr>
          <w:lang w:val="uk-UA"/>
        </w:rPr>
      </w:pPr>
      <w:r w:rsidRPr="0024327D">
        <w:rPr>
          <w:lang w:val="uk-UA"/>
        </w:rPr>
        <w:t xml:space="preserve">4) вона повинна бути внесена </w:t>
      </w:r>
      <w:r w:rsidR="005A653F" w:rsidRPr="0024327D">
        <w:rPr>
          <w:lang w:val="uk-UA"/>
        </w:rPr>
        <w:t xml:space="preserve">контролюючим органом до </w:t>
      </w:r>
      <w:r w:rsidR="00037EE8" w:rsidRPr="0024327D">
        <w:rPr>
          <w:lang w:val="uk-UA"/>
        </w:rPr>
        <w:t>р</w:t>
      </w:r>
      <w:r w:rsidR="005A653F" w:rsidRPr="0024327D">
        <w:rPr>
          <w:lang w:val="uk-UA"/>
        </w:rPr>
        <w:t>еєстру неприбуткових установ та організацій.</w:t>
      </w:r>
    </w:p>
    <w:p w14:paraId="4D8219DF" w14:textId="708D53DA" w:rsidR="005A653F" w:rsidRPr="0024327D" w:rsidRDefault="005A653F" w:rsidP="00FE40B8">
      <w:pPr>
        <w:rPr>
          <w:lang w:val="uk-UA"/>
        </w:rPr>
      </w:pPr>
      <w:r w:rsidRPr="0024327D">
        <w:rPr>
          <w:lang w:val="uk-UA"/>
        </w:rPr>
        <w:t xml:space="preserve">Виконання третьої умови може бути складним для компанії спеціального призначення. </w:t>
      </w:r>
      <w:r w:rsidR="008A5418" w:rsidRPr="0024327D">
        <w:rPr>
          <w:lang w:val="uk-UA"/>
        </w:rPr>
        <w:t xml:space="preserve">Відповідно, можливо буде </w:t>
      </w:r>
      <w:r w:rsidR="00CB2820" w:rsidRPr="0024327D">
        <w:rPr>
          <w:lang w:val="uk-UA"/>
        </w:rPr>
        <w:t>необхідно</w:t>
      </w:r>
      <w:r w:rsidR="008A5418" w:rsidRPr="0024327D">
        <w:rPr>
          <w:lang w:val="uk-UA"/>
        </w:rPr>
        <w:t xml:space="preserve"> передбачити виняток для компанії спеціального призначення, або забезпечити</w:t>
      </w:r>
      <w:r w:rsidR="001059E1" w:rsidRPr="0024327D">
        <w:rPr>
          <w:lang w:val="uk-UA"/>
        </w:rPr>
        <w:t>, що така компанія не буде мати активів на момент її припинення.</w:t>
      </w:r>
    </w:p>
    <w:p w14:paraId="68D05873" w14:textId="4781A236" w:rsidR="00DE1E97" w:rsidRPr="0024327D" w:rsidRDefault="00FE40B8" w:rsidP="00D27B13">
      <w:pPr>
        <w:pStyle w:val="a4"/>
        <w:numPr>
          <w:ilvl w:val="0"/>
          <w:numId w:val="24"/>
        </w:numPr>
        <w:rPr>
          <w:lang w:val="uk-UA"/>
        </w:rPr>
      </w:pPr>
      <w:r w:rsidRPr="0024327D">
        <w:rPr>
          <w:lang w:val="uk-UA"/>
        </w:rPr>
        <w:t xml:space="preserve">ПДВ з послуг, що надаються </w:t>
      </w:r>
      <w:r w:rsidR="001732D3" w:rsidRPr="0024327D">
        <w:rPr>
          <w:lang w:val="uk-UA"/>
        </w:rPr>
        <w:t>о</w:t>
      </w:r>
      <w:r w:rsidR="001059E1" w:rsidRPr="0024327D">
        <w:rPr>
          <w:lang w:val="uk-UA"/>
        </w:rPr>
        <w:t xml:space="preserve">ригінатором </w:t>
      </w:r>
      <w:r w:rsidR="002614F7" w:rsidRPr="0024327D">
        <w:rPr>
          <w:lang w:val="uk-UA"/>
        </w:rPr>
        <w:t>к</w:t>
      </w:r>
      <w:r w:rsidRPr="0024327D">
        <w:rPr>
          <w:lang w:val="uk-UA"/>
        </w:rPr>
        <w:t>омпанії спеціального призначення (наприклад, обслуговування активів</w:t>
      </w:r>
      <w:r w:rsidR="00FC1D38" w:rsidRPr="0024327D">
        <w:rPr>
          <w:lang w:val="uk-UA"/>
        </w:rPr>
        <w:t>)</w:t>
      </w:r>
      <w:r w:rsidR="00E049BA" w:rsidRPr="0024327D">
        <w:rPr>
          <w:lang w:val="uk-UA"/>
        </w:rPr>
        <w:t>:</w:t>
      </w:r>
    </w:p>
    <w:p w14:paraId="1BDE144A" w14:textId="1A6BAFCF" w:rsidR="006E0EFE" w:rsidRPr="0024327D" w:rsidRDefault="00FE40B8" w:rsidP="00501D25">
      <w:pPr>
        <w:rPr>
          <w:lang w:val="uk-UA"/>
        </w:rPr>
      </w:pPr>
      <w:r w:rsidRPr="0024327D">
        <w:rPr>
          <w:lang w:val="uk-UA"/>
        </w:rPr>
        <w:t xml:space="preserve">Як правило, </w:t>
      </w:r>
      <w:r w:rsidR="000B19FD" w:rsidRPr="0024327D">
        <w:rPr>
          <w:lang w:val="uk-UA"/>
        </w:rPr>
        <w:t xml:space="preserve">фінансові </w:t>
      </w:r>
      <w:r w:rsidRPr="0024327D">
        <w:rPr>
          <w:lang w:val="uk-UA"/>
        </w:rPr>
        <w:t>послуги не обкладаються ПДВ</w:t>
      </w:r>
      <w:r w:rsidR="00165C71" w:rsidRPr="0024327D">
        <w:rPr>
          <w:lang w:val="uk-UA"/>
        </w:rPr>
        <w:t xml:space="preserve">. </w:t>
      </w:r>
      <w:r w:rsidRPr="0024327D">
        <w:rPr>
          <w:lang w:val="uk-UA"/>
        </w:rPr>
        <w:t xml:space="preserve">Але все залежить від </w:t>
      </w:r>
      <w:r w:rsidR="001314AB" w:rsidRPr="0024327D">
        <w:rPr>
          <w:lang w:val="uk-UA"/>
        </w:rPr>
        <w:t xml:space="preserve">конкретного </w:t>
      </w:r>
      <w:r w:rsidRPr="0024327D">
        <w:rPr>
          <w:lang w:val="uk-UA"/>
        </w:rPr>
        <w:t>виду послуг</w:t>
      </w:r>
      <w:r w:rsidR="00165C71" w:rsidRPr="0024327D">
        <w:rPr>
          <w:lang w:val="uk-UA"/>
        </w:rPr>
        <w:t xml:space="preserve">. </w:t>
      </w:r>
      <w:r w:rsidRPr="0024327D">
        <w:rPr>
          <w:lang w:val="uk-UA"/>
        </w:rPr>
        <w:t xml:space="preserve">Можливо, буде необхідно внести зміни до деяких положень Податкового кодексу України, щоб </w:t>
      </w:r>
      <w:r w:rsidR="000B19FD" w:rsidRPr="0024327D">
        <w:rPr>
          <w:lang w:val="uk-UA"/>
        </w:rPr>
        <w:t xml:space="preserve">фінансові </w:t>
      </w:r>
      <w:r w:rsidRPr="0024327D">
        <w:rPr>
          <w:lang w:val="uk-UA"/>
        </w:rPr>
        <w:t xml:space="preserve">послуги, пов'язані з сек'юритизацією, </w:t>
      </w:r>
      <w:r w:rsidR="00E14D1B" w:rsidRPr="0024327D">
        <w:rPr>
          <w:lang w:val="uk-UA"/>
        </w:rPr>
        <w:t xml:space="preserve">прямо </w:t>
      </w:r>
      <w:r w:rsidRPr="0024327D">
        <w:rPr>
          <w:lang w:val="uk-UA"/>
        </w:rPr>
        <w:t xml:space="preserve">були включені до переліку </w:t>
      </w:r>
      <w:r w:rsidR="000B19FD" w:rsidRPr="0024327D">
        <w:rPr>
          <w:lang w:val="uk-UA"/>
        </w:rPr>
        <w:t xml:space="preserve">фінансових </w:t>
      </w:r>
      <w:r w:rsidRPr="0024327D">
        <w:rPr>
          <w:lang w:val="uk-UA"/>
        </w:rPr>
        <w:t>послуг, що не підлягають оподаткуванню ПДВ</w:t>
      </w:r>
      <w:r w:rsidR="00823E74" w:rsidRPr="0024327D">
        <w:rPr>
          <w:lang w:val="uk-UA"/>
        </w:rPr>
        <w:t>.</w:t>
      </w:r>
    </w:p>
    <w:p w14:paraId="31BD0C90" w14:textId="5338D99E" w:rsidR="00823E74" w:rsidRPr="0024327D" w:rsidRDefault="00FE40B8" w:rsidP="00D27B13">
      <w:pPr>
        <w:pStyle w:val="a4"/>
        <w:numPr>
          <w:ilvl w:val="0"/>
          <w:numId w:val="24"/>
        </w:numPr>
        <w:rPr>
          <w:lang w:val="uk-UA"/>
        </w:rPr>
      </w:pPr>
      <w:r w:rsidRPr="0024327D">
        <w:rPr>
          <w:lang w:val="uk-UA"/>
        </w:rPr>
        <w:t>Податок на прибуток нерезидентів, що стягується з купонів</w:t>
      </w:r>
      <w:r w:rsidR="000B19FD" w:rsidRPr="0024327D">
        <w:rPr>
          <w:lang w:val="uk-UA"/>
        </w:rPr>
        <w:t xml:space="preserve"> </w:t>
      </w:r>
      <w:r w:rsidR="00974760" w:rsidRPr="0024327D">
        <w:rPr>
          <w:lang w:val="uk-UA"/>
        </w:rPr>
        <w:t>облігацій</w:t>
      </w:r>
      <w:r w:rsidRPr="0024327D">
        <w:rPr>
          <w:lang w:val="uk-UA"/>
        </w:rPr>
        <w:t xml:space="preserve">, забезпечених активами, та </w:t>
      </w:r>
      <w:r w:rsidR="00645A85" w:rsidRPr="0024327D">
        <w:rPr>
          <w:lang w:val="uk-UA"/>
        </w:rPr>
        <w:t>облігацій з покриттям</w:t>
      </w:r>
      <w:r w:rsidR="00823E74" w:rsidRPr="0024327D">
        <w:rPr>
          <w:lang w:val="uk-UA"/>
        </w:rPr>
        <w:t>:</w:t>
      </w:r>
    </w:p>
    <w:p w14:paraId="3C97B433" w14:textId="3135B799" w:rsidR="002369DD" w:rsidRPr="00E83610" w:rsidRDefault="00FE40B8" w:rsidP="00067DE1">
      <w:pPr>
        <w:rPr>
          <w:lang w:val="uk-UA"/>
        </w:rPr>
      </w:pPr>
      <w:r w:rsidRPr="0024327D">
        <w:rPr>
          <w:lang w:val="uk-UA"/>
        </w:rPr>
        <w:t xml:space="preserve">Наразі </w:t>
      </w:r>
      <w:r w:rsidR="0014398B" w:rsidRPr="0024327D">
        <w:rPr>
          <w:lang w:val="uk-UA"/>
        </w:rPr>
        <w:t>з</w:t>
      </w:r>
      <w:r w:rsidR="0087354C" w:rsidRPr="0024327D">
        <w:rPr>
          <w:lang w:val="uk-UA"/>
        </w:rPr>
        <w:t xml:space="preserve"> </w:t>
      </w:r>
      <w:r w:rsidR="00974760" w:rsidRPr="0024327D">
        <w:rPr>
          <w:lang w:val="uk-UA"/>
        </w:rPr>
        <w:t>відсоткових доходів</w:t>
      </w:r>
      <w:r w:rsidR="0014398B" w:rsidRPr="0024327D">
        <w:rPr>
          <w:lang w:val="uk-UA"/>
        </w:rPr>
        <w:t xml:space="preserve">, сплачених за купонами нерезидентам, стягується податок на прибуток нерезидентів </w:t>
      </w:r>
      <w:r w:rsidRPr="0024327D">
        <w:rPr>
          <w:lang w:val="uk-UA"/>
        </w:rPr>
        <w:t xml:space="preserve">за ставкою 15% (яка може бути знижена відповідно до договору про уникнення подвійного оподаткування). Це загальне правило, що застосовується до всіх облігацій українських </w:t>
      </w:r>
      <w:r w:rsidR="00EB5723" w:rsidRPr="0024327D">
        <w:rPr>
          <w:lang w:val="uk-UA"/>
        </w:rPr>
        <w:t>компаній</w:t>
      </w:r>
      <w:r w:rsidRPr="0024327D">
        <w:rPr>
          <w:lang w:val="uk-UA"/>
        </w:rPr>
        <w:t xml:space="preserve">, крім тих, що </w:t>
      </w:r>
      <w:r w:rsidR="0014398B" w:rsidRPr="0024327D">
        <w:rPr>
          <w:lang w:val="uk-UA"/>
        </w:rPr>
        <w:t>отримали державну або муніципальну гарантію.</w:t>
      </w:r>
    </w:p>
    <w:p w14:paraId="22E8D1BC" w14:textId="77B0EE56" w:rsidR="00C26436" w:rsidRPr="0024327D" w:rsidRDefault="00DF788A" w:rsidP="00033D9D">
      <w:pPr>
        <w:pStyle w:val="2"/>
        <w:rPr>
          <w:lang w:val="uk-UA"/>
        </w:rPr>
      </w:pPr>
      <w:bookmarkStart w:id="109" w:name="_Toc6942255"/>
      <w:bookmarkStart w:id="110" w:name="_Toc5081045"/>
      <w:bookmarkStart w:id="111" w:name="_Toc27153454"/>
      <w:bookmarkStart w:id="112" w:name="_Toc95480999"/>
      <w:r w:rsidRPr="0024327D">
        <w:rPr>
          <w:lang w:val="uk-UA"/>
        </w:rPr>
        <w:t xml:space="preserve">Структурні елементи ринку </w:t>
      </w:r>
      <w:bookmarkEnd w:id="109"/>
      <w:bookmarkEnd w:id="110"/>
      <w:bookmarkEnd w:id="111"/>
      <w:r w:rsidR="00645A85" w:rsidRPr="0024327D">
        <w:rPr>
          <w:lang w:val="uk-UA"/>
        </w:rPr>
        <w:t>облігацій з покриттям</w:t>
      </w:r>
      <w:bookmarkEnd w:id="112"/>
    </w:p>
    <w:p w14:paraId="58C2DE88" w14:textId="24F27FDD" w:rsidR="00DD3B5B" w:rsidRPr="0024327D" w:rsidRDefault="00DF788A" w:rsidP="00DF788A">
      <w:pPr>
        <w:rPr>
          <w:lang w:val="uk-UA"/>
        </w:rPr>
      </w:pPr>
      <w:r w:rsidRPr="0024327D">
        <w:rPr>
          <w:lang w:val="uk-UA"/>
        </w:rPr>
        <w:t xml:space="preserve">Зазвичай облігації </w:t>
      </w:r>
      <w:r w:rsidR="0038719A" w:rsidRPr="0024327D">
        <w:rPr>
          <w:lang w:val="uk-UA"/>
        </w:rPr>
        <w:t xml:space="preserve">з покриттям </w:t>
      </w:r>
      <w:r w:rsidRPr="0024327D">
        <w:rPr>
          <w:lang w:val="uk-UA"/>
        </w:rPr>
        <w:t xml:space="preserve">структуруються одним із чотирьох способів. Усі вони широко використовуються, прийнятні для інвесторів, сумісні із законодавством ЄС та рекомендаціями Європейської служби банківського нагляду </w:t>
      </w:r>
      <w:r w:rsidR="00716B98" w:rsidRPr="0024327D">
        <w:rPr>
          <w:lang w:val="uk-UA"/>
        </w:rPr>
        <w:t xml:space="preserve">(EBA) </w:t>
      </w:r>
      <w:r w:rsidRPr="0024327D">
        <w:rPr>
          <w:lang w:val="uk-UA"/>
        </w:rPr>
        <w:t>та забезпечують інвесторам однаковий рівень кредитних гарантій. Вибір відповідного варіанту, як правило, ґрунтується на практичних юридичних та комерційних міркуваннях у відповідній конкретній юрисдикції</w:t>
      </w:r>
      <w:r w:rsidR="00DD3B5B" w:rsidRPr="0024327D">
        <w:rPr>
          <w:lang w:val="uk-UA"/>
        </w:rPr>
        <w:t xml:space="preserve">. </w:t>
      </w:r>
    </w:p>
    <w:p w14:paraId="30153DE7" w14:textId="23495681" w:rsidR="00563325" w:rsidRPr="0024327D" w:rsidRDefault="00803D9E" w:rsidP="00501D25">
      <w:pPr>
        <w:rPr>
          <w:lang w:val="uk-UA"/>
        </w:rPr>
      </w:pPr>
      <w:r w:rsidRPr="0024327D">
        <w:rPr>
          <w:lang w:val="uk-UA"/>
        </w:rPr>
        <w:lastRenderedPageBreak/>
        <w:t>Пропонується в</w:t>
      </w:r>
      <w:r w:rsidR="00563325" w:rsidRPr="0024327D">
        <w:rPr>
          <w:lang w:val="uk-UA"/>
        </w:rPr>
        <w:t xml:space="preserve"> Україні прийняти модель </w:t>
      </w:r>
      <w:r w:rsidR="000941E7" w:rsidRPr="0024327D">
        <w:rPr>
          <w:lang w:val="uk-UA"/>
        </w:rPr>
        <w:t>к</w:t>
      </w:r>
      <w:r w:rsidR="001A49B4" w:rsidRPr="0024327D">
        <w:rPr>
          <w:lang w:val="uk-UA"/>
        </w:rPr>
        <w:t xml:space="preserve">омпанії спеціального призначення для </w:t>
      </w:r>
      <w:r w:rsidR="00645A85" w:rsidRPr="0024327D">
        <w:rPr>
          <w:lang w:val="uk-UA"/>
        </w:rPr>
        <w:t>облігацій з покриттям</w:t>
      </w:r>
      <w:r w:rsidR="001A49B4" w:rsidRPr="0024327D">
        <w:rPr>
          <w:lang w:val="uk-UA"/>
        </w:rPr>
        <w:t xml:space="preserve"> </w:t>
      </w:r>
      <w:r w:rsidR="00563325" w:rsidRPr="0024327D">
        <w:rPr>
          <w:lang w:val="uk-UA"/>
        </w:rPr>
        <w:t xml:space="preserve">(див. Додаток 4 щодо альтернативних структур та </w:t>
      </w:r>
      <w:r w:rsidR="001A49B4" w:rsidRPr="0024327D">
        <w:rPr>
          <w:lang w:val="uk-UA"/>
        </w:rPr>
        <w:t xml:space="preserve">обґрунтування </w:t>
      </w:r>
      <w:r w:rsidR="00563325" w:rsidRPr="0024327D">
        <w:rPr>
          <w:lang w:val="uk-UA"/>
        </w:rPr>
        <w:t>для цього рішення)</w:t>
      </w:r>
      <w:r w:rsidR="00263511" w:rsidRPr="0024327D">
        <w:rPr>
          <w:lang w:val="uk-UA"/>
        </w:rPr>
        <w:t xml:space="preserve"> </w:t>
      </w:r>
      <w:r w:rsidRPr="0024327D">
        <w:rPr>
          <w:lang w:val="uk-UA"/>
        </w:rPr>
        <w:t>у зв’язку із тим, що ця модель:</w:t>
      </w:r>
    </w:p>
    <w:p w14:paraId="4F231CE7" w14:textId="4F8846DD" w:rsidR="001A49B4" w:rsidRPr="0024327D" w:rsidRDefault="001A49B4" w:rsidP="001A49B4">
      <w:pPr>
        <w:pStyle w:val="a4"/>
        <w:numPr>
          <w:ilvl w:val="0"/>
          <w:numId w:val="2"/>
        </w:numPr>
        <w:rPr>
          <w:lang w:val="uk-UA"/>
        </w:rPr>
      </w:pPr>
      <w:r w:rsidRPr="0024327D">
        <w:rPr>
          <w:lang w:val="uk-UA"/>
        </w:rPr>
        <w:t xml:space="preserve">Має значну синергію із </w:t>
      </w:r>
      <w:r w:rsidR="00803D9E" w:rsidRPr="0024327D">
        <w:rPr>
          <w:lang w:val="uk-UA"/>
        </w:rPr>
        <w:t xml:space="preserve"> структурою</w:t>
      </w:r>
      <w:r w:rsidRPr="0024327D">
        <w:rPr>
          <w:lang w:val="uk-UA"/>
        </w:rPr>
        <w:t xml:space="preserve"> сек'юритизаці</w:t>
      </w:r>
      <w:r w:rsidR="00803D9E" w:rsidRPr="0024327D">
        <w:rPr>
          <w:lang w:val="uk-UA"/>
        </w:rPr>
        <w:t>ї</w:t>
      </w:r>
    </w:p>
    <w:p w14:paraId="11189D8B" w14:textId="4FF148E2" w:rsidR="001A49B4" w:rsidRPr="0024327D" w:rsidRDefault="001A49B4" w:rsidP="001A49B4">
      <w:pPr>
        <w:pStyle w:val="a4"/>
        <w:numPr>
          <w:ilvl w:val="0"/>
          <w:numId w:val="2"/>
        </w:numPr>
        <w:rPr>
          <w:lang w:val="uk-UA"/>
        </w:rPr>
      </w:pPr>
      <w:r w:rsidRPr="0024327D">
        <w:rPr>
          <w:lang w:val="uk-UA"/>
        </w:rPr>
        <w:t>Дає високий ступінь правової визначеності</w:t>
      </w:r>
    </w:p>
    <w:p w14:paraId="40EABC65" w14:textId="62569558" w:rsidR="001A49B4" w:rsidRPr="0024327D" w:rsidRDefault="001A49B4" w:rsidP="001A49B4">
      <w:pPr>
        <w:pStyle w:val="a4"/>
        <w:numPr>
          <w:ilvl w:val="0"/>
          <w:numId w:val="2"/>
        </w:numPr>
        <w:rPr>
          <w:lang w:val="uk-UA"/>
        </w:rPr>
      </w:pPr>
      <w:r w:rsidRPr="0024327D">
        <w:rPr>
          <w:lang w:val="uk-UA"/>
        </w:rPr>
        <w:t>Потр</w:t>
      </w:r>
      <w:r w:rsidR="000A76DB" w:rsidRPr="0024327D">
        <w:rPr>
          <w:lang w:val="uk-UA"/>
        </w:rPr>
        <w:t>е</w:t>
      </w:r>
      <w:r w:rsidRPr="0024327D">
        <w:rPr>
          <w:lang w:val="uk-UA"/>
        </w:rPr>
        <w:t>бує</w:t>
      </w:r>
      <w:r w:rsidR="000A76DB" w:rsidRPr="0024327D">
        <w:rPr>
          <w:lang w:val="uk-UA"/>
        </w:rPr>
        <w:t xml:space="preserve"> внесення</w:t>
      </w:r>
      <w:r w:rsidRPr="0024327D">
        <w:rPr>
          <w:lang w:val="uk-UA"/>
        </w:rPr>
        <w:t xml:space="preserve"> менш</w:t>
      </w:r>
      <w:r w:rsidR="000A76DB" w:rsidRPr="0024327D">
        <w:rPr>
          <w:lang w:val="uk-UA"/>
        </w:rPr>
        <w:t>ої кількості</w:t>
      </w:r>
      <w:r w:rsidRPr="0024327D">
        <w:rPr>
          <w:lang w:val="uk-UA"/>
        </w:rPr>
        <w:t xml:space="preserve"> змін до чинного законодавства</w:t>
      </w:r>
      <w:r w:rsidR="007448D9" w:rsidRPr="0024327D">
        <w:rPr>
          <w:lang w:val="uk-UA"/>
        </w:rPr>
        <w:t>.</w:t>
      </w:r>
    </w:p>
    <w:p w14:paraId="7287CBE9" w14:textId="731ACC0A" w:rsidR="001A49B4" w:rsidRPr="0024327D" w:rsidRDefault="001A49B4" w:rsidP="006D4EFE">
      <w:pPr>
        <w:rPr>
          <w:lang w:val="uk-UA"/>
        </w:rPr>
      </w:pPr>
      <w:r w:rsidRPr="0024327D">
        <w:rPr>
          <w:lang w:val="uk-UA"/>
        </w:rPr>
        <w:t xml:space="preserve">Як і при сек'юритизації модель </w:t>
      </w:r>
      <w:r w:rsidR="00645A85" w:rsidRPr="0024327D">
        <w:rPr>
          <w:lang w:val="uk-UA"/>
        </w:rPr>
        <w:t>облігацій з покриттям</w:t>
      </w:r>
      <w:r w:rsidRPr="0024327D">
        <w:rPr>
          <w:lang w:val="uk-UA"/>
        </w:rPr>
        <w:t xml:space="preserve"> передбачає створення </w:t>
      </w:r>
      <w:r w:rsidR="000A76DB" w:rsidRPr="0024327D">
        <w:rPr>
          <w:lang w:val="uk-UA"/>
        </w:rPr>
        <w:t>к</w:t>
      </w:r>
      <w:r w:rsidRPr="0024327D">
        <w:rPr>
          <w:lang w:val="uk-UA"/>
        </w:rPr>
        <w:t xml:space="preserve">омпанії спеціального призначення та </w:t>
      </w:r>
      <w:r w:rsidR="009613AA" w:rsidRPr="0024327D">
        <w:rPr>
          <w:lang w:val="uk-UA"/>
        </w:rPr>
        <w:t xml:space="preserve">відступлення прав вимоги за </w:t>
      </w:r>
      <w:r w:rsidRPr="0024327D">
        <w:rPr>
          <w:lang w:val="uk-UA"/>
        </w:rPr>
        <w:t>актив</w:t>
      </w:r>
      <w:r w:rsidR="009613AA" w:rsidRPr="0024327D">
        <w:rPr>
          <w:lang w:val="uk-UA"/>
        </w:rPr>
        <w:t>ами</w:t>
      </w:r>
      <w:r w:rsidRPr="0024327D">
        <w:rPr>
          <w:lang w:val="uk-UA"/>
        </w:rPr>
        <w:t xml:space="preserve">, а відтак для обох моделей можуть застосовуватися однакові механізми. Альтернативою для </w:t>
      </w:r>
      <w:r w:rsidR="00FF39C0" w:rsidRPr="0024327D">
        <w:rPr>
          <w:lang w:val="uk-UA"/>
        </w:rPr>
        <w:t>к</w:t>
      </w:r>
      <w:r w:rsidRPr="0024327D">
        <w:rPr>
          <w:lang w:val="uk-UA"/>
        </w:rPr>
        <w:t>омпанії спеціального призначення є</w:t>
      </w:r>
      <w:r w:rsidR="00FF39C0" w:rsidRPr="0024327D">
        <w:rPr>
          <w:lang w:val="uk-UA"/>
        </w:rPr>
        <w:t xml:space="preserve"> модель зі збереженням активів на балансі </w:t>
      </w:r>
      <w:r w:rsidRPr="0024327D">
        <w:rPr>
          <w:lang w:val="uk-UA"/>
        </w:rPr>
        <w:t xml:space="preserve">(модель </w:t>
      </w:r>
      <w:r w:rsidR="00803D9E" w:rsidRPr="0024327D">
        <w:rPr>
          <w:lang w:val="uk-UA"/>
        </w:rPr>
        <w:t>“</w:t>
      </w:r>
      <w:r w:rsidR="00FF39C0" w:rsidRPr="0024327D">
        <w:rPr>
          <w:lang w:val="uk-UA"/>
        </w:rPr>
        <w:t>активів на балансі</w:t>
      </w:r>
      <w:r w:rsidR="00A16F44" w:rsidRPr="0024327D">
        <w:rPr>
          <w:lang w:val="uk-UA"/>
        </w:rPr>
        <w:t>”</w:t>
      </w:r>
      <w:r w:rsidRPr="0024327D">
        <w:rPr>
          <w:lang w:val="uk-UA"/>
        </w:rPr>
        <w:t xml:space="preserve">). </w:t>
      </w:r>
      <w:r w:rsidR="004D0FEE" w:rsidRPr="0024327D">
        <w:rPr>
          <w:lang w:val="uk-UA"/>
        </w:rPr>
        <w:t>Слід зазначити</w:t>
      </w:r>
      <w:r w:rsidRPr="0024327D">
        <w:rPr>
          <w:lang w:val="uk-UA"/>
        </w:rPr>
        <w:t xml:space="preserve">, що </w:t>
      </w:r>
      <w:r w:rsidR="004D0FEE" w:rsidRPr="0024327D">
        <w:rPr>
          <w:lang w:val="uk-UA"/>
        </w:rPr>
        <w:t>тенденція до використання такої моделі спостерігається у</w:t>
      </w:r>
      <w:r w:rsidRPr="0024327D">
        <w:rPr>
          <w:lang w:val="uk-UA"/>
        </w:rPr>
        <w:t xml:space="preserve"> країнах</w:t>
      </w:r>
      <w:r w:rsidR="004D0FEE" w:rsidRPr="0024327D">
        <w:rPr>
          <w:lang w:val="uk-UA"/>
        </w:rPr>
        <w:t xml:space="preserve"> із випробуваним роками режимом </w:t>
      </w:r>
      <w:r w:rsidR="00645A85" w:rsidRPr="0024327D">
        <w:rPr>
          <w:lang w:val="uk-UA"/>
        </w:rPr>
        <w:t>облігацій з покриттям</w:t>
      </w:r>
      <w:r w:rsidRPr="0024327D">
        <w:rPr>
          <w:lang w:val="uk-UA"/>
        </w:rPr>
        <w:t xml:space="preserve">, де всі зацікавлені сторони розуміють модель (наприклад, </w:t>
      </w:r>
      <w:r w:rsidR="004D0FEE" w:rsidRPr="0024327D">
        <w:rPr>
          <w:lang w:val="uk-UA"/>
        </w:rPr>
        <w:t xml:space="preserve">у </w:t>
      </w:r>
      <w:r w:rsidRPr="0024327D">
        <w:rPr>
          <w:lang w:val="uk-UA"/>
        </w:rPr>
        <w:t>Німеччин</w:t>
      </w:r>
      <w:r w:rsidR="004D0FEE" w:rsidRPr="0024327D">
        <w:rPr>
          <w:lang w:val="uk-UA"/>
        </w:rPr>
        <w:t>і</w:t>
      </w:r>
      <w:r w:rsidRPr="0024327D">
        <w:rPr>
          <w:lang w:val="uk-UA"/>
        </w:rPr>
        <w:t xml:space="preserve">), </w:t>
      </w:r>
      <w:r w:rsidR="004D0FEE" w:rsidRPr="0024327D">
        <w:rPr>
          <w:lang w:val="uk-UA"/>
        </w:rPr>
        <w:t>а</w:t>
      </w:r>
      <w:r w:rsidRPr="0024327D">
        <w:rPr>
          <w:lang w:val="uk-UA"/>
        </w:rPr>
        <w:t xml:space="preserve"> модел</w:t>
      </w:r>
      <w:r w:rsidR="004D0FEE" w:rsidRPr="0024327D">
        <w:rPr>
          <w:lang w:val="uk-UA"/>
        </w:rPr>
        <w:t>і</w:t>
      </w:r>
      <w:r w:rsidRPr="0024327D">
        <w:rPr>
          <w:lang w:val="uk-UA"/>
        </w:rPr>
        <w:t xml:space="preserve"> </w:t>
      </w:r>
      <w:r w:rsidR="00557C74" w:rsidRPr="0024327D">
        <w:rPr>
          <w:lang w:val="uk-UA"/>
        </w:rPr>
        <w:t>к</w:t>
      </w:r>
      <w:r w:rsidR="004D0FEE" w:rsidRPr="0024327D">
        <w:rPr>
          <w:lang w:val="uk-UA"/>
        </w:rPr>
        <w:t>омпанії спеціального призначення</w:t>
      </w:r>
      <w:r w:rsidRPr="0024327D">
        <w:rPr>
          <w:lang w:val="uk-UA"/>
        </w:rPr>
        <w:t xml:space="preserve"> </w:t>
      </w:r>
      <w:r w:rsidR="004D0FEE" w:rsidRPr="0024327D">
        <w:rPr>
          <w:lang w:val="uk-UA"/>
        </w:rPr>
        <w:t xml:space="preserve">надавали перевагу у нових </w:t>
      </w:r>
      <w:r w:rsidRPr="0024327D">
        <w:rPr>
          <w:lang w:val="uk-UA"/>
        </w:rPr>
        <w:t>юрисдикці</w:t>
      </w:r>
      <w:r w:rsidR="004D0FEE" w:rsidRPr="0024327D">
        <w:rPr>
          <w:lang w:val="uk-UA"/>
        </w:rPr>
        <w:t>ях</w:t>
      </w:r>
      <w:r w:rsidRPr="0024327D">
        <w:rPr>
          <w:lang w:val="uk-UA"/>
        </w:rPr>
        <w:t xml:space="preserve"> (таких як Італія, Литва, Нідерланди). Тому модель </w:t>
      </w:r>
      <w:r w:rsidR="00557C74" w:rsidRPr="0024327D">
        <w:rPr>
          <w:lang w:val="uk-UA"/>
        </w:rPr>
        <w:t>к</w:t>
      </w:r>
      <w:r w:rsidR="004D0FEE" w:rsidRPr="0024327D">
        <w:rPr>
          <w:lang w:val="uk-UA"/>
        </w:rPr>
        <w:t xml:space="preserve">омпанії спеціального призначення для </w:t>
      </w:r>
      <w:r w:rsidR="00645A85" w:rsidRPr="0024327D">
        <w:rPr>
          <w:lang w:val="uk-UA"/>
        </w:rPr>
        <w:t>облігацій з покриттям</w:t>
      </w:r>
      <w:r w:rsidR="004D0FEE" w:rsidRPr="0024327D">
        <w:rPr>
          <w:lang w:val="uk-UA"/>
        </w:rPr>
        <w:t xml:space="preserve"> мінімізує </w:t>
      </w:r>
      <w:r w:rsidRPr="0024327D">
        <w:rPr>
          <w:lang w:val="uk-UA"/>
        </w:rPr>
        <w:t>зусилля, необхідні для розуміння такої моделі.</w:t>
      </w:r>
    </w:p>
    <w:p w14:paraId="7DF0F507" w14:textId="353D47CD" w:rsidR="000F1702" w:rsidRPr="0024327D" w:rsidRDefault="004D0FEE" w:rsidP="007D7342">
      <w:pPr>
        <w:rPr>
          <w:lang w:val="uk-UA"/>
        </w:rPr>
      </w:pPr>
      <w:r w:rsidRPr="0024327D">
        <w:rPr>
          <w:lang w:val="uk-UA"/>
        </w:rPr>
        <w:t xml:space="preserve">До того ж, у моделі </w:t>
      </w:r>
      <w:r w:rsidR="00557C74" w:rsidRPr="0024327D">
        <w:rPr>
          <w:lang w:val="uk-UA"/>
        </w:rPr>
        <w:t>к</w:t>
      </w:r>
      <w:r w:rsidRPr="0024327D">
        <w:rPr>
          <w:lang w:val="uk-UA"/>
        </w:rPr>
        <w:t xml:space="preserve">омпанії спеціального призначення застосовуються існуючі правові механізми відокремлення активів. В реальності при застосуванні моделі </w:t>
      </w:r>
      <w:r w:rsidR="00803D9E" w:rsidRPr="0024327D">
        <w:rPr>
          <w:lang w:val="uk-UA"/>
        </w:rPr>
        <w:t>“</w:t>
      </w:r>
      <w:r w:rsidR="00AA453A" w:rsidRPr="0024327D">
        <w:rPr>
          <w:lang w:val="uk-UA"/>
        </w:rPr>
        <w:t>активів на балансі</w:t>
      </w:r>
      <w:r w:rsidR="00803D9E" w:rsidRPr="0024327D">
        <w:rPr>
          <w:lang w:val="uk-UA"/>
        </w:rPr>
        <w:t>”</w:t>
      </w:r>
      <w:r w:rsidR="00AA453A" w:rsidRPr="0024327D">
        <w:rPr>
          <w:lang w:val="uk-UA"/>
        </w:rPr>
        <w:t xml:space="preserve"> </w:t>
      </w:r>
      <w:r w:rsidRPr="0024327D">
        <w:rPr>
          <w:lang w:val="uk-UA"/>
        </w:rPr>
        <w:t xml:space="preserve">у юрисдикції, у яких немає усталеної практики щодо </w:t>
      </w:r>
      <w:r w:rsidR="00645A85" w:rsidRPr="0024327D">
        <w:rPr>
          <w:lang w:val="uk-UA"/>
        </w:rPr>
        <w:t>облігацій з покриттям</w:t>
      </w:r>
      <w:r w:rsidRPr="0024327D">
        <w:rPr>
          <w:lang w:val="uk-UA"/>
        </w:rPr>
        <w:t xml:space="preserve">, часто виявляються проблеми недостатнього </w:t>
      </w:r>
      <w:r w:rsidR="00AA453A" w:rsidRPr="0024327D">
        <w:rPr>
          <w:lang w:val="uk-UA"/>
        </w:rPr>
        <w:t xml:space="preserve">відокремлення </w:t>
      </w:r>
      <w:r w:rsidR="00BF3D58" w:rsidRPr="0024327D">
        <w:rPr>
          <w:lang w:val="uk-UA"/>
        </w:rPr>
        <w:t>активів. А модель</w:t>
      </w:r>
      <w:r w:rsidR="00AA453A" w:rsidRPr="0024327D">
        <w:rPr>
          <w:lang w:val="uk-UA"/>
        </w:rPr>
        <w:t xml:space="preserve"> к</w:t>
      </w:r>
      <w:r w:rsidR="00BF3D58" w:rsidRPr="0024327D">
        <w:rPr>
          <w:lang w:val="uk-UA"/>
        </w:rPr>
        <w:t>омпанії спеціального призначення забезпечує більшу правову визначеність для країн (юрисдикцій) з перехідною економікою, таких як Україна</w:t>
      </w:r>
      <w:r w:rsidR="000F1702" w:rsidRPr="0024327D">
        <w:rPr>
          <w:lang w:val="uk-UA"/>
        </w:rPr>
        <w:t>.</w:t>
      </w:r>
    </w:p>
    <w:p w14:paraId="365F1305" w14:textId="1C8011E0" w:rsidR="006D4EFE" w:rsidRPr="0024327D" w:rsidRDefault="00BF3D58" w:rsidP="007D7342">
      <w:pPr>
        <w:rPr>
          <w:lang w:val="uk-UA"/>
        </w:rPr>
      </w:pPr>
      <w:r w:rsidRPr="0024327D">
        <w:rPr>
          <w:lang w:val="uk-UA"/>
        </w:rPr>
        <w:t xml:space="preserve">Крім того з моделлю </w:t>
      </w:r>
      <w:r w:rsidR="00803D9E" w:rsidRPr="0024327D">
        <w:rPr>
          <w:lang w:val="uk-UA"/>
        </w:rPr>
        <w:t>“</w:t>
      </w:r>
      <w:r w:rsidR="00AA453A" w:rsidRPr="0024327D">
        <w:rPr>
          <w:lang w:val="uk-UA"/>
        </w:rPr>
        <w:t>активів на балансі</w:t>
      </w:r>
      <w:r w:rsidR="00803D9E" w:rsidRPr="0024327D">
        <w:rPr>
          <w:lang w:val="uk-UA"/>
        </w:rPr>
        <w:t>”</w:t>
      </w:r>
      <w:r w:rsidR="00AA453A" w:rsidRPr="0024327D">
        <w:rPr>
          <w:lang w:val="uk-UA"/>
        </w:rPr>
        <w:t xml:space="preserve"> </w:t>
      </w:r>
      <w:r w:rsidRPr="0024327D">
        <w:rPr>
          <w:lang w:val="uk-UA"/>
        </w:rPr>
        <w:t xml:space="preserve">пов’язано багато питань </w:t>
      </w:r>
      <w:r w:rsidR="00437CED" w:rsidRPr="0024327D">
        <w:rPr>
          <w:lang w:val="uk-UA"/>
        </w:rPr>
        <w:t>ю</w:t>
      </w:r>
      <w:r w:rsidR="00AA453A" w:rsidRPr="0024327D">
        <w:rPr>
          <w:lang w:val="uk-UA"/>
        </w:rPr>
        <w:t xml:space="preserve">ридичного </w:t>
      </w:r>
      <w:r w:rsidRPr="0024327D">
        <w:rPr>
          <w:lang w:val="uk-UA"/>
        </w:rPr>
        <w:t>характеру, які знадобиться вирішувати окремо у разі вибору цієї моделі; це, наприклад, необхідність забезпечити оригінатору можлив</w:t>
      </w:r>
      <w:r w:rsidR="00737F85" w:rsidRPr="0024327D">
        <w:rPr>
          <w:lang w:val="uk-UA"/>
        </w:rPr>
        <w:t>ість</w:t>
      </w:r>
      <w:r w:rsidRPr="0024327D">
        <w:rPr>
          <w:lang w:val="uk-UA"/>
        </w:rPr>
        <w:t xml:space="preserve"> здійснювати трансакцій з </w:t>
      </w:r>
      <w:r w:rsidR="00143062" w:rsidRPr="0024327D">
        <w:rPr>
          <w:lang w:val="uk-UA"/>
        </w:rPr>
        <w:t xml:space="preserve">самим собою </w:t>
      </w:r>
      <w:r w:rsidRPr="0024327D">
        <w:rPr>
          <w:lang w:val="uk-UA"/>
        </w:rPr>
        <w:t xml:space="preserve">(наприклад, укладати деривативні контракти </w:t>
      </w:r>
      <w:r w:rsidR="00143062" w:rsidRPr="0024327D">
        <w:rPr>
          <w:lang w:val="uk-UA"/>
        </w:rPr>
        <w:t>для</w:t>
      </w:r>
      <w:r w:rsidRPr="0024327D">
        <w:rPr>
          <w:lang w:val="uk-UA"/>
        </w:rPr>
        <w:t xml:space="preserve"> управління </w:t>
      </w:r>
      <w:r w:rsidR="00143062" w:rsidRPr="0024327D">
        <w:rPr>
          <w:lang w:val="uk-UA"/>
        </w:rPr>
        <w:t>ризиками, щ</w:t>
      </w:r>
      <w:r w:rsidR="00803D9E" w:rsidRPr="0024327D">
        <w:rPr>
          <w:lang w:val="uk-UA"/>
        </w:rPr>
        <w:t>о</w:t>
      </w:r>
      <w:r w:rsidR="00143062" w:rsidRPr="0024327D">
        <w:rPr>
          <w:lang w:val="uk-UA"/>
        </w:rPr>
        <w:t xml:space="preserve"> пов’язані з </w:t>
      </w:r>
      <w:r w:rsidR="00D238A4" w:rsidRPr="0024327D">
        <w:rPr>
          <w:lang w:val="uk-UA"/>
        </w:rPr>
        <w:t xml:space="preserve">відсотковими </w:t>
      </w:r>
      <w:r w:rsidRPr="0024327D">
        <w:rPr>
          <w:lang w:val="uk-UA"/>
        </w:rPr>
        <w:t xml:space="preserve">ризиками), а також </w:t>
      </w:r>
      <w:r w:rsidR="00803D9E" w:rsidRPr="0024327D">
        <w:rPr>
          <w:lang w:val="uk-UA"/>
        </w:rPr>
        <w:t xml:space="preserve">необхідність </w:t>
      </w:r>
      <w:r w:rsidRPr="0024327D">
        <w:rPr>
          <w:lang w:val="uk-UA"/>
        </w:rPr>
        <w:t>вдосконален</w:t>
      </w:r>
      <w:r w:rsidR="00803D9E" w:rsidRPr="0024327D">
        <w:rPr>
          <w:lang w:val="uk-UA"/>
        </w:rPr>
        <w:t>ня</w:t>
      </w:r>
      <w:r w:rsidRPr="0024327D">
        <w:rPr>
          <w:lang w:val="uk-UA"/>
        </w:rPr>
        <w:t xml:space="preserve"> механізм</w:t>
      </w:r>
      <w:r w:rsidR="00803D9E" w:rsidRPr="0024327D">
        <w:rPr>
          <w:lang w:val="uk-UA"/>
        </w:rPr>
        <w:t>ів</w:t>
      </w:r>
      <w:r w:rsidRPr="0024327D">
        <w:rPr>
          <w:lang w:val="uk-UA"/>
        </w:rPr>
        <w:t xml:space="preserve"> захисту прав власників облігацій (наприклад, для </w:t>
      </w:r>
      <w:r w:rsidR="00803D9E" w:rsidRPr="0024327D">
        <w:rPr>
          <w:lang w:val="uk-UA"/>
        </w:rPr>
        <w:t xml:space="preserve">відокремлення та </w:t>
      </w:r>
      <w:r w:rsidRPr="0024327D">
        <w:rPr>
          <w:lang w:val="uk-UA"/>
        </w:rPr>
        <w:t>незалежного управління пулом забезпечення у разі визнання неплатоспроможності</w:t>
      </w:r>
      <w:r w:rsidR="00803D9E" w:rsidRPr="0024327D">
        <w:rPr>
          <w:lang w:val="uk-UA"/>
        </w:rPr>
        <w:t xml:space="preserve"> оригінатора</w:t>
      </w:r>
      <w:r w:rsidRPr="0024327D">
        <w:rPr>
          <w:lang w:val="uk-UA"/>
        </w:rPr>
        <w:t xml:space="preserve">, що </w:t>
      </w:r>
      <w:r w:rsidR="00737F85" w:rsidRPr="0024327D">
        <w:rPr>
          <w:lang w:val="uk-UA"/>
        </w:rPr>
        <w:t>у</w:t>
      </w:r>
      <w:r w:rsidRPr="0024327D">
        <w:rPr>
          <w:lang w:val="uk-UA"/>
        </w:rPr>
        <w:t xml:space="preserve"> моделі </w:t>
      </w:r>
      <w:r w:rsidR="000F44D8" w:rsidRPr="0024327D">
        <w:rPr>
          <w:lang w:val="uk-UA"/>
        </w:rPr>
        <w:t>к</w:t>
      </w:r>
      <w:r w:rsidRPr="0024327D">
        <w:rPr>
          <w:lang w:val="uk-UA"/>
        </w:rPr>
        <w:t xml:space="preserve">омпанії спеціального призначення досягається завдяки </w:t>
      </w:r>
      <w:r w:rsidR="00F349BA" w:rsidRPr="0024327D">
        <w:rPr>
          <w:lang w:val="uk-UA"/>
        </w:rPr>
        <w:t xml:space="preserve">юридичного відокремлення від оригінатора як </w:t>
      </w:r>
      <w:r w:rsidRPr="0024327D">
        <w:rPr>
          <w:lang w:val="uk-UA"/>
        </w:rPr>
        <w:t xml:space="preserve">захисту від </w:t>
      </w:r>
      <w:r w:rsidR="00F349BA" w:rsidRPr="0024327D">
        <w:rPr>
          <w:lang w:val="uk-UA"/>
        </w:rPr>
        <w:t xml:space="preserve">його </w:t>
      </w:r>
      <w:r w:rsidRPr="0024327D">
        <w:rPr>
          <w:lang w:val="uk-UA"/>
        </w:rPr>
        <w:t>банкрутства та наявності незалежних директорів</w:t>
      </w:r>
      <w:r w:rsidR="000F44D8" w:rsidRPr="0024327D">
        <w:rPr>
          <w:lang w:val="uk-UA"/>
        </w:rPr>
        <w:t>)</w:t>
      </w:r>
      <w:r w:rsidR="00A53E3E" w:rsidRPr="0024327D">
        <w:rPr>
          <w:lang w:val="uk-UA"/>
        </w:rPr>
        <w:t xml:space="preserve">. </w:t>
      </w:r>
    </w:p>
    <w:p w14:paraId="090BD8AA" w14:textId="28532B55" w:rsidR="00E31EF2" w:rsidRPr="0024327D" w:rsidRDefault="00BF3D58" w:rsidP="007D7342">
      <w:pPr>
        <w:rPr>
          <w:lang w:val="uk-UA"/>
        </w:rPr>
      </w:pPr>
      <w:r w:rsidRPr="0024327D">
        <w:rPr>
          <w:lang w:val="uk-UA"/>
        </w:rPr>
        <w:t xml:space="preserve">Детальніше порівняння моделей </w:t>
      </w:r>
      <w:r w:rsidR="00645A85" w:rsidRPr="0024327D">
        <w:rPr>
          <w:lang w:val="uk-UA"/>
        </w:rPr>
        <w:t>облігацій з покриттям</w:t>
      </w:r>
      <w:r w:rsidRPr="0024327D">
        <w:rPr>
          <w:lang w:val="uk-UA"/>
        </w:rPr>
        <w:t xml:space="preserve"> представлено у Додатку </w:t>
      </w:r>
      <w:r w:rsidR="007D7342" w:rsidRPr="0024327D">
        <w:rPr>
          <w:lang w:val="uk-UA"/>
        </w:rPr>
        <w:t>4.</w:t>
      </w:r>
    </w:p>
    <w:p w14:paraId="54A71165" w14:textId="112537FC" w:rsidR="007D7342" w:rsidRPr="0024327D" w:rsidRDefault="007D7342" w:rsidP="007D7342">
      <w:pPr>
        <w:rPr>
          <w:lang w:val="uk-UA"/>
        </w:rPr>
      </w:pPr>
    </w:p>
    <w:p w14:paraId="1354E124" w14:textId="14791CED" w:rsidR="00DD3B5B" w:rsidRPr="0024327D" w:rsidRDefault="00BF3D58" w:rsidP="00E31EF2">
      <w:pPr>
        <w:pStyle w:val="3"/>
        <w:ind w:left="0" w:firstLine="0"/>
        <w:rPr>
          <w:lang w:val="uk-UA"/>
        </w:rPr>
      </w:pPr>
      <w:bookmarkStart w:id="113" w:name="_Toc8065594"/>
      <w:bookmarkStart w:id="114" w:name="_Toc8065663"/>
      <w:bookmarkStart w:id="115" w:name="_Toc8065731"/>
      <w:bookmarkStart w:id="116" w:name="_Toc8065798"/>
      <w:bookmarkStart w:id="117" w:name="_Toc6942256"/>
      <w:bookmarkStart w:id="118" w:name="_Toc5081046"/>
      <w:bookmarkStart w:id="119" w:name="_Toc27153455"/>
      <w:bookmarkStart w:id="120" w:name="_Toc95481000"/>
      <w:bookmarkEnd w:id="113"/>
      <w:bookmarkEnd w:id="114"/>
      <w:bookmarkEnd w:id="115"/>
      <w:bookmarkEnd w:id="116"/>
      <w:r w:rsidRPr="0024327D">
        <w:rPr>
          <w:lang w:val="uk-UA"/>
        </w:rPr>
        <w:t>Запропонована структур</w:t>
      </w:r>
      <w:r w:rsidR="00637786" w:rsidRPr="0024327D">
        <w:rPr>
          <w:lang w:val="uk-UA"/>
        </w:rPr>
        <w:t>а</w:t>
      </w:r>
      <w:r w:rsidRPr="0024327D">
        <w:rPr>
          <w:lang w:val="uk-UA"/>
        </w:rPr>
        <w:t xml:space="preserve"> </w:t>
      </w:r>
      <w:bookmarkEnd w:id="117"/>
      <w:bookmarkEnd w:id="118"/>
      <w:bookmarkEnd w:id="119"/>
      <w:r w:rsidR="00645A85" w:rsidRPr="0024327D">
        <w:rPr>
          <w:lang w:val="uk-UA"/>
        </w:rPr>
        <w:t>облігацій з покриттям</w:t>
      </w:r>
      <w:bookmarkEnd w:id="120"/>
      <w:r w:rsidR="00DD3B5B" w:rsidRPr="0024327D">
        <w:rPr>
          <w:lang w:val="uk-UA"/>
        </w:rPr>
        <w:t xml:space="preserve"> </w:t>
      </w:r>
    </w:p>
    <w:p w14:paraId="559F2A6C" w14:textId="6F964262" w:rsidR="00DD3B5B" w:rsidRPr="0024327D" w:rsidRDefault="000F44D8" w:rsidP="00E31EF2">
      <w:pPr>
        <w:keepNext/>
        <w:keepLines/>
        <w:rPr>
          <w:lang w:val="uk-UA"/>
        </w:rPr>
      </w:pPr>
      <w:r w:rsidRPr="0024327D">
        <w:rPr>
          <w:noProof/>
          <w:lang w:val="uk-UA" w:eastAsia="uk-UA"/>
        </w:rPr>
        <mc:AlternateContent>
          <mc:Choice Requires="wps">
            <w:drawing>
              <wp:anchor distT="0" distB="0" distL="114300" distR="114300" simplePos="0" relativeHeight="251658248" behindDoc="0" locked="0" layoutInCell="1" allowOverlap="1" wp14:anchorId="52C002B1" wp14:editId="317A2B84">
                <wp:simplePos x="0" y="0"/>
                <wp:positionH relativeFrom="margin">
                  <wp:posOffset>2341880</wp:posOffset>
                </wp:positionH>
                <wp:positionV relativeFrom="paragraph">
                  <wp:posOffset>55880</wp:posOffset>
                </wp:positionV>
                <wp:extent cx="1225685" cy="340468"/>
                <wp:effectExtent l="0" t="0" r="12700" b="21590"/>
                <wp:wrapNone/>
                <wp:docPr id="16" name="Rectangle 16"/>
                <wp:cNvGraphicFramePr/>
                <a:graphic xmlns:a="http://schemas.openxmlformats.org/drawingml/2006/main">
                  <a:graphicData uri="http://schemas.microsoft.com/office/word/2010/wordprocessingShape">
                    <wps:wsp>
                      <wps:cNvSpPr/>
                      <wps:spPr>
                        <a:xfrm>
                          <a:off x="0" y="0"/>
                          <a:ext cx="1225685" cy="34046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F85785" w14:textId="27C0B53C" w:rsidR="005634FA" w:rsidRPr="00AC25E8" w:rsidRDefault="005634FA" w:rsidP="00401F96">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Інвестори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002B1" id="Rectangle 16" o:spid="_x0000_s1032" style="position:absolute;left:0;text-align:left;margin-left:184.4pt;margin-top:4.4pt;width:96.5pt;height:26.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" fillcolor="#bdd6ee [1300]" strokecolor="#1f4d78 [1604]" strokeweight="1pt">
                <v:textbox>
                  <w:txbxContent>
                    <w:p w14:paraId="3EF85785" w14:textId="27C0B53C" w:rsidR="005634FA" w:rsidRPr="00AC25E8" w:rsidRDefault="005634FA" w:rsidP="00401F96">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Інвестори</w:t>
                      </w:r>
                    </w:p>
                  </w:txbxContent>
                </v:textbox>
                <w10:wrap anchorx="margin"/>
              </v:rect>
            </w:pict>
          </mc:Fallback>
        </mc:AlternateContent>
      </w:r>
      <w:r w:rsidRPr="0024327D">
        <w:rPr>
          <w:noProof/>
          <w:lang w:val="uk-UA" w:eastAsia="uk-UA"/>
        </w:rPr>
        <mc:AlternateContent>
          <mc:Choice Requires="wps">
            <w:drawing>
              <wp:anchor distT="0" distB="0" distL="114300" distR="114300" simplePos="0" relativeHeight="251658245" behindDoc="0" locked="0" layoutInCell="1" allowOverlap="1" wp14:anchorId="4B6589C0" wp14:editId="274C80D7">
                <wp:simplePos x="0" y="0"/>
                <wp:positionH relativeFrom="margin">
                  <wp:posOffset>38100</wp:posOffset>
                </wp:positionH>
                <wp:positionV relativeFrom="paragraph">
                  <wp:posOffset>38100</wp:posOffset>
                </wp:positionV>
                <wp:extent cx="1225685" cy="335604"/>
                <wp:effectExtent l="0" t="0" r="12700" b="26670"/>
                <wp:wrapNone/>
                <wp:docPr id="12" name="Rectangle 12"/>
                <wp:cNvGraphicFramePr/>
                <a:graphic xmlns:a="http://schemas.openxmlformats.org/drawingml/2006/main">
                  <a:graphicData uri="http://schemas.microsoft.com/office/word/2010/wordprocessingShape">
                    <wps:wsp>
                      <wps:cNvSpPr/>
                      <wps:spPr>
                        <a:xfrm>
                          <a:off x="0" y="0"/>
                          <a:ext cx="1225685" cy="33560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8B5F09" w14:textId="3349F61E" w:rsidR="005634FA" w:rsidRPr="00882571" w:rsidRDefault="005634FA" w:rsidP="00882571">
                            <w:pPr>
                              <w:spacing w:before="0" w:after="0" w:line="240" w:lineRule="auto"/>
                              <w:jc w:val="center"/>
                              <w:rPr>
                                <w:color w:val="000000" w:themeColor="text1"/>
                                <w:sz w:val="24"/>
                                <w:szCs w:val="24"/>
                                <w:lang w:val="uk-UA"/>
                              </w:rPr>
                            </w:pPr>
                            <w:r w:rsidRPr="00AC25E8">
                              <w:rPr>
                                <w:b/>
                                <w:bCs/>
                                <w:color w:val="000000" w:themeColor="text1"/>
                                <w:sz w:val="24"/>
                                <w:szCs w:val="24"/>
                                <w:lang w:val="uk-UA"/>
                              </w:rPr>
                              <w:t>Емітент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89C0" id="Rectangle 12" o:spid="_x0000_s1033" style="position:absolute;left:0;text-align:left;margin-left:3pt;margin-top:3pt;width:96.5pt;height:26.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" fillcolor="#bdd6ee [1300]" strokecolor="#1f4d78 [1604]" strokeweight="1pt">
                <v:textbox>
                  <w:txbxContent>
                    <w:p w14:paraId="6A8B5F09" w14:textId="3349F61E" w:rsidR="005634FA" w:rsidRPr="00882571" w:rsidRDefault="005634FA" w:rsidP="00882571">
                      <w:pPr>
                        <w:spacing w:before="0" w:after="0" w:line="240" w:lineRule="auto"/>
                        <w:jc w:val="center"/>
                        <w:rPr>
                          <w:color w:val="000000" w:themeColor="text1"/>
                          <w:sz w:val="24"/>
                          <w:szCs w:val="24"/>
                          <w:lang w:val="uk-UA"/>
                        </w:rPr>
                      </w:pPr>
                      <w:r w:rsidRPr="00AC25E8">
                        <w:rPr>
                          <w:b/>
                          <w:bCs/>
                          <w:color w:val="000000" w:themeColor="text1"/>
                          <w:sz w:val="24"/>
                          <w:szCs w:val="24"/>
                          <w:lang w:val="uk-UA"/>
                        </w:rPr>
                        <w:t>Емітент</w:t>
                      </w:r>
                    </w:p>
                  </w:txbxContent>
                </v:textbox>
                <w10:wrap anchorx="margin"/>
              </v:rect>
            </w:pict>
          </mc:Fallback>
        </mc:AlternateContent>
      </w:r>
      <w:r w:rsidR="00401F96" w:rsidRPr="0024327D">
        <w:rPr>
          <w:noProof/>
          <w:lang w:val="uk-UA" w:eastAsia="uk-UA"/>
        </w:rPr>
        <mc:AlternateContent>
          <mc:Choice Requires="wps">
            <w:drawing>
              <wp:anchor distT="0" distB="0" distL="114300" distR="114300" simplePos="0" relativeHeight="251658253" behindDoc="0" locked="0" layoutInCell="1" allowOverlap="1" wp14:anchorId="48A6A848" wp14:editId="466A789C">
                <wp:simplePos x="0" y="0"/>
                <wp:positionH relativeFrom="column">
                  <wp:posOffset>1288293</wp:posOffset>
                </wp:positionH>
                <wp:positionV relativeFrom="paragraph">
                  <wp:posOffset>208415</wp:posOffset>
                </wp:positionV>
                <wp:extent cx="1016541" cy="45719"/>
                <wp:effectExtent l="0" t="19050" r="31750" b="31115"/>
                <wp:wrapNone/>
                <wp:docPr id="28" name="Arrow: Right 28"/>
                <wp:cNvGraphicFramePr/>
                <a:graphic xmlns:a="http://schemas.openxmlformats.org/drawingml/2006/main">
                  <a:graphicData uri="http://schemas.microsoft.com/office/word/2010/wordprocessingShape">
                    <wps:wsp>
                      <wps:cNvSpPr/>
                      <wps:spPr>
                        <a:xfrm>
                          <a:off x="0" y="0"/>
                          <a:ext cx="101654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5B9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101.45pt;margin-top:16.4pt;width:80.05pt;height:3.6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" adj="21114" fillcolor="#5b9bd5 [3204]" strokecolor="#1f4d78 [1604]" strokeweight="1pt"/>
            </w:pict>
          </mc:Fallback>
        </mc:AlternateContent>
      </w:r>
    </w:p>
    <w:p w14:paraId="028676D3" w14:textId="04560454" w:rsidR="00882571" w:rsidRPr="0024327D" w:rsidRDefault="00E31EF2" w:rsidP="00E31EF2">
      <w:pPr>
        <w:keepNext/>
        <w:keepLines/>
        <w:rPr>
          <w:lang w:val="uk-UA"/>
        </w:rPr>
      </w:pPr>
      <w:r w:rsidRPr="0024327D">
        <w:rPr>
          <w:noProof/>
          <w:lang w:val="uk-UA" w:eastAsia="uk-UA"/>
        </w:rPr>
        <mc:AlternateContent>
          <mc:Choice Requires="wps">
            <w:drawing>
              <wp:anchor distT="0" distB="0" distL="114300" distR="114300" simplePos="0" relativeHeight="251658251" behindDoc="0" locked="0" layoutInCell="1" allowOverlap="1" wp14:anchorId="3E91366B" wp14:editId="36803583">
                <wp:simplePos x="0" y="0"/>
                <wp:positionH relativeFrom="margin">
                  <wp:posOffset>1363980</wp:posOffset>
                </wp:positionH>
                <wp:positionV relativeFrom="paragraph">
                  <wp:posOffset>10160</wp:posOffset>
                </wp:positionV>
                <wp:extent cx="860425" cy="266835"/>
                <wp:effectExtent l="0" t="0" r="0" b="0"/>
                <wp:wrapNone/>
                <wp:docPr id="20" name="Rectangle 20"/>
                <wp:cNvGraphicFramePr/>
                <a:graphic xmlns:a="http://schemas.openxmlformats.org/drawingml/2006/main">
                  <a:graphicData uri="http://schemas.microsoft.com/office/word/2010/wordprocessingShape">
                    <wps:wsp>
                      <wps:cNvSpPr/>
                      <wps:spPr>
                        <a:xfrm>
                          <a:off x="0" y="0"/>
                          <a:ext cx="860425" cy="26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69FAA" w14:textId="20911201" w:rsidR="005634FA" w:rsidRPr="00AC25E8" w:rsidRDefault="005634FA" w:rsidP="00401F96">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Облігації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1366B" id="Rectangle 20" o:spid="_x0000_s1034" style="position:absolute;left:0;text-align:left;margin-left:107.4pt;margin-top:.8pt;width:67.75pt;height: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" filled="f" stroked="f" strokeweight="1pt">
                <v:textbox>
                  <w:txbxContent>
                    <w:p w14:paraId="0D169FAA" w14:textId="20911201" w:rsidR="005634FA" w:rsidRPr="00AC25E8" w:rsidRDefault="005634FA" w:rsidP="00401F96">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Облігації</w:t>
                      </w:r>
                    </w:p>
                  </w:txbxContent>
                </v:textbox>
                <w10:wrap anchorx="margin"/>
              </v:rect>
            </w:pict>
          </mc:Fallback>
        </mc:AlternateContent>
      </w:r>
      <w:r w:rsidR="007D30B3" w:rsidRPr="0024327D">
        <w:rPr>
          <w:noProof/>
          <w:lang w:val="uk-UA" w:eastAsia="uk-UA"/>
        </w:rPr>
        <mc:AlternateContent>
          <mc:Choice Requires="wps">
            <w:drawing>
              <wp:anchor distT="0" distB="0" distL="114300" distR="114300" simplePos="0" relativeHeight="251658250" behindDoc="0" locked="0" layoutInCell="1" allowOverlap="1" wp14:anchorId="73031D91" wp14:editId="443C44D1">
                <wp:simplePos x="0" y="0"/>
                <wp:positionH relativeFrom="margin">
                  <wp:posOffset>52070</wp:posOffset>
                </wp:positionH>
                <wp:positionV relativeFrom="paragraph">
                  <wp:posOffset>53340</wp:posOffset>
                </wp:positionV>
                <wp:extent cx="1619250" cy="584200"/>
                <wp:effectExtent l="0" t="0" r="0" b="0"/>
                <wp:wrapNone/>
                <wp:docPr id="19" name="Rectangle 19"/>
                <wp:cNvGraphicFramePr/>
                <a:graphic xmlns:a="http://schemas.openxmlformats.org/drawingml/2006/main">
                  <a:graphicData uri="http://schemas.microsoft.com/office/word/2010/wordprocessingShape">
                    <wps:wsp>
                      <wps:cNvSpPr/>
                      <wps:spPr>
                        <a:xfrm>
                          <a:off x="0" y="0"/>
                          <a:ext cx="1619250" cy="584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1283B" w14:textId="178C9F5D" w:rsidR="005634FA" w:rsidRPr="00AC25E8" w:rsidRDefault="005634FA" w:rsidP="00882571">
                            <w:pPr>
                              <w:spacing w:before="0" w:after="0"/>
                              <w:jc w:val="center"/>
                              <w:rPr>
                                <w:b/>
                                <w:bCs/>
                                <w:color w:val="000000" w:themeColor="text1"/>
                                <w:sz w:val="24"/>
                                <w:szCs w:val="24"/>
                                <w:lang w:val="uk-UA"/>
                              </w:rPr>
                            </w:pPr>
                            <w:r w:rsidRPr="00AC25E8">
                              <w:rPr>
                                <w:b/>
                                <w:bCs/>
                                <w:color w:val="000000" w:themeColor="text1"/>
                                <w:sz w:val="24"/>
                                <w:szCs w:val="24"/>
                                <w:lang w:val="uk-UA"/>
                              </w:rPr>
                              <w:t>Відступлення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1D91" id="Rectangle 19" o:spid="_x0000_s1035" style="position:absolute;left:0;text-align:left;margin-left:4.1pt;margin-top:4.2pt;width:127.5pt;height:4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" filled="f" stroked="f" strokeweight="1pt">
                <v:textbox>
                  <w:txbxContent>
                    <w:p w14:paraId="7C91283B" w14:textId="178C9F5D" w:rsidR="005634FA" w:rsidRPr="00AC25E8" w:rsidRDefault="005634FA" w:rsidP="00882571">
                      <w:pPr>
                        <w:spacing w:before="0" w:after="0"/>
                        <w:jc w:val="center"/>
                        <w:rPr>
                          <w:b/>
                          <w:bCs/>
                          <w:color w:val="000000" w:themeColor="text1"/>
                          <w:sz w:val="24"/>
                          <w:szCs w:val="24"/>
                          <w:lang w:val="uk-UA"/>
                        </w:rPr>
                      </w:pPr>
                      <w:r w:rsidRPr="00AC25E8">
                        <w:rPr>
                          <w:b/>
                          <w:bCs/>
                          <w:color w:val="000000" w:themeColor="text1"/>
                          <w:sz w:val="24"/>
                          <w:szCs w:val="24"/>
                          <w:lang w:val="uk-UA"/>
                        </w:rPr>
                        <w:t>Відступлення</w:t>
                      </w:r>
                    </w:p>
                  </w:txbxContent>
                </v:textbox>
                <w10:wrap anchorx="margin"/>
              </v:rect>
            </w:pict>
          </mc:Fallback>
        </mc:AlternateContent>
      </w:r>
      <w:r w:rsidR="00882571" w:rsidRPr="0024327D">
        <w:rPr>
          <w:noProof/>
          <w:lang w:val="uk-UA" w:eastAsia="uk-UA"/>
        </w:rPr>
        <mc:AlternateContent>
          <mc:Choice Requires="wps">
            <w:drawing>
              <wp:anchor distT="0" distB="0" distL="114300" distR="114300" simplePos="0" relativeHeight="251658249" behindDoc="0" locked="0" layoutInCell="1" allowOverlap="1" wp14:anchorId="33BAB16D" wp14:editId="235EE024">
                <wp:simplePos x="0" y="0"/>
                <wp:positionH relativeFrom="column">
                  <wp:posOffset>203200</wp:posOffset>
                </wp:positionH>
                <wp:positionV relativeFrom="paragraph">
                  <wp:posOffset>137417</wp:posOffset>
                </wp:positionV>
                <wp:extent cx="45719" cy="470886"/>
                <wp:effectExtent l="19050" t="0" r="31115" b="43815"/>
                <wp:wrapNone/>
                <wp:docPr id="18" name="Arrow: Down 18"/>
                <wp:cNvGraphicFramePr/>
                <a:graphic xmlns:a="http://schemas.openxmlformats.org/drawingml/2006/main">
                  <a:graphicData uri="http://schemas.microsoft.com/office/word/2010/wordprocessingShape">
                    <wps:wsp>
                      <wps:cNvSpPr/>
                      <wps:spPr>
                        <a:xfrm>
                          <a:off x="0" y="0"/>
                          <a:ext cx="45719" cy="4708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7AF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16pt;margin-top:10.8pt;width:3.6pt;height:37.1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" adj="20551" fillcolor="#5b9bd5 [3204]" strokecolor="#1f4d78 [1604]" strokeweight="1pt"/>
            </w:pict>
          </mc:Fallback>
        </mc:AlternateContent>
      </w:r>
    </w:p>
    <w:p w14:paraId="5B04FCC5" w14:textId="0AAB7981" w:rsidR="00882571" w:rsidRPr="0024327D" w:rsidRDefault="00882571" w:rsidP="00E31EF2">
      <w:pPr>
        <w:keepNext/>
        <w:keepLines/>
        <w:rPr>
          <w:lang w:val="uk-UA"/>
        </w:rPr>
      </w:pPr>
    </w:p>
    <w:p w14:paraId="6FDDE06E" w14:textId="3E157170" w:rsidR="00882571" w:rsidRPr="0024327D" w:rsidRDefault="00C35008" w:rsidP="00E31EF2">
      <w:pPr>
        <w:keepNext/>
        <w:keepLines/>
        <w:rPr>
          <w:lang w:val="uk-UA"/>
        </w:rPr>
      </w:pPr>
      <w:r w:rsidRPr="0024327D">
        <w:rPr>
          <w:noProof/>
          <w:lang w:val="uk-UA" w:eastAsia="uk-UA"/>
        </w:rPr>
        <mc:AlternateContent>
          <mc:Choice Requires="wps">
            <w:drawing>
              <wp:anchor distT="0" distB="0" distL="114300" distR="114300" simplePos="0" relativeHeight="251658252" behindDoc="0" locked="0" layoutInCell="1" allowOverlap="1" wp14:anchorId="60A5CD8C" wp14:editId="4B8E6544">
                <wp:simplePos x="0" y="0"/>
                <wp:positionH relativeFrom="margin">
                  <wp:posOffset>2418255</wp:posOffset>
                </wp:positionH>
                <wp:positionV relativeFrom="paragraph">
                  <wp:posOffset>133710</wp:posOffset>
                </wp:positionV>
                <wp:extent cx="860898" cy="272158"/>
                <wp:effectExtent l="0" t="0" r="0" b="0"/>
                <wp:wrapNone/>
                <wp:docPr id="21" name="Rectangle 21"/>
                <wp:cNvGraphicFramePr/>
                <a:graphic xmlns:a="http://schemas.openxmlformats.org/drawingml/2006/main">
                  <a:graphicData uri="http://schemas.microsoft.com/office/word/2010/wordprocessingShape">
                    <wps:wsp>
                      <wps:cNvSpPr/>
                      <wps:spPr>
                        <a:xfrm>
                          <a:off x="0" y="0"/>
                          <a:ext cx="860898" cy="2721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BE851" w14:textId="031B6A7E" w:rsidR="005634FA" w:rsidRPr="00AC25E8" w:rsidRDefault="005634FA" w:rsidP="00882571">
                            <w:pPr>
                              <w:spacing w:before="0" w:after="0"/>
                              <w:jc w:val="center"/>
                              <w:rPr>
                                <w:b/>
                                <w:bCs/>
                                <w:color w:val="000000" w:themeColor="text1"/>
                                <w:sz w:val="24"/>
                                <w:szCs w:val="24"/>
                                <w:lang w:val="uk-UA"/>
                              </w:rPr>
                            </w:pPr>
                            <w:r w:rsidRPr="00AC25E8">
                              <w:rPr>
                                <w:b/>
                                <w:bCs/>
                                <w:color w:val="000000" w:themeColor="text1"/>
                                <w:sz w:val="24"/>
                                <w:szCs w:val="24"/>
                                <w:lang w:val="uk-UA"/>
                              </w:rPr>
                              <w:t>Гарантія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CD8C" id="Rectangle 21" o:spid="_x0000_s1036" style="position:absolute;left:0;text-align:left;margin-left:190.4pt;margin-top:10.55pt;width:67.8pt;height:21.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" filled="f" stroked="f" strokeweight="1pt">
                <v:textbox>
                  <w:txbxContent>
                    <w:p w14:paraId="712BE851" w14:textId="031B6A7E" w:rsidR="005634FA" w:rsidRPr="00AC25E8" w:rsidRDefault="005634FA" w:rsidP="00882571">
                      <w:pPr>
                        <w:spacing w:before="0" w:after="0"/>
                        <w:jc w:val="center"/>
                        <w:rPr>
                          <w:b/>
                          <w:bCs/>
                          <w:color w:val="000000" w:themeColor="text1"/>
                          <w:sz w:val="24"/>
                          <w:szCs w:val="24"/>
                          <w:lang w:val="uk-UA"/>
                        </w:rPr>
                      </w:pPr>
                      <w:r w:rsidRPr="00AC25E8">
                        <w:rPr>
                          <w:b/>
                          <w:bCs/>
                          <w:color w:val="000000" w:themeColor="text1"/>
                          <w:sz w:val="24"/>
                          <w:szCs w:val="24"/>
                          <w:lang w:val="uk-UA"/>
                        </w:rPr>
                        <w:t>Гарантія</w:t>
                      </w:r>
                    </w:p>
                  </w:txbxContent>
                </v:textbox>
                <w10:wrap anchorx="margin"/>
              </v:rect>
            </w:pict>
          </mc:Fallback>
        </mc:AlternateContent>
      </w:r>
      <w:r w:rsidRPr="0024327D">
        <w:rPr>
          <w:noProof/>
          <w:lang w:val="uk-UA" w:eastAsia="uk-UA"/>
        </w:rPr>
        <mc:AlternateContent>
          <mc:Choice Requires="wps">
            <w:drawing>
              <wp:anchor distT="0" distB="0" distL="114300" distR="114300" simplePos="0" relativeHeight="251658264" behindDoc="0" locked="0" layoutInCell="1" allowOverlap="1" wp14:anchorId="5D01600D" wp14:editId="6038C295">
                <wp:simplePos x="0" y="0"/>
                <wp:positionH relativeFrom="column">
                  <wp:posOffset>1388870</wp:posOffset>
                </wp:positionH>
                <wp:positionV relativeFrom="paragraph">
                  <wp:posOffset>204469</wp:posOffset>
                </wp:positionV>
                <wp:extent cx="1979404" cy="45719"/>
                <wp:effectExtent l="0" t="571500" r="0" b="577215"/>
                <wp:wrapNone/>
                <wp:docPr id="10" name="Arrow: Right 28"/>
                <wp:cNvGraphicFramePr/>
                <a:graphic xmlns:a="http://schemas.openxmlformats.org/drawingml/2006/main">
                  <a:graphicData uri="http://schemas.microsoft.com/office/word/2010/wordprocessingShape">
                    <wps:wsp>
                      <wps:cNvSpPr/>
                      <wps:spPr>
                        <a:xfrm rot="19481923">
                          <a:off x="0" y="0"/>
                          <a:ext cx="197940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7E1C8" id="Arrow: Right 28" o:spid="_x0000_s1026" type="#_x0000_t13" style="position:absolute;margin-left:109.35pt;margin-top:16.1pt;width:155.85pt;height:3.6pt;rotation:-2313505fd;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" adj="21351" fillcolor="#5b9bd5 [3204]" strokecolor="#1f4d78 [1604]" strokeweight="1pt"/>
            </w:pict>
          </mc:Fallback>
        </mc:AlternateContent>
      </w:r>
      <w:r w:rsidR="00B644E6" w:rsidRPr="0024327D">
        <w:rPr>
          <w:noProof/>
          <w:lang w:val="uk-UA" w:eastAsia="uk-UA"/>
        </w:rPr>
        <mc:AlternateContent>
          <mc:Choice Requires="wps">
            <w:drawing>
              <wp:anchor distT="0" distB="0" distL="114300" distR="114300" simplePos="0" relativeHeight="251658246" behindDoc="0" locked="0" layoutInCell="1" allowOverlap="1" wp14:anchorId="421C7192" wp14:editId="117EF81F">
                <wp:simplePos x="0" y="0"/>
                <wp:positionH relativeFrom="margin">
                  <wp:posOffset>33225</wp:posOffset>
                </wp:positionH>
                <wp:positionV relativeFrom="paragraph">
                  <wp:posOffset>130195</wp:posOffset>
                </wp:positionV>
                <wp:extent cx="1519343" cy="1001949"/>
                <wp:effectExtent l="0" t="0" r="17780" b="14605"/>
                <wp:wrapNone/>
                <wp:docPr id="14" name="Rectangle 14"/>
                <wp:cNvGraphicFramePr/>
                <a:graphic xmlns:a="http://schemas.openxmlformats.org/drawingml/2006/main">
                  <a:graphicData uri="http://schemas.microsoft.com/office/word/2010/wordprocessingShape">
                    <wps:wsp>
                      <wps:cNvSpPr/>
                      <wps:spPr>
                        <a:xfrm>
                          <a:off x="0" y="0"/>
                          <a:ext cx="1519343" cy="1001949"/>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7B987" w14:textId="13A39283" w:rsidR="005634FA" w:rsidRPr="00AC25E8" w:rsidRDefault="005634FA" w:rsidP="00882571">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КОМПАНІЯ СПЕЦІАЛЬНОГО ПРИЗНАЧЕНННЯ</w:t>
                            </w:r>
                          </w:p>
                          <w:p w14:paraId="05386C1B" w14:textId="77777777" w:rsidR="005634FA" w:rsidRPr="00AC25E8" w:rsidRDefault="005634FA" w:rsidP="00882571">
                            <w:pPr>
                              <w:jc w:val="center"/>
                              <w:rPr>
                                <w:b/>
                                <w:bCs/>
                                <w:color w:val="000000" w:themeColor="text1"/>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C7192" id="Rectangle 14" o:spid="_x0000_s1037" style="position:absolute;left:0;text-align:left;margin-left:2.6pt;margin-top:10.25pt;width:119.65pt;height:78.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" fillcolor="#bdd6ee [1300]" strokecolor="#1f4d78 [1604]" strokeweight="1pt">
                <v:textbox>
                  <w:txbxContent>
                    <w:p w14:paraId="2E37B987" w14:textId="13A39283" w:rsidR="005634FA" w:rsidRPr="00AC25E8" w:rsidRDefault="005634FA" w:rsidP="00882571">
                      <w:pPr>
                        <w:spacing w:before="0" w:after="0" w:line="240" w:lineRule="auto"/>
                        <w:jc w:val="center"/>
                        <w:rPr>
                          <w:b/>
                          <w:bCs/>
                          <w:color w:val="000000" w:themeColor="text1"/>
                          <w:sz w:val="24"/>
                          <w:szCs w:val="24"/>
                          <w:lang w:val="uk-UA"/>
                        </w:rPr>
                      </w:pPr>
                      <w:r w:rsidRPr="00AC25E8">
                        <w:rPr>
                          <w:b/>
                          <w:bCs/>
                          <w:color w:val="000000" w:themeColor="text1"/>
                          <w:sz w:val="24"/>
                          <w:szCs w:val="24"/>
                          <w:lang w:val="uk-UA"/>
                        </w:rPr>
                        <w:t>КОМПАНІЯ СПЕЦІАЛЬНОГО ПРИЗНАЧЕНННЯ</w:t>
                      </w:r>
                    </w:p>
                    <w:p w14:paraId="05386C1B" w14:textId="77777777" w:rsidR="005634FA" w:rsidRPr="00AC25E8" w:rsidRDefault="005634FA" w:rsidP="00882571">
                      <w:pPr>
                        <w:jc w:val="center"/>
                        <w:rPr>
                          <w:b/>
                          <w:bCs/>
                          <w:color w:val="000000" w:themeColor="text1"/>
                          <w:sz w:val="24"/>
                          <w:szCs w:val="24"/>
                          <w:lang w:val="uk-UA"/>
                        </w:rPr>
                      </w:pPr>
                    </w:p>
                  </w:txbxContent>
                </v:textbox>
                <w10:wrap anchorx="margin"/>
              </v:rect>
            </w:pict>
          </mc:Fallback>
        </mc:AlternateContent>
      </w:r>
    </w:p>
    <w:p w14:paraId="155C3053" w14:textId="1560D0D8" w:rsidR="00882571" w:rsidRPr="0024327D" w:rsidRDefault="00F349BA" w:rsidP="00501D25">
      <w:pPr>
        <w:rPr>
          <w:lang w:val="uk-UA"/>
        </w:rPr>
      </w:pPr>
      <w:r w:rsidRPr="0024327D">
        <w:rPr>
          <w:noProof/>
          <w:lang w:val="uk-UA" w:eastAsia="uk-UA"/>
        </w:rPr>
        <mc:AlternateContent>
          <mc:Choice Requires="wps">
            <w:drawing>
              <wp:anchor distT="0" distB="0" distL="114300" distR="114300" simplePos="0" relativeHeight="251658247" behindDoc="0" locked="0" layoutInCell="1" allowOverlap="1" wp14:anchorId="5F6DE236" wp14:editId="1FC3224F">
                <wp:simplePos x="0" y="0"/>
                <wp:positionH relativeFrom="column">
                  <wp:posOffset>299085</wp:posOffset>
                </wp:positionH>
                <wp:positionV relativeFrom="paragraph">
                  <wp:posOffset>489585</wp:posOffset>
                </wp:positionV>
                <wp:extent cx="992087" cy="350196"/>
                <wp:effectExtent l="0" t="0" r="17780" b="12065"/>
                <wp:wrapNone/>
                <wp:docPr id="15" name="Oval 15"/>
                <wp:cNvGraphicFramePr/>
                <a:graphic xmlns:a="http://schemas.openxmlformats.org/drawingml/2006/main">
                  <a:graphicData uri="http://schemas.microsoft.com/office/word/2010/wordprocessingShape">
                    <wps:wsp>
                      <wps:cNvSpPr/>
                      <wps:spPr>
                        <a:xfrm>
                          <a:off x="0" y="0"/>
                          <a:ext cx="992087" cy="35019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F8A7E" w14:textId="3384F663" w:rsidR="005634FA" w:rsidRPr="00882571" w:rsidRDefault="005634FA" w:rsidP="00882571">
                            <w:pPr>
                              <w:spacing w:before="0" w:after="0"/>
                              <w:jc w:val="center"/>
                              <w:rPr>
                                <w:lang w:val="uk-UA"/>
                              </w:rPr>
                            </w:pPr>
                            <w:r>
                              <w:rPr>
                                <w:lang w:val="uk-UA"/>
                              </w:rPr>
                              <w:t>АКТИВИИИ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DE236" id="Oval 15" o:spid="_x0000_s1038" style="position:absolute;left:0;text-align:left;margin-left:23.55pt;margin-top:38.55pt;width:78.1pt;height:2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" fillcolor="#5b9bd5 [3204]" strokecolor="#1f4d78 [1604]" strokeweight="1pt">
                <v:stroke joinstyle="miter"/>
                <v:textbox>
                  <w:txbxContent>
                    <w:p w14:paraId="673F8A7E" w14:textId="3384F663" w:rsidR="005634FA" w:rsidRPr="00882571" w:rsidRDefault="005634FA" w:rsidP="00882571">
                      <w:pPr>
                        <w:spacing w:before="0" w:after="0"/>
                        <w:jc w:val="center"/>
                        <w:rPr>
                          <w:lang w:val="uk-UA"/>
                        </w:rPr>
                      </w:pPr>
                      <w:r>
                        <w:rPr>
                          <w:lang w:val="uk-UA"/>
                        </w:rPr>
                        <w:t>АКТИВИИИ</w:t>
                      </w:r>
                    </w:p>
                  </w:txbxContent>
                </v:textbox>
              </v:oval>
            </w:pict>
          </mc:Fallback>
        </mc:AlternateContent>
      </w:r>
    </w:p>
    <w:p w14:paraId="7E257750" w14:textId="77777777" w:rsidR="00E31EF2" w:rsidRPr="0024327D" w:rsidRDefault="00E31EF2" w:rsidP="00501D25">
      <w:pPr>
        <w:rPr>
          <w:lang w:val="uk-UA"/>
        </w:rPr>
      </w:pPr>
    </w:p>
    <w:p w14:paraId="1102161F" w14:textId="77777777" w:rsidR="00E31EF2" w:rsidRPr="0024327D" w:rsidRDefault="00E31EF2" w:rsidP="00501D25">
      <w:pPr>
        <w:rPr>
          <w:lang w:val="uk-UA"/>
        </w:rPr>
      </w:pPr>
    </w:p>
    <w:p w14:paraId="3B6DEA23" w14:textId="77777777" w:rsidR="00E31EF2" w:rsidRPr="0024327D" w:rsidRDefault="00E31EF2" w:rsidP="00501D25">
      <w:pPr>
        <w:rPr>
          <w:lang w:val="uk-UA"/>
        </w:rPr>
      </w:pPr>
    </w:p>
    <w:p w14:paraId="33BF5ED7" w14:textId="77777777" w:rsidR="00E31EF2" w:rsidRPr="0024327D" w:rsidRDefault="00E31EF2" w:rsidP="00501D25">
      <w:pPr>
        <w:rPr>
          <w:lang w:val="uk-UA"/>
        </w:rPr>
      </w:pPr>
    </w:p>
    <w:p w14:paraId="43AD9A62" w14:textId="49717949" w:rsidR="00882571" w:rsidRPr="0024327D" w:rsidRDefault="0000034B" w:rsidP="00501D25">
      <w:pPr>
        <w:rPr>
          <w:lang w:val="uk-UA"/>
        </w:rPr>
      </w:pPr>
      <w:r w:rsidRPr="0024327D">
        <w:rPr>
          <w:lang w:val="uk-UA"/>
        </w:rPr>
        <w:t>Емісія  о</w:t>
      </w:r>
      <w:r w:rsidR="00BF3D58" w:rsidRPr="0024327D">
        <w:rPr>
          <w:lang w:val="uk-UA"/>
        </w:rPr>
        <w:t>блігаці</w:t>
      </w:r>
      <w:r w:rsidRPr="0024327D">
        <w:rPr>
          <w:lang w:val="uk-UA"/>
        </w:rPr>
        <w:t>й</w:t>
      </w:r>
      <w:r w:rsidR="00BF3D58" w:rsidRPr="0024327D">
        <w:rPr>
          <w:lang w:val="uk-UA"/>
        </w:rPr>
        <w:t xml:space="preserve"> </w:t>
      </w:r>
      <w:r w:rsidRPr="0024327D">
        <w:rPr>
          <w:lang w:val="uk-UA"/>
        </w:rPr>
        <w:t xml:space="preserve"> здійснюється </w:t>
      </w:r>
      <w:r w:rsidR="00FF2492" w:rsidRPr="0024327D">
        <w:rPr>
          <w:lang w:val="uk-UA"/>
        </w:rPr>
        <w:t>емітентом</w:t>
      </w:r>
      <w:r w:rsidR="007746D4" w:rsidRPr="0024327D">
        <w:rPr>
          <w:lang w:val="uk-UA"/>
        </w:rPr>
        <w:t xml:space="preserve"> (</w:t>
      </w:r>
      <w:r w:rsidR="00FF2492" w:rsidRPr="0024327D">
        <w:rPr>
          <w:lang w:val="uk-UA"/>
        </w:rPr>
        <w:t xml:space="preserve">банком </w:t>
      </w:r>
      <w:r w:rsidR="007746D4" w:rsidRPr="0024327D">
        <w:rPr>
          <w:lang w:val="uk-UA"/>
        </w:rPr>
        <w:t xml:space="preserve">або іншою </w:t>
      </w:r>
      <w:r w:rsidR="00FF2492" w:rsidRPr="0024327D">
        <w:rPr>
          <w:lang w:val="uk-UA"/>
        </w:rPr>
        <w:t>прийнятною</w:t>
      </w:r>
      <w:r w:rsidR="007746D4" w:rsidRPr="0024327D">
        <w:rPr>
          <w:lang w:val="uk-UA"/>
        </w:rPr>
        <w:t xml:space="preserve"> </w:t>
      </w:r>
      <w:r w:rsidR="008A569D" w:rsidRPr="0024327D">
        <w:rPr>
          <w:lang w:val="uk-UA"/>
        </w:rPr>
        <w:t xml:space="preserve">кредитною </w:t>
      </w:r>
      <w:r w:rsidR="007746D4" w:rsidRPr="0024327D">
        <w:rPr>
          <w:lang w:val="uk-UA"/>
        </w:rPr>
        <w:t>установою)</w:t>
      </w:r>
      <w:r w:rsidR="00BF3D58" w:rsidRPr="0024327D">
        <w:rPr>
          <w:lang w:val="uk-UA"/>
        </w:rPr>
        <w:t>, який водночас з їх випуском передає пул активів окремій юридичній особі (</w:t>
      </w:r>
      <w:r w:rsidR="00CB0F26" w:rsidRPr="0024327D">
        <w:rPr>
          <w:lang w:val="uk-UA"/>
        </w:rPr>
        <w:t>к</w:t>
      </w:r>
      <w:r w:rsidR="007B4EDF" w:rsidRPr="0024327D">
        <w:rPr>
          <w:lang w:val="uk-UA"/>
        </w:rPr>
        <w:t xml:space="preserve">омпанії спеціального </w:t>
      </w:r>
      <w:r w:rsidR="007B4EDF" w:rsidRPr="0024327D">
        <w:rPr>
          <w:lang w:val="uk-UA"/>
        </w:rPr>
        <w:lastRenderedPageBreak/>
        <w:t xml:space="preserve">призначення). Компанія спеціального призначення </w:t>
      </w:r>
      <w:r w:rsidR="00FF2492" w:rsidRPr="0024327D">
        <w:rPr>
          <w:lang w:val="uk-UA"/>
        </w:rPr>
        <w:t>гарантує</w:t>
      </w:r>
      <w:r w:rsidR="00FF2492" w:rsidRPr="0024327D">
        <w:rPr>
          <w:rStyle w:val="af2"/>
          <w:lang w:val="uk-UA"/>
        </w:rPr>
        <w:footnoteReference w:id="35"/>
      </w:r>
      <w:r w:rsidR="007B4EDF" w:rsidRPr="0024327D">
        <w:rPr>
          <w:lang w:val="uk-UA"/>
        </w:rPr>
        <w:t xml:space="preserve"> </w:t>
      </w:r>
      <w:r w:rsidR="00CB0F26" w:rsidRPr="0024327D">
        <w:rPr>
          <w:lang w:val="uk-UA"/>
        </w:rPr>
        <w:t>виконання зобов’язань за</w:t>
      </w:r>
      <w:r w:rsidR="00373F95" w:rsidRPr="0024327D">
        <w:rPr>
          <w:lang w:val="uk-UA"/>
        </w:rPr>
        <w:t xml:space="preserve"> </w:t>
      </w:r>
      <w:r w:rsidR="007B4EDF" w:rsidRPr="0024327D">
        <w:rPr>
          <w:lang w:val="uk-UA"/>
        </w:rPr>
        <w:t>облігаці</w:t>
      </w:r>
      <w:r w:rsidR="00CB0F26" w:rsidRPr="0024327D">
        <w:rPr>
          <w:lang w:val="uk-UA"/>
        </w:rPr>
        <w:t>ями</w:t>
      </w:r>
      <w:r w:rsidR="00FB2B51" w:rsidRPr="0024327D">
        <w:rPr>
          <w:lang w:val="uk-UA"/>
        </w:rPr>
        <w:t xml:space="preserve"> </w:t>
      </w:r>
      <w:r w:rsidR="007B4EDF" w:rsidRPr="0024327D">
        <w:rPr>
          <w:lang w:val="uk-UA"/>
        </w:rPr>
        <w:t>за рахунок переданих їй активів. Емітент зобов’язаний викупати знецінені або невідповідні активи та замінювати їх прийнятними активами</w:t>
      </w:r>
      <w:r w:rsidR="00FB2B51" w:rsidRPr="0024327D">
        <w:rPr>
          <w:lang w:val="uk-UA"/>
        </w:rPr>
        <w:t xml:space="preserve"> на постійній основі</w:t>
      </w:r>
      <w:r w:rsidR="007B4EDF" w:rsidRPr="0024327D">
        <w:rPr>
          <w:lang w:val="uk-UA"/>
        </w:rPr>
        <w:t xml:space="preserve">, щоб забезпечити </w:t>
      </w:r>
      <w:r w:rsidR="00FB2B51" w:rsidRPr="0024327D">
        <w:rPr>
          <w:lang w:val="uk-UA"/>
        </w:rPr>
        <w:t>к</w:t>
      </w:r>
      <w:r w:rsidR="007B4EDF" w:rsidRPr="0024327D">
        <w:rPr>
          <w:lang w:val="uk-UA"/>
        </w:rPr>
        <w:t xml:space="preserve">омпанії спеціального призначення можливість виконувати зобов’язання за гарантією. Компанія спеціального призначення консолідується з </w:t>
      </w:r>
      <w:r w:rsidR="00643B4F" w:rsidRPr="0024327D">
        <w:rPr>
          <w:lang w:val="uk-UA"/>
        </w:rPr>
        <w:t>е</w:t>
      </w:r>
      <w:r w:rsidR="007B4EDF" w:rsidRPr="0024327D">
        <w:rPr>
          <w:lang w:val="uk-UA"/>
        </w:rPr>
        <w:t>мітентом для цілей бухгалтерського обліку та регулювання, але не у разі неплатоспроможності.</w:t>
      </w:r>
    </w:p>
    <w:p w14:paraId="35E03066" w14:textId="2796697F" w:rsidR="000C0B5B" w:rsidRPr="0024327D" w:rsidRDefault="00DF796F" w:rsidP="00501D25">
      <w:pPr>
        <w:rPr>
          <w:lang w:val="uk-UA"/>
        </w:rPr>
      </w:pPr>
      <w:r w:rsidRPr="0024327D">
        <w:rPr>
          <w:lang w:val="uk-UA"/>
        </w:rPr>
        <w:t xml:space="preserve">При цій структурі </w:t>
      </w:r>
      <w:r w:rsidR="00FB2DDD" w:rsidRPr="0024327D">
        <w:rPr>
          <w:lang w:val="uk-UA"/>
        </w:rPr>
        <w:t>обов’язково</w:t>
      </w:r>
      <w:r w:rsidRPr="0024327D">
        <w:rPr>
          <w:lang w:val="uk-UA"/>
        </w:rPr>
        <w:t xml:space="preserve">, щоб активи були передані </w:t>
      </w:r>
      <w:r w:rsidR="00FB2B51" w:rsidRPr="0024327D">
        <w:rPr>
          <w:lang w:val="uk-UA"/>
        </w:rPr>
        <w:t>к</w:t>
      </w:r>
      <w:r w:rsidRPr="0024327D">
        <w:rPr>
          <w:lang w:val="uk-UA"/>
        </w:rPr>
        <w:t xml:space="preserve">омпанії спеціального призначення з самого початку. </w:t>
      </w:r>
      <w:r w:rsidR="00BC0534" w:rsidRPr="0024327D">
        <w:rPr>
          <w:lang w:val="uk-UA"/>
        </w:rPr>
        <w:t xml:space="preserve">Потрібні </w:t>
      </w:r>
      <w:r w:rsidRPr="0024327D">
        <w:rPr>
          <w:lang w:val="uk-UA"/>
        </w:rPr>
        <w:t>правові механізми</w:t>
      </w:r>
      <w:r w:rsidR="00FB2DDD" w:rsidRPr="0024327D">
        <w:rPr>
          <w:lang w:val="uk-UA"/>
        </w:rPr>
        <w:t>, як</w:t>
      </w:r>
      <w:r w:rsidR="00BC0534" w:rsidRPr="0024327D">
        <w:rPr>
          <w:lang w:val="uk-UA"/>
        </w:rPr>
        <w:t xml:space="preserve">і даватимуть можливість ефективного виконання такої </w:t>
      </w:r>
      <w:r w:rsidR="00FB2DDD" w:rsidRPr="0024327D">
        <w:rPr>
          <w:lang w:val="uk-UA"/>
        </w:rPr>
        <w:t xml:space="preserve">умови як позичальниками, так і </w:t>
      </w:r>
      <w:r w:rsidR="00FE1540" w:rsidRPr="0024327D">
        <w:rPr>
          <w:lang w:val="uk-UA"/>
        </w:rPr>
        <w:t>емітентом</w:t>
      </w:r>
      <w:r w:rsidR="00FB2DDD" w:rsidRPr="0024327D">
        <w:rPr>
          <w:lang w:val="uk-UA"/>
        </w:rPr>
        <w:t>, який здійснює передачу</w:t>
      </w:r>
      <w:r w:rsidR="00E427CD" w:rsidRPr="0024327D">
        <w:rPr>
          <w:lang w:val="uk-UA"/>
        </w:rPr>
        <w:t xml:space="preserve">, </w:t>
      </w:r>
      <w:r w:rsidR="00BC0534" w:rsidRPr="0024327D">
        <w:rPr>
          <w:lang w:val="uk-UA"/>
        </w:rPr>
        <w:t>не створюва</w:t>
      </w:r>
      <w:r w:rsidR="00737F85" w:rsidRPr="0024327D">
        <w:rPr>
          <w:lang w:val="uk-UA"/>
        </w:rPr>
        <w:t>тимуть</w:t>
      </w:r>
      <w:r w:rsidR="00BC0534" w:rsidRPr="0024327D">
        <w:rPr>
          <w:lang w:val="uk-UA"/>
        </w:rPr>
        <w:t xml:space="preserve"> (або</w:t>
      </w:r>
      <w:r w:rsidR="00E427CD" w:rsidRPr="0024327D">
        <w:rPr>
          <w:lang w:val="uk-UA"/>
        </w:rPr>
        <w:t xml:space="preserve"> не призводитимуть до уникнення</w:t>
      </w:r>
      <w:r w:rsidR="00BC0534" w:rsidRPr="0024327D">
        <w:rPr>
          <w:lang w:val="uk-UA"/>
        </w:rPr>
        <w:t>) податків,</w:t>
      </w:r>
      <w:r w:rsidRPr="0024327D">
        <w:rPr>
          <w:lang w:val="uk-UA"/>
        </w:rPr>
        <w:t xml:space="preserve"> реєстраційних зборів чи інших витрат, </w:t>
      </w:r>
      <w:r w:rsidR="00BC0534" w:rsidRPr="0024327D">
        <w:rPr>
          <w:lang w:val="uk-UA"/>
        </w:rPr>
        <w:t xml:space="preserve">які часто виникають при передачі </w:t>
      </w:r>
      <w:r w:rsidRPr="0024327D">
        <w:rPr>
          <w:lang w:val="uk-UA"/>
        </w:rPr>
        <w:t>активів</w:t>
      </w:r>
      <w:r w:rsidR="00AF0739" w:rsidRPr="0024327D">
        <w:rPr>
          <w:lang w:val="uk-UA"/>
        </w:rPr>
        <w:t xml:space="preserve">, </w:t>
      </w:r>
      <w:r w:rsidR="00053759" w:rsidRPr="0024327D">
        <w:rPr>
          <w:lang w:val="uk-UA"/>
        </w:rPr>
        <w:t xml:space="preserve">і </w:t>
      </w:r>
      <w:r w:rsidR="00BC0534" w:rsidRPr="0024327D">
        <w:rPr>
          <w:lang w:val="uk-UA"/>
        </w:rPr>
        <w:t>забезпечува</w:t>
      </w:r>
      <w:r w:rsidR="00737F85" w:rsidRPr="0024327D">
        <w:rPr>
          <w:lang w:val="uk-UA"/>
        </w:rPr>
        <w:t>тимуть</w:t>
      </w:r>
      <w:r w:rsidR="00BC0534" w:rsidRPr="0024327D">
        <w:rPr>
          <w:lang w:val="uk-UA"/>
        </w:rPr>
        <w:t xml:space="preserve"> можливість </w:t>
      </w:r>
      <w:r w:rsidR="00F53D59" w:rsidRPr="0024327D">
        <w:rPr>
          <w:lang w:val="uk-UA"/>
        </w:rPr>
        <w:t>примусового виконання</w:t>
      </w:r>
      <w:r w:rsidR="00373F95" w:rsidRPr="0024327D">
        <w:rPr>
          <w:lang w:val="uk-UA"/>
        </w:rPr>
        <w:t xml:space="preserve"> </w:t>
      </w:r>
      <w:r w:rsidR="00BC0534" w:rsidRPr="0024327D">
        <w:rPr>
          <w:lang w:val="uk-UA"/>
        </w:rPr>
        <w:t>у разі неплатоспроможності передавача</w:t>
      </w:r>
      <w:r w:rsidR="00053759" w:rsidRPr="0024327D">
        <w:rPr>
          <w:lang w:val="uk-UA"/>
        </w:rPr>
        <w:t>, а також</w:t>
      </w:r>
      <w:r w:rsidR="00BC0534" w:rsidRPr="0024327D">
        <w:rPr>
          <w:lang w:val="uk-UA"/>
        </w:rPr>
        <w:t xml:space="preserve"> </w:t>
      </w:r>
      <w:r w:rsidR="00F53D59" w:rsidRPr="0024327D">
        <w:rPr>
          <w:lang w:val="uk-UA"/>
        </w:rPr>
        <w:t xml:space="preserve">кваліфікації </w:t>
      </w:r>
      <w:r w:rsidR="00BC0534" w:rsidRPr="0024327D">
        <w:rPr>
          <w:lang w:val="uk-UA"/>
        </w:rPr>
        <w:t>трансакці</w:t>
      </w:r>
      <w:r w:rsidR="00F53D59" w:rsidRPr="0024327D">
        <w:rPr>
          <w:lang w:val="uk-UA"/>
        </w:rPr>
        <w:t>ї</w:t>
      </w:r>
      <w:r w:rsidR="00BC0534" w:rsidRPr="0024327D">
        <w:rPr>
          <w:lang w:val="uk-UA"/>
        </w:rPr>
        <w:t xml:space="preserve"> за її фактичним характером (створення забезпечення), а не </w:t>
      </w:r>
      <w:r w:rsidR="00F53D59" w:rsidRPr="0024327D">
        <w:rPr>
          <w:lang w:val="uk-UA"/>
        </w:rPr>
        <w:t xml:space="preserve">за </w:t>
      </w:r>
      <w:r w:rsidR="00BC0534" w:rsidRPr="0024327D">
        <w:rPr>
          <w:lang w:val="uk-UA"/>
        </w:rPr>
        <w:t xml:space="preserve">юридичною природою </w:t>
      </w:r>
      <w:r w:rsidRPr="0024327D">
        <w:rPr>
          <w:lang w:val="uk-UA"/>
        </w:rPr>
        <w:t>(</w:t>
      </w:r>
      <w:r w:rsidR="00FE1540" w:rsidRPr="0024327D">
        <w:rPr>
          <w:lang w:val="uk-UA"/>
        </w:rPr>
        <w:t>відступлення</w:t>
      </w:r>
      <w:r w:rsidRPr="0024327D">
        <w:rPr>
          <w:lang w:val="uk-UA"/>
        </w:rPr>
        <w:t>) для цілей бухгалтерського обліку та регулювання</w:t>
      </w:r>
      <w:r w:rsidR="00BC0534" w:rsidRPr="0024327D">
        <w:rPr>
          <w:lang w:val="uk-UA"/>
        </w:rPr>
        <w:t>.</w:t>
      </w:r>
    </w:p>
    <w:p w14:paraId="1702A082" w14:textId="25F33737" w:rsidR="00DD3B5B" w:rsidRPr="0024327D" w:rsidRDefault="00E77C69" w:rsidP="00501D25">
      <w:pPr>
        <w:rPr>
          <w:lang w:val="uk-UA"/>
        </w:rPr>
      </w:pPr>
      <w:r w:rsidRPr="0024327D">
        <w:rPr>
          <w:lang w:val="uk-UA"/>
        </w:rPr>
        <w:t xml:space="preserve">Ця структура </w:t>
      </w:r>
      <w:r w:rsidR="008E5C52" w:rsidRPr="0024327D">
        <w:rPr>
          <w:lang w:val="uk-UA"/>
        </w:rPr>
        <w:t xml:space="preserve">забезпечує </w:t>
      </w:r>
      <w:r w:rsidRPr="0024327D">
        <w:rPr>
          <w:lang w:val="uk-UA"/>
        </w:rPr>
        <w:t>дуже висок</w:t>
      </w:r>
      <w:r w:rsidR="008E5C52" w:rsidRPr="0024327D">
        <w:rPr>
          <w:lang w:val="uk-UA"/>
        </w:rPr>
        <w:t xml:space="preserve">ий рівень правової </w:t>
      </w:r>
      <w:r w:rsidRPr="0024327D">
        <w:rPr>
          <w:lang w:val="uk-UA"/>
        </w:rPr>
        <w:t xml:space="preserve">визначеності. Оскільки активи передаються </w:t>
      </w:r>
      <w:r w:rsidR="00053759" w:rsidRPr="0024327D">
        <w:rPr>
          <w:lang w:val="uk-UA"/>
        </w:rPr>
        <w:t>к</w:t>
      </w:r>
      <w:r w:rsidR="008E5C52" w:rsidRPr="0024327D">
        <w:rPr>
          <w:lang w:val="uk-UA"/>
        </w:rPr>
        <w:t>омпанії спеціального призначення</w:t>
      </w:r>
      <w:r w:rsidRPr="0024327D">
        <w:rPr>
          <w:lang w:val="uk-UA"/>
        </w:rPr>
        <w:t xml:space="preserve"> до того, як вони </w:t>
      </w:r>
      <w:r w:rsidR="008E5C52" w:rsidRPr="0024327D">
        <w:rPr>
          <w:lang w:val="uk-UA"/>
        </w:rPr>
        <w:t xml:space="preserve">знадобляться </w:t>
      </w:r>
      <w:r w:rsidRPr="0024327D">
        <w:rPr>
          <w:lang w:val="uk-UA"/>
        </w:rPr>
        <w:t xml:space="preserve">(тобто до банкрутства </w:t>
      </w:r>
      <w:r w:rsidR="00FE1540" w:rsidRPr="0024327D">
        <w:rPr>
          <w:lang w:val="uk-UA"/>
        </w:rPr>
        <w:t>емітента</w:t>
      </w:r>
      <w:r w:rsidRPr="0024327D">
        <w:rPr>
          <w:lang w:val="uk-UA"/>
        </w:rPr>
        <w:t xml:space="preserve">), </w:t>
      </w:r>
      <w:r w:rsidR="008E5C52" w:rsidRPr="0024327D">
        <w:rPr>
          <w:lang w:val="uk-UA"/>
        </w:rPr>
        <w:t xml:space="preserve">виключається можливість їх знецінення внаслідок </w:t>
      </w:r>
      <w:r w:rsidRPr="0024327D">
        <w:rPr>
          <w:lang w:val="uk-UA"/>
        </w:rPr>
        <w:t>неплатоспроможн</w:t>
      </w:r>
      <w:r w:rsidR="008E5C52" w:rsidRPr="0024327D">
        <w:rPr>
          <w:lang w:val="uk-UA"/>
        </w:rPr>
        <w:t xml:space="preserve">ості або ліквідації </w:t>
      </w:r>
      <w:r w:rsidR="00CA3FD3" w:rsidRPr="0024327D">
        <w:rPr>
          <w:lang w:val="uk-UA"/>
        </w:rPr>
        <w:t>емітента</w:t>
      </w:r>
      <w:r w:rsidRPr="0024327D">
        <w:rPr>
          <w:lang w:val="uk-UA"/>
        </w:rPr>
        <w:t>, за умови</w:t>
      </w:r>
      <w:r w:rsidR="008E5C52" w:rsidRPr="0024327D">
        <w:rPr>
          <w:lang w:val="uk-UA"/>
        </w:rPr>
        <w:t xml:space="preserve"> правильного структурування передачі з </w:t>
      </w:r>
      <w:r w:rsidR="00AF1FF3" w:rsidRPr="0024327D">
        <w:rPr>
          <w:lang w:val="uk-UA"/>
        </w:rPr>
        <w:t xml:space="preserve">юридичної </w:t>
      </w:r>
      <w:r w:rsidR="008E5C52" w:rsidRPr="0024327D">
        <w:rPr>
          <w:lang w:val="uk-UA"/>
        </w:rPr>
        <w:t>точки зору</w:t>
      </w:r>
      <w:r w:rsidR="00DD3B5B" w:rsidRPr="0024327D">
        <w:rPr>
          <w:lang w:val="uk-UA"/>
        </w:rPr>
        <w:t>.</w:t>
      </w:r>
    </w:p>
    <w:p w14:paraId="5AD44629" w14:textId="26CB2124" w:rsidR="00DD3B5B" w:rsidRPr="0024327D" w:rsidRDefault="00AF1FF3" w:rsidP="00501D25">
      <w:pPr>
        <w:rPr>
          <w:lang w:val="uk-UA"/>
        </w:rPr>
      </w:pPr>
      <w:r w:rsidRPr="0024327D">
        <w:rPr>
          <w:lang w:val="uk-UA"/>
        </w:rPr>
        <w:t>При цьому непотрібно вводити складні норми до законодавства про банкрутство</w:t>
      </w:r>
      <w:r w:rsidR="00DD3B5B" w:rsidRPr="0024327D">
        <w:rPr>
          <w:lang w:val="uk-UA"/>
        </w:rPr>
        <w:t xml:space="preserve">. </w:t>
      </w:r>
    </w:p>
    <w:p w14:paraId="1C946FCF" w14:textId="73056B2E" w:rsidR="00DD3B5B" w:rsidRPr="0024327D" w:rsidRDefault="008E5C52" w:rsidP="00501D25">
      <w:pPr>
        <w:rPr>
          <w:lang w:val="uk-UA"/>
        </w:rPr>
      </w:pPr>
      <w:r w:rsidRPr="0024327D">
        <w:rPr>
          <w:lang w:val="uk-UA"/>
        </w:rPr>
        <w:t xml:space="preserve">Крім того, </w:t>
      </w:r>
      <w:r w:rsidR="00AF1FF3" w:rsidRPr="0024327D">
        <w:rPr>
          <w:lang w:val="uk-UA"/>
        </w:rPr>
        <w:t>к</w:t>
      </w:r>
      <w:r w:rsidRPr="0024327D">
        <w:rPr>
          <w:lang w:val="uk-UA"/>
        </w:rPr>
        <w:t>омпанія спеціального призначення як окрем</w:t>
      </w:r>
      <w:r w:rsidR="00AF1FF3" w:rsidRPr="0024327D">
        <w:rPr>
          <w:lang w:val="uk-UA"/>
        </w:rPr>
        <w:t>а</w:t>
      </w:r>
      <w:r w:rsidRPr="0024327D">
        <w:rPr>
          <w:lang w:val="uk-UA"/>
        </w:rPr>
        <w:t>, вже існуюч</w:t>
      </w:r>
      <w:r w:rsidR="00AF1FF3" w:rsidRPr="0024327D">
        <w:rPr>
          <w:lang w:val="uk-UA"/>
        </w:rPr>
        <w:t>а юридична особа</w:t>
      </w:r>
      <w:r w:rsidRPr="0024327D">
        <w:rPr>
          <w:lang w:val="uk-UA"/>
        </w:rPr>
        <w:t>, може укладати договори, наприклад, на рефінансування та хеджування активів, з третіми особами без згоди суду</w:t>
      </w:r>
      <w:r w:rsidR="00E20B6D" w:rsidRPr="0024327D">
        <w:rPr>
          <w:lang w:val="uk-UA"/>
        </w:rPr>
        <w:t>, на розгляді якого знаходиться провадження про</w:t>
      </w:r>
      <w:r w:rsidR="00373F95" w:rsidRPr="0024327D">
        <w:rPr>
          <w:lang w:val="uk-UA"/>
        </w:rPr>
        <w:t xml:space="preserve"> </w:t>
      </w:r>
      <w:r w:rsidRPr="0024327D">
        <w:rPr>
          <w:lang w:val="uk-UA"/>
        </w:rPr>
        <w:t xml:space="preserve">банкрутство і без створення окремої юридичної особи для </w:t>
      </w:r>
      <w:r w:rsidR="008F560F" w:rsidRPr="0024327D">
        <w:rPr>
          <w:lang w:val="uk-UA"/>
        </w:rPr>
        <w:t>п</w:t>
      </w:r>
      <w:r w:rsidRPr="0024327D">
        <w:rPr>
          <w:lang w:val="uk-UA"/>
        </w:rPr>
        <w:t xml:space="preserve">улу </w:t>
      </w:r>
      <w:r w:rsidR="008F560F" w:rsidRPr="0024327D">
        <w:rPr>
          <w:lang w:val="uk-UA"/>
        </w:rPr>
        <w:t>покриття</w:t>
      </w:r>
      <w:r w:rsidRPr="0024327D">
        <w:rPr>
          <w:lang w:val="uk-UA"/>
        </w:rPr>
        <w:t xml:space="preserve">, як це вимагається у деяких юрисдикціях щодо </w:t>
      </w:r>
      <w:r w:rsidR="00645A85" w:rsidRPr="0024327D">
        <w:rPr>
          <w:lang w:val="uk-UA"/>
        </w:rPr>
        <w:t>облігацій з покриттям</w:t>
      </w:r>
      <w:r w:rsidR="00DD3B5B" w:rsidRPr="0024327D">
        <w:rPr>
          <w:lang w:val="uk-UA"/>
        </w:rPr>
        <w:t>.</w:t>
      </w:r>
    </w:p>
    <w:p w14:paraId="059214AC" w14:textId="2270A57E" w:rsidR="00DD3B5B" w:rsidRPr="0024327D" w:rsidRDefault="008E5C52" w:rsidP="00C64D13">
      <w:pPr>
        <w:rPr>
          <w:lang w:val="uk-UA"/>
        </w:rPr>
      </w:pPr>
      <w:r w:rsidRPr="0024327D">
        <w:rPr>
          <w:lang w:val="uk-UA"/>
        </w:rPr>
        <w:t xml:space="preserve">Ця структура </w:t>
      </w:r>
      <w:r w:rsidR="00C64D13" w:rsidRPr="0024327D">
        <w:rPr>
          <w:lang w:val="uk-UA"/>
        </w:rPr>
        <w:t xml:space="preserve">з </w:t>
      </w:r>
      <w:r w:rsidR="00E20B6D" w:rsidRPr="0024327D">
        <w:rPr>
          <w:lang w:val="uk-UA"/>
        </w:rPr>
        <w:t xml:space="preserve">юридичної </w:t>
      </w:r>
      <w:r w:rsidR="00C64D13" w:rsidRPr="0024327D">
        <w:rPr>
          <w:lang w:val="uk-UA"/>
        </w:rPr>
        <w:t xml:space="preserve">точки зору багато у цьому схожа із </w:t>
      </w:r>
      <w:r w:rsidRPr="0024327D">
        <w:rPr>
          <w:lang w:val="uk-UA"/>
        </w:rPr>
        <w:t xml:space="preserve">сек'юритизацією і часто зустрічається в країнах, де </w:t>
      </w:r>
      <w:r w:rsidR="00C64D13" w:rsidRPr="0024327D">
        <w:rPr>
          <w:lang w:val="uk-UA"/>
        </w:rPr>
        <w:t xml:space="preserve">використовуються </w:t>
      </w:r>
      <w:r w:rsidRPr="0024327D">
        <w:rPr>
          <w:lang w:val="uk-UA"/>
        </w:rPr>
        <w:t>обидва інструменти фінансування</w:t>
      </w:r>
      <w:r w:rsidR="00737F85" w:rsidRPr="0024327D">
        <w:rPr>
          <w:lang w:val="uk-UA"/>
        </w:rPr>
        <w:t>,</w:t>
      </w:r>
      <w:r w:rsidRPr="0024327D">
        <w:rPr>
          <w:lang w:val="uk-UA"/>
        </w:rPr>
        <w:t xml:space="preserve"> для зменшення непотрібних змін до чинного законодавства.</w:t>
      </w:r>
    </w:p>
    <w:p w14:paraId="3235C764"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21" w:name="_Toc8065596"/>
      <w:bookmarkStart w:id="122" w:name="_Toc8065665"/>
      <w:bookmarkStart w:id="123" w:name="_Toc8065733"/>
      <w:bookmarkStart w:id="124" w:name="_Toc8065800"/>
      <w:bookmarkStart w:id="125" w:name="_Toc8065597"/>
      <w:bookmarkStart w:id="126" w:name="_Toc8065666"/>
      <w:bookmarkStart w:id="127" w:name="_Toc8065734"/>
      <w:bookmarkStart w:id="128" w:name="_Toc8065801"/>
      <w:bookmarkStart w:id="129" w:name="_Toc8065598"/>
      <w:bookmarkStart w:id="130" w:name="_Toc8065667"/>
      <w:bookmarkStart w:id="131" w:name="_Toc8065735"/>
      <w:bookmarkStart w:id="132" w:name="_Toc8065802"/>
      <w:bookmarkStart w:id="133" w:name="_Toc95481001"/>
      <w:bookmarkEnd w:id="121"/>
      <w:bookmarkEnd w:id="122"/>
      <w:bookmarkEnd w:id="123"/>
      <w:bookmarkEnd w:id="124"/>
      <w:bookmarkEnd w:id="125"/>
      <w:bookmarkEnd w:id="126"/>
      <w:bookmarkEnd w:id="127"/>
      <w:bookmarkEnd w:id="128"/>
      <w:bookmarkEnd w:id="129"/>
      <w:bookmarkEnd w:id="130"/>
      <w:bookmarkEnd w:id="131"/>
      <w:bookmarkEnd w:id="132"/>
      <w:r w:rsidRPr="0024327D">
        <w:rPr>
          <w:rFonts w:eastAsiaTheme="majorEastAsia" w:cstheme="majorBidi"/>
          <w:color w:val="2E74B5" w:themeColor="accent1" w:themeShade="BF"/>
          <w:sz w:val="28"/>
          <w:szCs w:val="28"/>
          <w:lang w:val="uk-UA"/>
        </w:rPr>
        <w:t>Визначення активів</w:t>
      </w:r>
      <w:bookmarkEnd w:id="133"/>
    </w:p>
    <w:p w14:paraId="542F061E" w14:textId="038EBA77" w:rsidR="008E5688" w:rsidRPr="0024327D" w:rsidRDefault="008E5688" w:rsidP="008E5688">
      <w:pPr>
        <w:rPr>
          <w:lang w:val="uk-UA"/>
        </w:rPr>
      </w:pPr>
      <w:r w:rsidRPr="0024327D">
        <w:rPr>
          <w:lang w:val="uk-UA"/>
        </w:rPr>
        <w:t xml:space="preserve">У більшості юрисдикцій облігації </w:t>
      </w:r>
      <w:r w:rsidR="003F53E5" w:rsidRPr="0024327D">
        <w:rPr>
          <w:lang w:val="uk-UA"/>
        </w:rPr>
        <w:t xml:space="preserve">з покриттям </w:t>
      </w:r>
      <w:r w:rsidRPr="0024327D">
        <w:rPr>
          <w:lang w:val="uk-UA"/>
        </w:rPr>
        <w:t xml:space="preserve">можуть бути забезпечені переважно іпотечними кредитами - житловими, або комерційними - або позиками </w:t>
      </w:r>
      <w:r w:rsidR="00CF7A42" w:rsidRPr="0024327D">
        <w:rPr>
          <w:lang w:val="uk-UA"/>
        </w:rPr>
        <w:t xml:space="preserve">публічного </w:t>
      </w:r>
      <w:r w:rsidRPr="0024327D">
        <w:rPr>
          <w:lang w:val="uk-UA"/>
        </w:rPr>
        <w:t xml:space="preserve">сектору. Крім того, може бути включена невелика кількість активів </w:t>
      </w:r>
      <w:r w:rsidR="008E3ED7" w:rsidRPr="0024327D">
        <w:rPr>
          <w:lang w:val="uk-UA"/>
        </w:rPr>
        <w:t>“технічного”</w:t>
      </w:r>
      <w:r w:rsidRPr="0024327D">
        <w:rPr>
          <w:lang w:val="uk-UA"/>
        </w:rPr>
        <w:t xml:space="preserve"> характеру, насамперед </w:t>
      </w:r>
      <w:r w:rsidR="008E3ED7" w:rsidRPr="0024327D">
        <w:rPr>
          <w:lang w:val="uk-UA"/>
        </w:rPr>
        <w:t>“активів-замінників”</w:t>
      </w:r>
      <w:r w:rsidRPr="0024327D">
        <w:rPr>
          <w:lang w:val="uk-UA"/>
        </w:rPr>
        <w:t xml:space="preserve"> та дериватив</w:t>
      </w:r>
      <w:r w:rsidR="00F349BA" w:rsidRPr="0024327D">
        <w:rPr>
          <w:lang w:val="uk-UA"/>
        </w:rPr>
        <w:t xml:space="preserve">них </w:t>
      </w:r>
      <w:r w:rsidR="00377D9F" w:rsidRPr="0024327D">
        <w:rPr>
          <w:lang w:val="uk-UA"/>
        </w:rPr>
        <w:t xml:space="preserve"> фінансових інструментів</w:t>
      </w:r>
      <w:r w:rsidRPr="0024327D">
        <w:rPr>
          <w:lang w:val="uk-UA"/>
        </w:rPr>
        <w:t xml:space="preserve"> - як описано нижче. На практиці більшість програм </w:t>
      </w:r>
      <w:r w:rsidR="00645A85" w:rsidRPr="0024327D">
        <w:rPr>
          <w:lang w:val="uk-UA"/>
        </w:rPr>
        <w:t>облігацій з покриттям</w:t>
      </w:r>
      <w:r w:rsidRPr="0024327D">
        <w:rPr>
          <w:lang w:val="uk-UA"/>
        </w:rPr>
        <w:t xml:space="preserve"> </w:t>
      </w:r>
      <w:r w:rsidR="00267405" w:rsidRPr="0024327D">
        <w:rPr>
          <w:lang w:val="uk-UA"/>
        </w:rPr>
        <w:t>ре</w:t>
      </w:r>
      <w:r w:rsidRPr="0024327D">
        <w:rPr>
          <w:lang w:val="uk-UA"/>
        </w:rPr>
        <w:t>фінансують лише житлові іпотечні кредити.</w:t>
      </w:r>
    </w:p>
    <w:p w14:paraId="2B0A8EFB" w14:textId="15942460" w:rsidR="008E5688" w:rsidRPr="0024327D" w:rsidRDefault="008E5688" w:rsidP="008E5688">
      <w:pPr>
        <w:rPr>
          <w:lang w:val="uk-UA"/>
        </w:rPr>
      </w:pPr>
      <w:r w:rsidRPr="0024327D">
        <w:rPr>
          <w:lang w:val="uk-UA"/>
        </w:rPr>
        <w:t xml:space="preserve">Згідно із законодавством ЄС, активи, які можуть бути використані для забезпечення </w:t>
      </w:r>
      <w:r w:rsidR="00645A85" w:rsidRPr="0024327D">
        <w:rPr>
          <w:lang w:val="uk-UA"/>
        </w:rPr>
        <w:t>облігацій з покриттям</w:t>
      </w:r>
      <w:r w:rsidRPr="0024327D">
        <w:rPr>
          <w:lang w:val="uk-UA"/>
        </w:rPr>
        <w:t xml:space="preserve">, визначені у статті 129 </w:t>
      </w:r>
      <w:r w:rsidR="006C76DF" w:rsidRPr="0024327D">
        <w:rPr>
          <w:lang w:val="uk-UA"/>
        </w:rPr>
        <w:t xml:space="preserve">Регламенту </w:t>
      </w:r>
      <w:r w:rsidRPr="0024327D">
        <w:rPr>
          <w:lang w:val="uk-UA"/>
        </w:rPr>
        <w:t>про вимоги до капіталу</w:t>
      </w:r>
      <w:r w:rsidRPr="0024327D">
        <w:rPr>
          <w:vertAlign w:val="superscript"/>
          <w:lang w:val="uk-UA"/>
        </w:rPr>
        <w:footnoteReference w:id="36"/>
      </w:r>
      <w:r w:rsidRPr="0024327D">
        <w:rPr>
          <w:lang w:val="uk-UA"/>
        </w:rPr>
        <w:t xml:space="preserve">. Однак більшість країн застосовують більш суворі правила і всі використовують більш детальні визначення активів. </w:t>
      </w:r>
    </w:p>
    <w:p w14:paraId="4F1C041B" w14:textId="040E6E0C" w:rsidR="008E5688" w:rsidRPr="0024327D" w:rsidRDefault="00267405" w:rsidP="008E5688">
      <w:pPr>
        <w:rPr>
          <w:b/>
          <w:lang w:val="uk-UA"/>
        </w:rPr>
      </w:pPr>
      <w:r w:rsidRPr="0024327D">
        <w:rPr>
          <w:b/>
          <w:lang w:val="uk-UA"/>
        </w:rPr>
        <w:t>А</w:t>
      </w:r>
      <w:r w:rsidR="008E5688" w:rsidRPr="0024327D">
        <w:rPr>
          <w:b/>
          <w:lang w:val="uk-UA"/>
        </w:rPr>
        <w:t>ктиви</w:t>
      </w:r>
      <w:r w:rsidRPr="0024327D">
        <w:rPr>
          <w:b/>
          <w:lang w:val="uk-UA"/>
        </w:rPr>
        <w:t>-замінники</w:t>
      </w:r>
    </w:p>
    <w:p w14:paraId="00D6603F" w14:textId="6F4432BD" w:rsidR="008E5688" w:rsidRPr="0024327D" w:rsidRDefault="00267405" w:rsidP="008E5688">
      <w:pPr>
        <w:rPr>
          <w:lang w:val="uk-UA"/>
        </w:rPr>
      </w:pPr>
      <w:r w:rsidRPr="0024327D">
        <w:rPr>
          <w:lang w:val="uk-UA"/>
        </w:rPr>
        <w:lastRenderedPageBreak/>
        <w:t xml:space="preserve">Активи-замінники </w:t>
      </w:r>
      <w:r w:rsidR="008E5688" w:rsidRPr="0024327D">
        <w:rPr>
          <w:lang w:val="uk-UA"/>
        </w:rPr>
        <w:t xml:space="preserve">- це, як правило, високоякісні активи, які можна легко конвертувати в готівкові кошти, які зберігаються, наприклад, для </w:t>
      </w:r>
      <w:r w:rsidR="009E1B13" w:rsidRPr="0024327D">
        <w:rPr>
          <w:lang w:val="uk-UA"/>
        </w:rPr>
        <w:t xml:space="preserve">здійснення негайного </w:t>
      </w:r>
      <w:r w:rsidR="008E5688" w:rsidRPr="0024327D">
        <w:rPr>
          <w:lang w:val="uk-UA"/>
        </w:rPr>
        <w:t xml:space="preserve">погашення облігацій. Критерії для них визначені у статті 129 </w:t>
      </w:r>
      <w:r w:rsidR="0000034B" w:rsidRPr="0024327D">
        <w:rPr>
          <w:lang w:val="uk-UA"/>
        </w:rPr>
        <w:t xml:space="preserve"> Регламенту </w:t>
      </w:r>
      <w:r w:rsidR="008E5688" w:rsidRPr="0024327D">
        <w:rPr>
          <w:lang w:val="uk-UA"/>
        </w:rPr>
        <w:t>про вимоги до капіталу, але може виникнути необхідність у їх посиленні національними нормативними актами</w:t>
      </w:r>
      <w:r w:rsidR="008E5688" w:rsidRPr="0024327D">
        <w:rPr>
          <w:vertAlign w:val="superscript"/>
          <w:lang w:val="uk-UA"/>
        </w:rPr>
        <w:footnoteReference w:id="37"/>
      </w:r>
      <w:r w:rsidR="008E5688" w:rsidRPr="0024327D">
        <w:rPr>
          <w:lang w:val="uk-UA"/>
        </w:rPr>
        <w:t xml:space="preserve">. </w:t>
      </w:r>
    </w:p>
    <w:p w14:paraId="3B36FB99" w14:textId="0F302549" w:rsidR="008E5688" w:rsidRPr="0024327D" w:rsidRDefault="008E5688" w:rsidP="008E5688">
      <w:pPr>
        <w:rPr>
          <w:lang w:val="uk-UA"/>
        </w:rPr>
      </w:pPr>
      <w:r w:rsidRPr="0024327D">
        <w:rPr>
          <w:b/>
          <w:lang w:val="uk-UA"/>
        </w:rPr>
        <w:t>Дериватив</w:t>
      </w:r>
      <w:r w:rsidR="00522795" w:rsidRPr="0024327D">
        <w:rPr>
          <w:b/>
          <w:lang w:val="uk-UA"/>
        </w:rPr>
        <w:t xml:space="preserve">ні </w:t>
      </w:r>
      <w:r w:rsidR="00377D9F" w:rsidRPr="0024327D">
        <w:rPr>
          <w:b/>
          <w:lang w:val="uk-UA"/>
        </w:rPr>
        <w:t xml:space="preserve"> фінансові інструменти</w:t>
      </w:r>
    </w:p>
    <w:p w14:paraId="475EE497" w14:textId="1CA689A7" w:rsidR="008E5688" w:rsidRPr="0024327D" w:rsidRDefault="008E5688" w:rsidP="008E5688">
      <w:pPr>
        <w:rPr>
          <w:lang w:val="uk-UA"/>
        </w:rPr>
      </w:pPr>
      <w:r w:rsidRPr="0024327D">
        <w:rPr>
          <w:lang w:val="uk-UA"/>
        </w:rPr>
        <w:t>Дериватив</w:t>
      </w:r>
      <w:r w:rsidR="00522795" w:rsidRPr="0024327D">
        <w:rPr>
          <w:lang w:val="uk-UA"/>
        </w:rPr>
        <w:t xml:space="preserve">ні </w:t>
      </w:r>
      <w:r w:rsidR="00377D9F" w:rsidRPr="0024327D">
        <w:rPr>
          <w:lang w:val="uk-UA"/>
        </w:rPr>
        <w:t xml:space="preserve"> фінансові інструменти </w:t>
      </w:r>
      <w:r w:rsidRPr="0024327D">
        <w:rPr>
          <w:lang w:val="uk-UA"/>
        </w:rPr>
        <w:t xml:space="preserve">слід включати до пулу лише  у тих випадках, коли вони хеджують невідповідність між активами та пасивами. Крім того, вони повинні базуватися на модифікованій версії </w:t>
      </w:r>
      <w:r w:rsidR="002D0CCD" w:rsidRPr="0024327D">
        <w:rPr>
          <w:lang w:val="uk-UA"/>
        </w:rPr>
        <w:t>стандарт</w:t>
      </w:r>
      <w:r w:rsidR="007255A2" w:rsidRPr="0024327D">
        <w:rPr>
          <w:lang w:val="uk-UA"/>
        </w:rPr>
        <w:t>изова</w:t>
      </w:r>
      <w:r w:rsidR="002D0CCD" w:rsidRPr="0024327D">
        <w:rPr>
          <w:lang w:val="uk-UA"/>
        </w:rPr>
        <w:t xml:space="preserve">ної </w:t>
      </w:r>
      <w:r w:rsidRPr="0024327D">
        <w:rPr>
          <w:lang w:val="uk-UA"/>
        </w:rPr>
        <w:t xml:space="preserve">документації ISDA. Свопи за </w:t>
      </w:r>
      <w:r w:rsidR="00645A85" w:rsidRPr="0024327D">
        <w:rPr>
          <w:lang w:val="uk-UA"/>
        </w:rPr>
        <w:t>облігаціями з покриттям</w:t>
      </w:r>
      <w:r w:rsidRPr="0024327D">
        <w:rPr>
          <w:lang w:val="uk-UA"/>
        </w:rPr>
        <w:t xml:space="preserve">, як правило, </w:t>
      </w:r>
      <w:r w:rsidR="009C05AD" w:rsidRPr="0024327D">
        <w:rPr>
          <w:lang w:val="uk-UA"/>
        </w:rPr>
        <w:t xml:space="preserve">повинні зберігати </w:t>
      </w:r>
      <w:r w:rsidRPr="0024327D">
        <w:rPr>
          <w:lang w:val="uk-UA"/>
        </w:rPr>
        <w:t>силу при неплатоспроможності емітента (</w:t>
      </w:r>
      <w:r w:rsidR="004D5B90" w:rsidRPr="0024327D">
        <w:rPr>
          <w:lang w:val="uk-UA"/>
        </w:rPr>
        <w:t>яка</w:t>
      </w:r>
      <w:r w:rsidRPr="0024327D">
        <w:rPr>
          <w:lang w:val="uk-UA"/>
        </w:rPr>
        <w:t xml:space="preserve"> автоматично не спричиняє </w:t>
      </w:r>
      <w:r w:rsidR="004D5B90" w:rsidRPr="0024327D">
        <w:rPr>
          <w:lang w:val="uk-UA"/>
        </w:rPr>
        <w:t xml:space="preserve">дефолт </w:t>
      </w:r>
      <w:r w:rsidRPr="0024327D">
        <w:rPr>
          <w:lang w:val="uk-UA"/>
        </w:rPr>
        <w:t>за облігаціями), щоб представляти цінність для власників облігацій.</w:t>
      </w:r>
      <w:r w:rsidRPr="0024327D">
        <w:rPr>
          <w:vertAlign w:val="superscript"/>
          <w:lang w:val="uk-UA"/>
        </w:rPr>
        <w:footnoteReference w:id="38"/>
      </w:r>
      <w:r w:rsidRPr="0024327D">
        <w:rPr>
          <w:lang w:val="uk-UA"/>
        </w:rPr>
        <w:t xml:space="preserve"> Крім того, вартість свопу у разі неплатоспроможності - за звичайними правилами ISDA - буде </w:t>
      </w:r>
      <w:r w:rsidR="0008143C" w:rsidRPr="0024327D">
        <w:rPr>
          <w:lang w:val="uk-UA"/>
        </w:rPr>
        <w:t>підлягати неттінгу разом з вартістю</w:t>
      </w:r>
      <w:r w:rsidRPr="0024327D">
        <w:rPr>
          <w:lang w:val="uk-UA"/>
        </w:rPr>
        <w:t xml:space="preserve"> інших свопів між одними й тими ж двома контрагентами. У випадку </w:t>
      </w:r>
      <w:r w:rsidR="00645A85" w:rsidRPr="0024327D">
        <w:rPr>
          <w:lang w:val="uk-UA"/>
        </w:rPr>
        <w:t>облігацій з покриттям</w:t>
      </w:r>
      <w:r w:rsidRPr="0024327D">
        <w:rPr>
          <w:lang w:val="uk-UA"/>
        </w:rPr>
        <w:t xml:space="preserve"> це потенційно може призвести до втрати </w:t>
      </w:r>
      <w:r w:rsidR="001F615E" w:rsidRPr="0024327D">
        <w:rPr>
          <w:lang w:val="uk-UA"/>
        </w:rPr>
        <w:t>його</w:t>
      </w:r>
      <w:r w:rsidRPr="0024327D">
        <w:rPr>
          <w:lang w:val="uk-UA"/>
        </w:rPr>
        <w:t xml:space="preserve"> вартості для структури </w:t>
      </w:r>
      <w:r w:rsidR="00645A85" w:rsidRPr="0024327D">
        <w:rPr>
          <w:lang w:val="uk-UA"/>
        </w:rPr>
        <w:t>облігацій з покриттям</w:t>
      </w:r>
      <w:r w:rsidRPr="0024327D">
        <w:rPr>
          <w:lang w:val="uk-UA"/>
        </w:rPr>
        <w:t xml:space="preserve">. Нарешті, свопи, як правило, вимагають </w:t>
      </w:r>
      <w:r w:rsidR="001F615E" w:rsidRPr="0024327D">
        <w:rPr>
          <w:lang w:val="uk-UA"/>
        </w:rPr>
        <w:t xml:space="preserve">надання </w:t>
      </w:r>
      <w:r w:rsidRPr="0024327D">
        <w:rPr>
          <w:lang w:val="uk-UA"/>
        </w:rPr>
        <w:t xml:space="preserve">забезпечення для підтвердження їхньої кредитоспроможності. Оскільки </w:t>
      </w:r>
      <w:r w:rsidR="00230786" w:rsidRPr="0024327D">
        <w:rPr>
          <w:lang w:val="uk-UA"/>
        </w:rPr>
        <w:t xml:space="preserve">майно, що входить до </w:t>
      </w:r>
      <w:r w:rsidRPr="0024327D">
        <w:rPr>
          <w:lang w:val="uk-UA"/>
        </w:rPr>
        <w:t>пул</w:t>
      </w:r>
      <w:r w:rsidR="00230786" w:rsidRPr="0024327D">
        <w:rPr>
          <w:lang w:val="uk-UA"/>
        </w:rPr>
        <w:t>у</w:t>
      </w:r>
      <w:r w:rsidRPr="0024327D">
        <w:rPr>
          <w:lang w:val="uk-UA"/>
        </w:rPr>
        <w:t xml:space="preserve"> </w:t>
      </w:r>
      <w:r w:rsidR="007E78C2" w:rsidRPr="0024327D">
        <w:rPr>
          <w:lang w:val="uk-UA"/>
        </w:rPr>
        <w:t>покриття</w:t>
      </w:r>
      <w:r w:rsidR="00230786" w:rsidRPr="0024327D">
        <w:rPr>
          <w:lang w:val="uk-UA"/>
        </w:rPr>
        <w:t>, не може бути предметом забезпечення</w:t>
      </w:r>
      <w:r w:rsidRPr="0024327D">
        <w:rPr>
          <w:lang w:val="uk-UA"/>
        </w:rPr>
        <w:t xml:space="preserve">, пул </w:t>
      </w:r>
      <w:r w:rsidR="008F560F" w:rsidRPr="0024327D">
        <w:rPr>
          <w:lang w:val="uk-UA"/>
        </w:rPr>
        <w:t xml:space="preserve">покриття </w:t>
      </w:r>
      <w:r w:rsidRPr="0024327D">
        <w:rPr>
          <w:lang w:val="uk-UA"/>
        </w:rPr>
        <w:t xml:space="preserve">не може </w:t>
      </w:r>
      <w:r w:rsidR="00B914DC" w:rsidRPr="0024327D">
        <w:rPr>
          <w:lang w:val="uk-UA"/>
        </w:rPr>
        <w:t>бути обтяжений</w:t>
      </w:r>
      <w:r w:rsidRPr="0024327D">
        <w:rPr>
          <w:lang w:val="uk-UA"/>
        </w:rPr>
        <w:t>.</w:t>
      </w:r>
    </w:p>
    <w:p w14:paraId="1E744927" w14:textId="3C1B2B2A" w:rsidR="008E5688" w:rsidRPr="0024327D" w:rsidRDefault="008E5688" w:rsidP="008E5688">
      <w:pPr>
        <w:rPr>
          <w:lang w:val="uk-UA"/>
        </w:rPr>
      </w:pPr>
      <w:r w:rsidRPr="0024327D">
        <w:rPr>
          <w:lang w:val="uk-UA"/>
        </w:rPr>
        <w:t xml:space="preserve">З усіх цих причин стандартні умови свопу в генеральній угоді ISDA є недостатніми для свопу </w:t>
      </w:r>
      <w:r w:rsidR="00645A85" w:rsidRPr="0024327D">
        <w:rPr>
          <w:lang w:val="uk-UA"/>
        </w:rPr>
        <w:t>облігацій з покриттям</w:t>
      </w:r>
      <w:r w:rsidRPr="0024327D">
        <w:rPr>
          <w:lang w:val="uk-UA"/>
        </w:rPr>
        <w:t xml:space="preserve">. Оскільки всі необхідні зміни до звичайних умов свопу негативно впливають на </w:t>
      </w:r>
      <w:r w:rsidR="00B06EEB" w:rsidRPr="0024327D">
        <w:rPr>
          <w:lang w:val="uk-UA"/>
        </w:rPr>
        <w:t xml:space="preserve">позицію </w:t>
      </w:r>
      <w:r w:rsidRPr="0024327D">
        <w:rPr>
          <w:lang w:val="uk-UA"/>
        </w:rPr>
        <w:t>третьої особи</w:t>
      </w:r>
      <w:r w:rsidR="00B06EEB" w:rsidRPr="0024327D">
        <w:rPr>
          <w:lang w:val="uk-UA"/>
        </w:rPr>
        <w:t xml:space="preserve"> контрагента за</w:t>
      </w:r>
      <w:r w:rsidRPr="0024327D">
        <w:rPr>
          <w:lang w:val="uk-UA"/>
        </w:rPr>
        <w:t xml:space="preserve"> своп</w:t>
      </w:r>
      <w:r w:rsidR="00B06EEB" w:rsidRPr="0024327D">
        <w:rPr>
          <w:lang w:val="uk-UA"/>
        </w:rPr>
        <w:t>ом</w:t>
      </w:r>
      <w:r w:rsidRPr="0024327D">
        <w:rPr>
          <w:lang w:val="uk-UA"/>
        </w:rPr>
        <w:t xml:space="preserve">, звичайною практикою є забезпечення додаткового захисту контрагента </w:t>
      </w:r>
      <w:r w:rsidR="00B06EEB" w:rsidRPr="0024327D">
        <w:rPr>
          <w:lang w:val="uk-UA"/>
        </w:rPr>
        <w:t xml:space="preserve">за </w:t>
      </w:r>
      <w:r w:rsidRPr="0024327D">
        <w:rPr>
          <w:lang w:val="uk-UA"/>
        </w:rPr>
        <w:t>своп</w:t>
      </w:r>
      <w:r w:rsidR="00B06EEB" w:rsidRPr="0024327D">
        <w:rPr>
          <w:lang w:val="uk-UA"/>
        </w:rPr>
        <w:t>ом</w:t>
      </w:r>
      <w:r w:rsidRPr="0024327D">
        <w:rPr>
          <w:lang w:val="uk-UA"/>
        </w:rPr>
        <w:t xml:space="preserve">, </w:t>
      </w:r>
      <w:r w:rsidR="00FA253D" w:rsidRPr="0024327D">
        <w:rPr>
          <w:lang w:val="uk-UA"/>
        </w:rPr>
        <w:t xml:space="preserve">шляхом надання йому права вимоги до </w:t>
      </w:r>
      <w:r w:rsidRPr="0024327D">
        <w:rPr>
          <w:lang w:val="uk-UA"/>
        </w:rPr>
        <w:t>пулу</w:t>
      </w:r>
      <w:r w:rsidR="00FA253D" w:rsidRPr="0024327D">
        <w:rPr>
          <w:lang w:val="uk-UA"/>
        </w:rPr>
        <w:t xml:space="preserve"> </w:t>
      </w:r>
      <w:r w:rsidR="00C93CE0" w:rsidRPr="0024327D">
        <w:rPr>
          <w:lang w:val="uk-UA"/>
        </w:rPr>
        <w:t xml:space="preserve">покриття </w:t>
      </w:r>
      <w:r w:rsidRPr="0024327D">
        <w:rPr>
          <w:lang w:val="uk-UA"/>
        </w:rPr>
        <w:t xml:space="preserve">на умовах </w:t>
      </w:r>
      <w:r w:rsidR="00FA253D" w:rsidRPr="0024327D">
        <w:rPr>
          <w:lang w:val="uk-UA"/>
        </w:rPr>
        <w:t xml:space="preserve">рівного пріоритету </w:t>
      </w:r>
      <w:r w:rsidRPr="0024327D">
        <w:rPr>
          <w:lang w:val="uk-UA"/>
        </w:rPr>
        <w:t>з інвесторами в облігації</w:t>
      </w:r>
      <w:r w:rsidR="00554A1B" w:rsidRPr="0024327D">
        <w:rPr>
          <w:lang w:val="uk-UA"/>
        </w:rPr>
        <w:t xml:space="preserve"> з покриттям</w:t>
      </w:r>
      <w:r w:rsidRPr="0024327D">
        <w:rPr>
          <w:lang w:val="uk-UA"/>
        </w:rPr>
        <w:t>.</w:t>
      </w:r>
    </w:p>
    <w:p w14:paraId="56916362" w14:textId="7953B435" w:rsidR="00386625" w:rsidRPr="0024327D" w:rsidRDefault="00386625"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34" w:name="_Toc95481002"/>
      <w:r w:rsidRPr="0024327D">
        <w:rPr>
          <w:rFonts w:eastAsiaTheme="majorEastAsia" w:cstheme="majorBidi"/>
          <w:color w:val="2E74B5" w:themeColor="accent1" w:themeShade="BF"/>
          <w:sz w:val="28"/>
          <w:szCs w:val="28"/>
          <w:lang w:val="uk-UA"/>
        </w:rPr>
        <w:t>Передача активів, що входять до пулу покриття</w:t>
      </w:r>
      <w:r w:rsidR="00BA341D" w:rsidRPr="0024327D">
        <w:rPr>
          <w:rFonts w:eastAsiaTheme="majorEastAsia" w:cstheme="majorBidi"/>
          <w:color w:val="2E74B5" w:themeColor="accent1" w:themeShade="BF"/>
          <w:sz w:val="28"/>
          <w:szCs w:val="28"/>
          <w:lang w:val="uk-UA"/>
        </w:rPr>
        <w:t xml:space="preserve">, на користь </w:t>
      </w:r>
      <w:r w:rsidR="001A3C33" w:rsidRPr="0024327D">
        <w:rPr>
          <w:rFonts w:eastAsiaTheme="majorEastAsia" w:cstheme="majorBidi"/>
          <w:color w:val="2E74B5" w:themeColor="accent1" w:themeShade="BF"/>
          <w:sz w:val="28"/>
          <w:szCs w:val="28"/>
          <w:lang w:val="uk-UA"/>
        </w:rPr>
        <w:t>к</w:t>
      </w:r>
      <w:r w:rsidR="00BA341D" w:rsidRPr="0024327D">
        <w:rPr>
          <w:rFonts w:eastAsiaTheme="majorEastAsia" w:cstheme="majorBidi"/>
          <w:color w:val="2E74B5" w:themeColor="accent1" w:themeShade="BF"/>
          <w:sz w:val="28"/>
          <w:szCs w:val="28"/>
          <w:lang w:val="uk-UA"/>
        </w:rPr>
        <w:t>омпанії спеціального призначення</w:t>
      </w:r>
      <w:bookmarkEnd w:id="134"/>
    </w:p>
    <w:p w14:paraId="220AE348" w14:textId="693CD8E3" w:rsidR="009E71A8" w:rsidRPr="0024327D" w:rsidRDefault="00BA341D" w:rsidP="008E5688">
      <w:pPr>
        <w:rPr>
          <w:lang w:val="uk-UA"/>
        </w:rPr>
      </w:pPr>
      <w:r w:rsidRPr="0024327D">
        <w:rPr>
          <w:lang w:val="uk-UA"/>
        </w:rPr>
        <w:t xml:space="preserve">Передача активів пулу покриття на користь </w:t>
      </w:r>
      <w:r w:rsidR="00A35524" w:rsidRPr="0024327D">
        <w:rPr>
          <w:lang w:val="uk-UA"/>
        </w:rPr>
        <w:t>к</w:t>
      </w:r>
      <w:r w:rsidRPr="0024327D">
        <w:rPr>
          <w:lang w:val="uk-UA"/>
        </w:rPr>
        <w:t xml:space="preserve">омпанії спеціального призначення </w:t>
      </w:r>
      <w:r w:rsidR="007E017F" w:rsidRPr="0024327D">
        <w:rPr>
          <w:lang w:val="uk-UA"/>
        </w:rPr>
        <w:t xml:space="preserve">здійснюватиметься у формі (а) </w:t>
      </w:r>
      <w:r w:rsidR="00CA3FD3" w:rsidRPr="0024327D">
        <w:rPr>
          <w:lang w:val="uk-UA"/>
        </w:rPr>
        <w:t>відступлення прав вимоги</w:t>
      </w:r>
      <w:r w:rsidR="007E017F" w:rsidRPr="0024327D">
        <w:rPr>
          <w:lang w:val="uk-UA"/>
        </w:rPr>
        <w:t xml:space="preserve">, в якому </w:t>
      </w:r>
      <w:r w:rsidR="009D210A" w:rsidRPr="0024327D">
        <w:rPr>
          <w:lang w:val="uk-UA"/>
        </w:rPr>
        <w:t xml:space="preserve">обов’язок зі сплати </w:t>
      </w:r>
      <w:r w:rsidR="007E017F" w:rsidRPr="0024327D">
        <w:rPr>
          <w:lang w:val="uk-UA"/>
        </w:rPr>
        <w:t>цін</w:t>
      </w:r>
      <w:r w:rsidR="009D210A" w:rsidRPr="0024327D">
        <w:rPr>
          <w:lang w:val="uk-UA"/>
        </w:rPr>
        <w:t xml:space="preserve">и </w:t>
      </w:r>
      <w:r w:rsidR="007E017F" w:rsidRPr="0024327D">
        <w:rPr>
          <w:lang w:val="uk-UA"/>
        </w:rPr>
        <w:t>купівлі</w:t>
      </w:r>
      <w:r w:rsidR="009D210A" w:rsidRPr="0024327D">
        <w:rPr>
          <w:lang w:val="uk-UA"/>
        </w:rPr>
        <w:t xml:space="preserve"> з боку </w:t>
      </w:r>
      <w:r w:rsidR="00775444" w:rsidRPr="0024327D">
        <w:rPr>
          <w:lang w:val="uk-UA"/>
        </w:rPr>
        <w:t>к</w:t>
      </w:r>
      <w:r w:rsidR="009D210A" w:rsidRPr="0024327D">
        <w:rPr>
          <w:lang w:val="uk-UA"/>
        </w:rPr>
        <w:t xml:space="preserve">омпанії спеціального призначення фінансується кредитом, що надається емітентом облігації з покриттям; або (б) </w:t>
      </w:r>
      <w:r w:rsidR="00775444" w:rsidRPr="0024327D">
        <w:rPr>
          <w:lang w:val="uk-UA"/>
        </w:rPr>
        <w:t xml:space="preserve">відступлення прав вимоги </w:t>
      </w:r>
      <w:r w:rsidR="005E2CE3" w:rsidRPr="0024327D">
        <w:rPr>
          <w:lang w:val="uk-UA"/>
        </w:rPr>
        <w:t xml:space="preserve">з відстроченням оплати ціни купівлі, в якому обов’язок з оплати ціни може бути замінений шляхом новації </w:t>
      </w:r>
      <w:r w:rsidR="009E71A8" w:rsidRPr="0024327D">
        <w:rPr>
          <w:lang w:val="uk-UA"/>
        </w:rPr>
        <w:t>на боргове зобов’язання на визначених умовах.</w:t>
      </w:r>
      <w:r w:rsidR="00775444" w:rsidRPr="0024327D">
        <w:rPr>
          <w:lang w:val="uk-UA"/>
        </w:rPr>
        <w:t xml:space="preserve"> Обидві форми </w:t>
      </w:r>
      <w:r w:rsidR="00DB25BE" w:rsidRPr="0024327D">
        <w:rPr>
          <w:lang w:val="uk-UA"/>
        </w:rPr>
        <w:t>передбачають різні фінансові домовленості</w:t>
      </w:r>
      <w:r w:rsidR="006C365E" w:rsidRPr="0024327D">
        <w:rPr>
          <w:lang w:val="uk-UA"/>
        </w:rPr>
        <w:t>, за якими права на активи відступають на користь компанії спеціального призначення.</w:t>
      </w:r>
    </w:p>
    <w:p w14:paraId="39F33E37" w14:textId="38AEA588" w:rsidR="009E71A8" w:rsidRPr="0024327D" w:rsidRDefault="009E71A8" w:rsidP="008E5688">
      <w:pPr>
        <w:rPr>
          <w:lang w:val="uk-UA"/>
        </w:rPr>
      </w:pPr>
      <w:r w:rsidRPr="0024327D">
        <w:rPr>
          <w:lang w:val="uk-UA"/>
        </w:rPr>
        <w:t xml:space="preserve">У будь-якому із зазначених вище сценаріїв, закон повинен </w:t>
      </w:r>
      <w:r w:rsidR="00E46B66" w:rsidRPr="0024327D">
        <w:rPr>
          <w:lang w:val="uk-UA"/>
        </w:rPr>
        <w:t>передбачати, що</w:t>
      </w:r>
      <w:r w:rsidRPr="0024327D">
        <w:rPr>
          <w:lang w:val="uk-UA"/>
        </w:rPr>
        <w:t>:</w:t>
      </w:r>
    </w:p>
    <w:p w14:paraId="360E3C96" w14:textId="27531D5A" w:rsidR="00386625" w:rsidRPr="0024327D" w:rsidRDefault="00E46B66" w:rsidP="009E71A8">
      <w:pPr>
        <w:pStyle w:val="a4"/>
        <w:numPr>
          <w:ilvl w:val="0"/>
          <w:numId w:val="2"/>
        </w:numPr>
        <w:rPr>
          <w:lang w:val="uk-UA"/>
        </w:rPr>
      </w:pPr>
      <w:r w:rsidRPr="0024327D">
        <w:rPr>
          <w:lang w:val="uk-UA"/>
        </w:rPr>
        <w:t xml:space="preserve">обов’язки </w:t>
      </w:r>
      <w:r w:rsidR="006A5FF4" w:rsidRPr="0024327D">
        <w:rPr>
          <w:lang w:val="uk-UA"/>
        </w:rPr>
        <w:t>к</w:t>
      </w:r>
      <w:r w:rsidRPr="0024327D">
        <w:rPr>
          <w:lang w:val="uk-UA"/>
        </w:rPr>
        <w:t>омпанії спеціального призначення</w:t>
      </w:r>
      <w:r w:rsidR="00CA03F0" w:rsidRPr="0024327D">
        <w:rPr>
          <w:lang w:val="uk-UA"/>
        </w:rPr>
        <w:t xml:space="preserve"> перед емітентом є субординованими по відношенню до обов’язків </w:t>
      </w:r>
      <w:r w:rsidR="00721DC9" w:rsidRPr="0024327D">
        <w:rPr>
          <w:lang w:val="uk-UA"/>
        </w:rPr>
        <w:t>к</w:t>
      </w:r>
      <w:r w:rsidR="00CA03F0" w:rsidRPr="0024327D">
        <w:rPr>
          <w:lang w:val="uk-UA"/>
        </w:rPr>
        <w:t>омпанії спеціального призначення перед власниками облігації з покриттям;</w:t>
      </w:r>
    </w:p>
    <w:p w14:paraId="2F3EAE92" w14:textId="3786D177" w:rsidR="00CA03F0" w:rsidRPr="0024327D" w:rsidRDefault="00CA03F0" w:rsidP="009E71A8">
      <w:pPr>
        <w:pStyle w:val="a4"/>
        <w:numPr>
          <w:ilvl w:val="0"/>
          <w:numId w:val="2"/>
        </w:numPr>
        <w:rPr>
          <w:lang w:val="uk-UA"/>
        </w:rPr>
      </w:pPr>
      <w:r w:rsidRPr="0024327D">
        <w:rPr>
          <w:lang w:val="uk-UA"/>
        </w:rPr>
        <w:t xml:space="preserve">обов’язки </w:t>
      </w:r>
      <w:r w:rsidR="00721DC9" w:rsidRPr="0024327D">
        <w:rPr>
          <w:lang w:val="uk-UA"/>
        </w:rPr>
        <w:t>к</w:t>
      </w:r>
      <w:r w:rsidRPr="0024327D">
        <w:rPr>
          <w:lang w:val="uk-UA"/>
        </w:rPr>
        <w:t>омпанії спеціального призначення перед емітентом припиняються</w:t>
      </w:r>
      <w:r w:rsidR="0058500E" w:rsidRPr="0024327D">
        <w:rPr>
          <w:lang w:val="uk-UA"/>
        </w:rPr>
        <w:t xml:space="preserve"> шляхом повернення активів пулу покриття (якщо облігації з покриттям були належним чином погашені емітентом) або шляхом зарахування </w:t>
      </w:r>
      <w:r w:rsidR="00135AF2" w:rsidRPr="0024327D">
        <w:rPr>
          <w:lang w:val="uk-UA"/>
        </w:rPr>
        <w:t xml:space="preserve">регресних вимог </w:t>
      </w:r>
      <w:r w:rsidR="00302581" w:rsidRPr="0024327D">
        <w:rPr>
          <w:lang w:val="uk-UA"/>
        </w:rPr>
        <w:t>к</w:t>
      </w:r>
      <w:r w:rsidR="00135AF2" w:rsidRPr="0024327D">
        <w:rPr>
          <w:lang w:val="uk-UA"/>
        </w:rPr>
        <w:t xml:space="preserve">омпанії спеціального призначення до емітента у випадку здійснення такою компанією виплат на користь власників облігацій з покриттям за порукою. </w:t>
      </w:r>
    </w:p>
    <w:p w14:paraId="6E271DE7"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35" w:name="_Toc95481003"/>
      <w:r w:rsidRPr="0024327D">
        <w:rPr>
          <w:rFonts w:eastAsiaTheme="majorEastAsia" w:cstheme="majorBidi"/>
          <w:color w:val="2E74B5" w:themeColor="accent1" w:themeShade="BF"/>
          <w:sz w:val="28"/>
          <w:szCs w:val="28"/>
          <w:lang w:val="uk-UA"/>
        </w:rPr>
        <w:lastRenderedPageBreak/>
        <w:t>Обов'язок здійснити викуп</w:t>
      </w:r>
      <w:bookmarkEnd w:id="135"/>
    </w:p>
    <w:p w14:paraId="6DB324B8" w14:textId="22EFD82D" w:rsidR="008E5688" w:rsidRPr="0024327D" w:rsidRDefault="008E5688" w:rsidP="008E5688">
      <w:pPr>
        <w:rPr>
          <w:bCs/>
          <w:lang w:val="uk-UA"/>
        </w:rPr>
      </w:pPr>
      <w:r w:rsidRPr="0024327D">
        <w:rPr>
          <w:bCs/>
          <w:lang w:val="uk-UA"/>
        </w:rPr>
        <w:t xml:space="preserve">Емітент буде зобов'язаний викупити та замінити активи в пулі </w:t>
      </w:r>
      <w:r w:rsidR="00C93CE0" w:rsidRPr="0024327D">
        <w:rPr>
          <w:bCs/>
          <w:lang w:val="uk-UA"/>
        </w:rPr>
        <w:t xml:space="preserve">покриття </w:t>
      </w:r>
      <w:r w:rsidR="007D4310" w:rsidRPr="0024327D">
        <w:rPr>
          <w:bCs/>
          <w:lang w:val="uk-UA"/>
        </w:rPr>
        <w:t>через</w:t>
      </w:r>
      <w:r w:rsidRPr="0024327D">
        <w:rPr>
          <w:bCs/>
          <w:lang w:val="uk-UA"/>
        </w:rPr>
        <w:t xml:space="preserve"> причин</w:t>
      </w:r>
      <w:r w:rsidR="007D4310" w:rsidRPr="0024327D">
        <w:rPr>
          <w:bCs/>
          <w:lang w:val="uk-UA"/>
        </w:rPr>
        <w:t>и</w:t>
      </w:r>
      <w:r w:rsidRPr="0024327D">
        <w:rPr>
          <w:bCs/>
          <w:lang w:val="uk-UA"/>
        </w:rPr>
        <w:t>, пов'язан</w:t>
      </w:r>
      <w:r w:rsidR="007D4310" w:rsidRPr="0024327D">
        <w:rPr>
          <w:bCs/>
          <w:lang w:val="uk-UA"/>
        </w:rPr>
        <w:t>і</w:t>
      </w:r>
      <w:r w:rsidRPr="0024327D">
        <w:rPr>
          <w:bCs/>
          <w:lang w:val="uk-UA"/>
        </w:rPr>
        <w:t xml:space="preserve"> з </w:t>
      </w:r>
      <w:r w:rsidR="00BF5ACE" w:rsidRPr="0024327D">
        <w:rPr>
          <w:bCs/>
          <w:lang w:val="uk-UA"/>
        </w:rPr>
        <w:t>відсутністю виплат</w:t>
      </w:r>
      <w:r w:rsidR="005E7E88" w:rsidRPr="0024327D">
        <w:rPr>
          <w:bCs/>
          <w:lang w:val="uk-UA"/>
        </w:rPr>
        <w:t xml:space="preserve"> </w:t>
      </w:r>
      <w:r w:rsidRPr="0024327D">
        <w:rPr>
          <w:bCs/>
          <w:lang w:val="uk-UA"/>
        </w:rPr>
        <w:t>(</w:t>
      </w:r>
      <w:r w:rsidR="003711FB" w:rsidRPr="0024327D">
        <w:rPr>
          <w:bCs/>
          <w:lang w:val="uk-UA"/>
        </w:rPr>
        <w:t xml:space="preserve">значне прострочення виплат </w:t>
      </w:r>
      <w:r w:rsidRPr="0024327D">
        <w:rPr>
          <w:bCs/>
          <w:lang w:val="uk-UA"/>
        </w:rPr>
        <w:t xml:space="preserve">за іпотекою), прийнятністю (відбувається зміна, що породжує порушення критеріїв прийнятності), здійсненням будь-яких законодавчо закріплених прав споживачів, які можуть не відповідати очікуваній роботі пулу </w:t>
      </w:r>
      <w:r w:rsidR="00C93CE0" w:rsidRPr="0024327D">
        <w:rPr>
          <w:bCs/>
          <w:lang w:val="uk-UA"/>
        </w:rPr>
        <w:t xml:space="preserve">покриття </w:t>
      </w:r>
      <w:r w:rsidRPr="0024327D">
        <w:rPr>
          <w:bCs/>
          <w:lang w:val="uk-UA"/>
        </w:rPr>
        <w:t xml:space="preserve">(наприклад, якщо клієнт бажає внести зміни до договору) або </w:t>
      </w:r>
      <w:r w:rsidR="007D4310" w:rsidRPr="0024327D">
        <w:rPr>
          <w:bCs/>
          <w:lang w:val="uk-UA"/>
        </w:rPr>
        <w:t>через інші</w:t>
      </w:r>
      <w:r w:rsidRPr="0024327D">
        <w:rPr>
          <w:bCs/>
          <w:lang w:val="uk-UA"/>
        </w:rPr>
        <w:t xml:space="preserve"> причини.</w:t>
      </w:r>
    </w:p>
    <w:p w14:paraId="0C94A626" w14:textId="6644E879" w:rsidR="008E5688" w:rsidRPr="0024327D" w:rsidRDefault="008E5688" w:rsidP="008E5688">
      <w:pPr>
        <w:rPr>
          <w:lang w:val="uk-UA"/>
        </w:rPr>
      </w:pPr>
      <w:r w:rsidRPr="0024327D">
        <w:rPr>
          <w:lang w:val="uk-UA"/>
        </w:rPr>
        <w:t xml:space="preserve">Закон повинен зобов’язати </w:t>
      </w:r>
      <w:r w:rsidR="00643B4F" w:rsidRPr="0024327D">
        <w:rPr>
          <w:lang w:val="uk-UA"/>
        </w:rPr>
        <w:t>е</w:t>
      </w:r>
      <w:r w:rsidRPr="0024327D">
        <w:rPr>
          <w:lang w:val="uk-UA"/>
        </w:rPr>
        <w:t xml:space="preserve">мітента </w:t>
      </w:r>
      <w:r w:rsidR="009F0EE2" w:rsidRPr="0024327D">
        <w:rPr>
          <w:lang w:val="uk-UA"/>
        </w:rPr>
        <w:t>здійснювати таку заміну</w:t>
      </w:r>
      <w:r w:rsidRPr="0024327D">
        <w:rPr>
          <w:lang w:val="uk-UA"/>
        </w:rPr>
        <w:t>, а також гарантувати, щоб спосіб передачі активів компанії спеціального призначення</w:t>
      </w:r>
      <w:r w:rsidR="00A67CC5" w:rsidRPr="0024327D">
        <w:rPr>
          <w:lang w:val="uk-UA"/>
        </w:rPr>
        <w:t xml:space="preserve"> це дозволяв</w:t>
      </w:r>
      <w:r w:rsidRPr="0024327D">
        <w:rPr>
          <w:lang w:val="uk-UA"/>
        </w:rPr>
        <w:t xml:space="preserve">. </w:t>
      </w:r>
    </w:p>
    <w:p w14:paraId="3DB6CAA9"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36" w:name="_Toc95481004"/>
      <w:r w:rsidRPr="0024327D">
        <w:rPr>
          <w:rFonts w:eastAsiaTheme="majorEastAsia" w:cstheme="majorBidi"/>
          <w:color w:val="2E74B5" w:themeColor="accent1" w:themeShade="BF"/>
          <w:sz w:val="28"/>
          <w:szCs w:val="28"/>
          <w:lang w:val="uk-UA"/>
        </w:rPr>
        <w:t>Захист інвестора</w:t>
      </w:r>
      <w:bookmarkEnd w:id="136"/>
      <w:r w:rsidRPr="0024327D">
        <w:rPr>
          <w:rFonts w:eastAsiaTheme="majorEastAsia" w:cstheme="majorBidi"/>
          <w:color w:val="2E74B5" w:themeColor="accent1" w:themeShade="BF"/>
          <w:sz w:val="28"/>
          <w:szCs w:val="28"/>
          <w:lang w:val="uk-UA"/>
        </w:rPr>
        <w:t xml:space="preserve"> </w:t>
      </w:r>
    </w:p>
    <w:p w14:paraId="28897A7B" w14:textId="537EDDCB" w:rsidR="008E5688" w:rsidRPr="0024327D" w:rsidRDefault="008E5688" w:rsidP="008E5688">
      <w:pPr>
        <w:rPr>
          <w:lang w:val="uk-UA"/>
        </w:rPr>
      </w:pPr>
      <w:r w:rsidRPr="0024327D">
        <w:rPr>
          <w:lang w:val="uk-UA"/>
        </w:rPr>
        <w:t xml:space="preserve">Багато особливостей необхідно буде включити до закону та/або підзаконних актів, щоб захистити інтереси власників </w:t>
      </w:r>
      <w:r w:rsidR="00645A85" w:rsidRPr="0024327D">
        <w:rPr>
          <w:lang w:val="uk-UA"/>
        </w:rPr>
        <w:t>облігацій з покриттям</w:t>
      </w:r>
      <w:r w:rsidRPr="0024327D">
        <w:rPr>
          <w:lang w:val="uk-UA"/>
        </w:rPr>
        <w:t xml:space="preserve">. Основним джерелом захисту від кредитних втрат </w:t>
      </w:r>
      <w:r w:rsidR="0021033A" w:rsidRPr="0024327D">
        <w:rPr>
          <w:lang w:val="uk-UA"/>
        </w:rPr>
        <w:t xml:space="preserve">за </w:t>
      </w:r>
      <w:r w:rsidRPr="0024327D">
        <w:rPr>
          <w:lang w:val="uk-UA"/>
        </w:rPr>
        <w:t>актив</w:t>
      </w:r>
      <w:r w:rsidR="0021033A" w:rsidRPr="0024327D">
        <w:rPr>
          <w:lang w:val="uk-UA"/>
        </w:rPr>
        <w:t>ами, що включені до забезпечення,</w:t>
      </w:r>
      <w:r w:rsidRPr="0024327D">
        <w:rPr>
          <w:lang w:val="uk-UA"/>
        </w:rPr>
        <w:t xml:space="preserve"> є </w:t>
      </w:r>
      <w:r w:rsidR="002432B2" w:rsidRPr="0024327D">
        <w:rPr>
          <w:lang w:val="uk-UA"/>
        </w:rPr>
        <w:t xml:space="preserve">надлишкове </w:t>
      </w:r>
      <w:r w:rsidRPr="0024327D">
        <w:rPr>
          <w:lang w:val="uk-UA"/>
        </w:rPr>
        <w:t>забезпечення, тобто включення активів до пулу, які перевищують загальну вартість облігацій та інших зобов'язань</w:t>
      </w:r>
      <w:r w:rsidR="002432B2" w:rsidRPr="0024327D">
        <w:rPr>
          <w:lang w:val="uk-UA"/>
        </w:rPr>
        <w:t>, забезпечених</w:t>
      </w:r>
      <w:r w:rsidRPr="0024327D">
        <w:rPr>
          <w:lang w:val="uk-UA"/>
        </w:rPr>
        <w:t xml:space="preserve"> пул</w:t>
      </w:r>
      <w:r w:rsidR="002432B2" w:rsidRPr="0024327D">
        <w:rPr>
          <w:lang w:val="uk-UA"/>
        </w:rPr>
        <w:t>ом</w:t>
      </w:r>
      <w:r w:rsidRPr="0024327D">
        <w:rPr>
          <w:lang w:val="uk-UA"/>
        </w:rPr>
        <w:t>.</w:t>
      </w:r>
    </w:p>
    <w:p w14:paraId="3D2C864B" w14:textId="6827F4FF" w:rsidR="008E5688" w:rsidRPr="0024327D" w:rsidRDefault="002432B2" w:rsidP="008E5688">
      <w:pPr>
        <w:rPr>
          <w:lang w:val="uk-UA"/>
        </w:rPr>
      </w:pPr>
      <w:r w:rsidRPr="0024327D">
        <w:rPr>
          <w:lang w:val="uk-UA"/>
        </w:rPr>
        <w:t xml:space="preserve">Надлишкове </w:t>
      </w:r>
      <w:r w:rsidR="008E5688" w:rsidRPr="0024327D">
        <w:rPr>
          <w:lang w:val="uk-UA"/>
        </w:rPr>
        <w:t xml:space="preserve">забезпечення може бути розраховане на підставі чистої приведеної вартості активів та зобов’язань, номінальної вартості або обох показників (або, у невеликій кількості країн, з використанням іншого методу, такого як </w:t>
      </w:r>
      <w:r w:rsidR="00E53469" w:rsidRPr="0024327D">
        <w:rPr>
          <w:lang w:val="uk-UA"/>
        </w:rPr>
        <w:t>“розумна ринкова вартість”</w:t>
      </w:r>
      <w:r w:rsidR="008E5688" w:rsidRPr="0024327D">
        <w:rPr>
          <w:lang w:val="uk-UA"/>
        </w:rPr>
        <w:t xml:space="preserve">). </w:t>
      </w:r>
    </w:p>
    <w:p w14:paraId="7028BB44" w14:textId="77777777" w:rsidR="008E5688" w:rsidRPr="0024327D" w:rsidRDefault="008E5688" w:rsidP="008E5688">
      <w:pPr>
        <w:keepNext/>
        <w:keepLines/>
        <w:rPr>
          <w:lang w:val="uk-UA"/>
        </w:rPr>
      </w:pPr>
      <w:r w:rsidRPr="0024327D">
        <w:rPr>
          <w:lang w:val="uk-UA"/>
        </w:rPr>
        <w:t xml:space="preserve">Як правило: </w:t>
      </w:r>
    </w:p>
    <w:p w14:paraId="65A51F9B" w14:textId="5BF44F9E" w:rsidR="008E5688" w:rsidRPr="0024327D" w:rsidRDefault="008E5688" w:rsidP="008E5688">
      <w:pPr>
        <w:numPr>
          <w:ilvl w:val="0"/>
          <w:numId w:val="2"/>
        </w:numPr>
        <w:contextualSpacing/>
        <w:rPr>
          <w:lang w:val="uk-UA"/>
        </w:rPr>
      </w:pPr>
      <w:r w:rsidRPr="0024327D">
        <w:rPr>
          <w:lang w:val="uk-UA"/>
        </w:rPr>
        <w:t xml:space="preserve">Абсолютний мінімальний рівень </w:t>
      </w:r>
      <w:r w:rsidR="005574F0" w:rsidRPr="0024327D">
        <w:rPr>
          <w:lang w:val="uk-UA"/>
        </w:rPr>
        <w:t xml:space="preserve">надлишкового </w:t>
      </w:r>
      <w:r w:rsidRPr="0024327D">
        <w:rPr>
          <w:lang w:val="uk-UA"/>
        </w:rPr>
        <w:t>забезпечення визначено у законі</w:t>
      </w:r>
      <w:r w:rsidRPr="0024327D">
        <w:rPr>
          <w:vertAlign w:val="superscript"/>
          <w:lang w:val="uk-UA"/>
        </w:rPr>
        <w:footnoteReference w:id="39"/>
      </w:r>
      <w:r w:rsidRPr="0024327D">
        <w:rPr>
          <w:lang w:val="uk-UA"/>
        </w:rPr>
        <w:t>, зазвичай він становить 5%</w:t>
      </w:r>
      <w:r w:rsidR="00BE41C8" w:rsidRPr="0024327D">
        <w:rPr>
          <w:lang w:val="uk-UA"/>
        </w:rPr>
        <w:t xml:space="preserve">, але </w:t>
      </w:r>
      <w:r w:rsidR="00AC25E8" w:rsidRPr="0024327D">
        <w:rPr>
          <w:lang w:val="uk-UA"/>
        </w:rPr>
        <w:t>у випадку</w:t>
      </w:r>
      <w:r w:rsidR="00BE41C8" w:rsidRPr="0024327D">
        <w:rPr>
          <w:lang w:val="uk-UA"/>
        </w:rPr>
        <w:t xml:space="preserve"> України може знадобитися вищий мінімальний рівень, наприклад, 10%</w:t>
      </w:r>
      <w:r w:rsidR="00E762C9" w:rsidRPr="0024327D">
        <w:rPr>
          <w:lang w:val="uk-UA"/>
        </w:rPr>
        <w:t>.</w:t>
      </w:r>
    </w:p>
    <w:p w14:paraId="0ABA598D" w14:textId="65816838" w:rsidR="008E5688" w:rsidRPr="0024327D" w:rsidRDefault="008E5688" w:rsidP="008E5688">
      <w:pPr>
        <w:numPr>
          <w:ilvl w:val="0"/>
          <w:numId w:val="2"/>
        </w:numPr>
        <w:contextualSpacing/>
        <w:rPr>
          <w:lang w:val="uk-UA"/>
        </w:rPr>
      </w:pPr>
      <w:r w:rsidRPr="0024327D">
        <w:rPr>
          <w:lang w:val="uk-UA"/>
        </w:rPr>
        <w:t xml:space="preserve">Орган нагляду </w:t>
      </w:r>
      <w:r w:rsidR="00F119E7" w:rsidRPr="0024327D">
        <w:rPr>
          <w:lang w:val="uk-UA"/>
        </w:rPr>
        <w:t>(такий як НКЦПФР</w:t>
      </w:r>
      <w:r w:rsidR="00C332F8" w:rsidRPr="0024327D">
        <w:rPr>
          <w:lang w:val="uk-UA"/>
        </w:rPr>
        <w:t xml:space="preserve"> або НБУ в Україні) </w:t>
      </w:r>
      <w:r w:rsidRPr="0024327D">
        <w:rPr>
          <w:lang w:val="uk-UA"/>
        </w:rPr>
        <w:t xml:space="preserve">наділений повноваженнями встановлювати вищий рівень </w:t>
      </w:r>
      <w:r w:rsidR="005574F0" w:rsidRPr="0024327D">
        <w:rPr>
          <w:lang w:val="uk-UA"/>
        </w:rPr>
        <w:t xml:space="preserve">надлишкового </w:t>
      </w:r>
      <w:r w:rsidRPr="0024327D">
        <w:rPr>
          <w:lang w:val="uk-UA"/>
        </w:rPr>
        <w:t xml:space="preserve">забезпечення в кожному конкретному випадку. Він обчислюється з урахуванням активів у пулі, особливостей програми </w:t>
      </w:r>
      <w:r w:rsidR="00645A85" w:rsidRPr="0024327D">
        <w:rPr>
          <w:lang w:val="uk-UA"/>
        </w:rPr>
        <w:t>облігацій з покриттям</w:t>
      </w:r>
      <w:r w:rsidRPr="0024327D">
        <w:rPr>
          <w:lang w:val="uk-UA"/>
        </w:rPr>
        <w:t xml:space="preserve"> та кредитоспроможності </w:t>
      </w:r>
      <w:r w:rsidR="00643B4F" w:rsidRPr="0024327D">
        <w:rPr>
          <w:lang w:val="uk-UA"/>
        </w:rPr>
        <w:t>е</w:t>
      </w:r>
      <w:r w:rsidRPr="0024327D">
        <w:rPr>
          <w:lang w:val="uk-UA"/>
        </w:rPr>
        <w:t xml:space="preserve">мітента. Він може бути встановлений після використання </w:t>
      </w:r>
      <w:r w:rsidR="00E53469" w:rsidRPr="0024327D">
        <w:rPr>
          <w:lang w:val="uk-UA"/>
        </w:rPr>
        <w:t>“стрес-тестів”</w:t>
      </w:r>
      <w:r w:rsidRPr="0024327D">
        <w:rPr>
          <w:lang w:val="uk-UA"/>
        </w:rPr>
        <w:t xml:space="preserve"> - серії несприятливих припущень щодо економічних та кредитних умов. Ці стрес-тести, у свою чергу, можуть бути визначені законодавством або нормативними актами або можуть бути встановлені органом нагляду з урахуванням поточних умов.</w:t>
      </w:r>
    </w:p>
    <w:p w14:paraId="2A0A1A57" w14:textId="7E5F16EA" w:rsidR="008E5688" w:rsidRPr="0024327D" w:rsidRDefault="008E5688" w:rsidP="007746D4">
      <w:pPr>
        <w:numPr>
          <w:ilvl w:val="0"/>
          <w:numId w:val="2"/>
        </w:numPr>
        <w:contextualSpacing/>
        <w:rPr>
          <w:lang w:val="uk-UA"/>
        </w:rPr>
      </w:pPr>
      <w:r w:rsidRPr="0024327D">
        <w:rPr>
          <w:lang w:val="uk-UA"/>
        </w:rPr>
        <w:t xml:space="preserve">Емітенти </w:t>
      </w:r>
      <w:r w:rsidR="002B6359" w:rsidRPr="0024327D">
        <w:rPr>
          <w:lang w:val="uk-UA"/>
        </w:rPr>
        <w:t xml:space="preserve">у </w:t>
      </w:r>
      <w:r w:rsidR="00D063B4" w:rsidRPr="0024327D">
        <w:rPr>
          <w:lang w:val="uk-UA"/>
        </w:rPr>
        <w:t>договірному порядку (</w:t>
      </w:r>
      <w:r w:rsidR="007746D4" w:rsidRPr="0024327D">
        <w:rPr>
          <w:lang w:val="uk-UA"/>
        </w:rPr>
        <w:t>у проспекті (рішенні про емісію)</w:t>
      </w:r>
      <w:r w:rsidR="00D063B4" w:rsidRPr="0024327D">
        <w:rPr>
          <w:lang w:val="uk-UA"/>
        </w:rPr>
        <w:t xml:space="preserve">) </w:t>
      </w:r>
      <w:r w:rsidRPr="0024327D">
        <w:rPr>
          <w:lang w:val="uk-UA"/>
        </w:rPr>
        <w:t xml:space="preserve">зобов’язуються підтримувати вищий рівень </w:t>
      </w:r>
      <w:r w:rsidR="002B6359" w:rsidRPr="0024327D">
        <w:rPr>
          <w:lang w:val="uk-UA"/>
        </w:rPr>
        <w:t xml:space="preserve">надлишкового </w:t>
      </w:r>
      <w:r w:rsidRPr="0024327D">
        <w:rPr>
          <w:lang w:val="uk-UA"/>
        </w:rPr>
        <w:t>забезпечення, щоб забезпечити найвищий можливий кредитний рейтинг.</w:t>
      </w:r>
    </w:p>
    <w:p w14:paraId="60A14436" w14:textId="043059B4" w:rsidR="008E5688" w:rsidRPr="0024327D" w:rsidRDefault="008E5688" w:rsidP="008E5688">
      <w:pPr>
        <w:rPr>
          <w:lang w:val="uk-UA"/>
        </w:rPr>
      </w:pPr>
      <w:r w:rsidRPr="0024327D">
        <w:rPr>
          <w:lang w:val="uk-UA"/>
        </w:rPr>
        <w:t xml:space="preserve">На додаток до </w:t>
      </w:r>
      <w:r w:rsidR="002B6359" w:rsidRPr="0024327D">
        <w:rPr>
          <w:lang w:val="uk-UA"/>
        </w:rPr>
        <w:t xml:space="preserve">надлишкового </w:t>
      </w:r>
      <w:r w:rsidRPr="0024327D">
        <w:rPr>
          <w:lang w:val="uk-UA"/>
        </w:rPr>
        <w:t>забезпечення, необхідно запровадити правила, щоб гарантувати, що пул має достатню ліквідність для виконання зобов'язань при настанні строку їх погашення.</w:t>
      </w:r>
      <w:r w:rsidRPr="0024327D">
        <w:rPr>
          <w:vertAlign w:val="superscript"/>
          <w:lang w:val="uk-UA"/>
        </w:rPr>
        <w:t xml:space="preserve"> </w:t>
      </w:r>
      <w:r w:rsidRPr="0024327D">
        <w:rPr>
          <w:vertAlign w:val="superscript"/>
          <w:lang w:val="uk-UA"/>
        </w:rPr>
        <w:footnoteReference w:id="40"/>
      </w:r>
      <w:r w:rsidRPr="0024327D">
        <w:rPr>
          <w:lang w:val="uk-UA"/>
        </w:rPr>
        <w:t xml:space="preserve"> Це аналогічно правилам щодо коефіцієнта загальної ліквідності для банків. Однак існує безліч способів </w:t>
      </w:r>
      <w:r w:rsidR="00D3229A" w:rsidRPr="0024327D">
        <w:rPr>
          <w:lang w:val="uk-UA"/>
        </w:rPr>
        <w:t xml:space="preserve">її </w:t>
      </w:r>
      <w:r w:rsidRPr="0024327D">
        <w:rPr>
          <w:lang w:val="uk-UA"/>
        </w:rPr>
        <w:t>обчислення, виходячи, серед іншого, з характеру активів</w:t>
      </w:r>
      <w:r w:rsidR="0021033A" w:rsidRPr="0024327D">
        <w:rPr>
          <w:lang w:val="uk-UA"/>
        </w:rPr>
        <w:t>, що включені до складу забезпечення</w:t>
      </w:r>
      <w:r w:rsidRPr="0024327D">
        <w:rPr>
          <w:lang w:val="uk-UA"/>
        </w:rPr>
        <w:t>.</w:t>
      </w:r>
    </w:p>
    <w:p w14:paraId="25C2A5D5" w14:textId="20FF1B4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37" w:name="_Toc95481005"/>
      <w:r w:rsidRPr="0024327D">
        <w:rPr>
          <w:rFonts w:eastAsiaTheme="majorEastAsia" w:cstheme="majorBidi"/>
          <w:color w:val="2E74B5" w:themeColor="accent1" w:themeShade="BF"/>
          <w:sz w:val="28"/>
          <w:szCs w:val="28"/>
          <w:lang w:val="uk-UA"/>
        </w:rPr>
        <w:t xml:space="preserve">Наслідки відокремлення </w:t>
      </w:r>
      <w:r w:rsidR="00643B4F" w:rsidRPr="0024327D">
        <w:rPr>
          <w:rFonts w:eastAsiaTheme="majorEastAsia" w:cstheme="majorBidi"/>
          <w:color w:val="2E74B5" w:themeColor="accent1" w:themeShade="BF"/>
          <w:sz w:val="28"/>
          <w:szCs w:val="28"/>
          <w:lang w:val="uk-UA"/>
        </w:rPr>
        <w:t>е</w:t>
      </w:r>
      <w:r w:rsidRPr="0024327D">
        <w:rPr>
          <w:rFonts w:eastAsiaTheme="majorEastAsia" w:cstheme="majorBidi"/>
          <w:color w:val="2E74B5" w:themeColor="accent1" w:themeShade="BF"/>
          <w:sz w:val="28"/>
          <w:szCs w:val="28"/>
          <w:lang w:val="uk-UA"/>
        </w:rPr>
        <w:t>мітента облігацій та власника активів</w:t>
      </w:r>
      <w:bookmarkEnd w:id="137"/>
    </w:p>
    <w:p w14:paraId="3760AA88" w14:textId="7B776F89" w:rsidR="008E5688" w:rsidRPr="0024327D" w:rsidRDefault="008E5688" w:rsidP="008E5688">
      <w:pPr>
        <w:rPr>
          <w:lang w:val="uk-UA"/>
        </w:rPr>
      </w:pPr>
      <w:r w:rsidRPr="0024327D">
        <w:rPr>
          <w:lang w:val="uk-UA"/>
        </w:rPr>
        <w:t xml:space="preserve">Оскільки </w:t>
      </w:r>
      <w:r w:rsidR="00643B4F" w:rsidRPr="0024327D">
        <w:rPr>
          <w:lang w:val="uk-UA"/>
        </w:rPr>
        <w:t>е</w:t>
      </w:r>
      <w:r w:rsidRPr="0024327D">
        <w:rPr>
          <w:lang w:val="uk-UA"/>
        </w:rPr>
        <w:t xml:space="preserve">мітент облігацій та власник активів є окремими юридичними особами до настання неплатоспроможності, закони, підзаконні акти та умови договорів повинні відповідати вказаній нижче структурі неплатоспроможності. </w:t>
      </w:r>
    </w:p>
    <w:p w14:paraId="127AE832" w14:textId="2FFEDB46" w:rsidR="008E5688" w:rsidRPr="0024327D" w:rsidRDefault="008E5688" w:rsidP="008E5688">
      <w:pPr>
        <w:rPr>
          <w:bCs/>
          <w:lang w:val="uk-UA"/>
        </w:rPr>
      </w:pPr>
      <w:r w:rsidRPr="0024327D">
        <w:rPr>
          <w:bCs/>
          <w:lang w:val="uk-UA"/>
        </w:rPr>
        <w:lastRenderedPageBreak/>
        <w:t xml:space="preserve">Облігації є зобов'язаннями </w:t>
      </w:r>
      <w:r w:rsidR="00643B4F" w:rsidRPr="0024327D">
        <w:rPr>
          <w:bCs/>
          <w:lang w:val="uk-UA"/>
        </w:rPr>
        <w:t>е</w:t>
      </w:r>
      <w:r w:rsidRPr="0024327D">
        <w:rPr>
          <w:bCs/>
          <w:lang w:val="uk-UA"/>
        </w:rPr>
        <w:t xml:space="preserve">мітента з правом </w:t>
      </w:r>
      <w:r w:rsidR="00744D25" w:rsidRPr="0024327D">
        <w:rPr>
          <w:bCs/>
          <w:lang w:val="uk-UA"/>
        </w:rPr>
        <w:t xml:space="preserve">вимоги </w:t>
      </w:r>
      <w:r w:rsidR="007550C3" w:rsidRPr="0024327D">
        <w:rPr>
          <w:bCs/>
          <w:lang w:val="uk-UA"/>
        </w:rPr>
        <w:t>до нього</w:t>
      </w:r>
      <w:r w:rsidRPr="0024327D">
        <w:rPr>
          <w:bCs/>
          <w:lang w:val="uk-UA"/>
        </w:rPr>
        <w:t xml:space="preserve"> та </w:t>
      </w:r>
      <w:r w:rsidR="007550C3" w:rsidRPr="0024327D">
        <w:rPr>
          <w:bCs/>
          <w:lang w:val="uk-UA"/>
        </w:rPr>
        <w:t xml:space="preserve">забезпечені </w:t>
      </w:r>
      <w:r w:rsidRPr="0024327D">
        <w:rPr>
          <w:bCs/>
          <w:lang w:val="uk-UA"/>
        </w:rPr>
        <w:t>гаранті</w:t>
      </w:r>
      <w:r w:rsidR="007550C3" w:rsidRPr="0024327D">
        <w:rPr>
          <w:bCs/>
          <w:lang w:val="uk-UA"/>
        </w:rPr>
        <w:t>єю</w:t>
      </w:r>
      <w:r w:rsidRPr="0024327D">
        <w:rPr>
          <w:bCs/>
          <w:lang w:val="uk-UA"/>
        </w:rPr>
        <w:t xml:space="preserve"> від компанії спеціального призначення. </w:t>
      </w:r>
    </w:p>
    <w:p w14:paraId="102A6FE7" w14:textId="03ECB52B" w:rsidR="008E5688" w:rsidRPr="0024327D" w:rsidRDefault="008E5688" w:rsidP="008E5688">
      <w:pPr>
        <w:rPr>
          <w:lang w:val="uk-UA"/>
        </w:rPr>
      </w:pPr>
      <w:r w:rsidRPr="0024327D">
        <w:rPr>
          <w:lang w:val="uk-UA"/>
        </w:rPr>
        <w:t xml:space="preserve">У разі невиконання зобов’язань </w:t>
      </w:r>
      <w:r w:rsidR="00643B4F" w:rsidRPr="0024327D">
        <w:rPr>
          <w:lang w:val="uk-UA"/>
        </w:rPr>
        <w:t>е</w:t>
      </w:r>
      <w:r w:rsidRPr="0024327D">
        <w:rPr>
          <w:lang w:val="uk-UA"/>
        </w:rPr>
        <w:t xml:space="preserve">мітента за облігаціями - наприклад, </w:t>
      </w:r>
      <w:r w:rsidR="000A408B" w:rsidRPr="0024327D">
        <w:rPr>
          <w:lang w:val="uk-UA"/>
        </w:rPr>
        <w:t xml:space="preserve">щодо </w:t>
      </w:r>
      <w:r w:rsidRPr="0024327D">
        <w:rPr>
          <w:lang w:val="uk-UA"/>
        </w:rPr>
        <w:t>здійснення купонного платежу - гарантія активується, і компанія спеціального призначення зобов’язана здійснити платежі за облігаціями відповідно до початкового графіка</w:t>
      </w:r>
      <w:r w:rsidR="00D90EBD" w:rsidRPr="0024327D">
        <w:rPr>
          <w:lang w:val="uk-UA"/>
        </w:rPr>
        <w:t xml:space="preserve"> виплати відсоткових доходів та</w:t>
      </w:r>
      <w:r w:rsidR="00D90EBD" w:rsidRPr="0024327D">
        <w:rPr>
          <w:color w:val="333333"/>
          <w:shd w:val="clear" w:color="auto" w:fill="FFFFFF"/>
          <w:lang w:val="uk-UA"/>
        </w:rPr>
        <w:t xml:space="preserve"> номінальної вартості таких облігацій</w:t>
      </w:r>
      <w:r w:rsidRPr="0024327D">
        <w:rPr>
          <w:lang w:val="uk-UA"/>
        </w:rPr>
        <w:t xml:space="preserve">. На цей час компанія спеціального призначення </w:t>
      </w:r>
      <w:r w:rsidR="00E3009A" w:rsidRPr="0024327D">
        <w:rPr>
          <w:lang w:val="uk-UA"/>
        </w:rPr>
        <w:t xml:space="preserve">заявляє вимогу про </w:t>
      </w:r>
      <w:r w:rsidRPr="0024327D">
        <w:rPr>
          <w:lang w:val="uk-UA"/>
        </w:rPr>
        <w:t>відшкодування суми, що дорівнює розміру основної суми та майбутніх виплат відсотків</w:t>
      </w:r>
      <w:r w:rsidR="00162A95" w:rsidRPr="0024327D">
        <w:rPr>
          <w:lang w:val="uk-UA"/>
        </w:rPr>
        <w:t xml:space="preserve">, </w:t>
      </w:r>
      <w:r w:rsidR="00E3009A" w:rsidRPr="0024327D">
        <w:rPr>
          <w:lang w:val="uk-UA"/>
        </w:rPr>
        <w:t xml:space="preserve">за рахунок ліквідаційної маси </w:t>
      </w:r>
      <w:r w:rsidR="00643B4F" w:rsidRPr="0024327D">
        <w:rPr>
          <w:lang w:val="uk-UA"/>
        </w:rPr>
        <w:t>е</w:t>
      </w:r>
      <w:r w:rsidR="00E3009A" w:rsidRPr="0024327D">
        <w:rPr>
          <w:lang w:val="uk-UA"/>
        </w:rPr>
        <w:t xml:space="preserve">мітента </w:t>
      </w:r>
      <w:r w:rsidR="00162A95" w:rsidRPr="0024327D">
        <w:rPr>
          <w:lang w:val="uk-UA"/>
        </w:rPr>
        <w:t>на підставі гарантій відшкодування</w:t>
      </w:r>
      <w:r w:rsidRPr="0024327D">
        <w:rPr>
          <w:lang w:val="uk-UA"/>
        </w:rPr>
        <w:t>. Тобто вимога</w:t>
      </w:r>
      <w:r w:rsidR="000D04D7" w:rsidRPr="0024327D">
        <w:rPr>
          <w:lang w:val="uk-UA"/>
        </w:rPr>
        <w:t>, що виникає на підставі гаранті</w:t>
      </w:r>
      <w:r w:rsidR="00E3009A" w:rsidRPr="0024327D">
        <w:rPr>
          <w:lang w:val="uk-UA"/>
        </w:rPr>
        <w:t>й</w:t>
      </w:r>
      <w:r w:rsidRPr="0024327D">
        <w:rPr>
          <w:lang w:val="uk-UA"/>
        </w:rPr>
        <w:t xml:space="preserve"> відшкодування</w:t>
      </w:r>
      <w:r w:rsidR="000D04D7" w:rsidRPr="0024327D">
        <w:rPr>
          <w:lang w:val="uk-UA"/>
        </w:rPr>
        <w:t>, підлягає достроковому виконанню</w:t>
      </w:r>
      <w:r w:rsidRPr="0024327D">
        <w:rPr>
          <w:lang w:val="uk-UA"/>
        </w:rPr>
        <w:t>, на відміну від виплат за облігаціями.</w:t>
      </w:r>
    </w:p>
    <w:p w14:paraId="4713AB10" w14:textId="2AEEF0AA" w:rsidR="008E5688" w:rsidRPr="0024327D" w:rsidRDefault="008E5688" w:rsidP="008E5688">
      <w:pPr>
        <w:rPr>
          <w:lang w:val="uk-UA"/>
        </w:rPr>
      </w:pPr>
      <w:r w:rsidRPr="0024327D">
        <w:rPr>
          <w:lang w:val="uk-UA"/>
        </w:rPr>
        <w:t xml:space="preserve">Якщо згодом сам пул </w:t>
      </w:r>
      <w:r w:rsidR="00C93CE0" w:rsidRPr="0024327D">
        <w:rPr>
          <w:lang w:val="uk-UA"/>
        </w:rPr>
        <w:t xml:space="preserve">покриття </w:t>
      </w:r>
      <w:r w:rsidRPr="0024327D">
        <w:rPr>
          <w:lang w:val="uk-UA"/>
        </w:rPr>
        <w:t>стає неплатоспроможним - оскільки кредитні збитки за активами</w:t>
      </w:r>
      <w:r w:rsidR="0021033A" w:rsidRPr="0024327D">
        <w:rPr>
          <w:lang w:val="uk-UA"/>
        </w:rPr>
        <w:t>, що включені до складу забезпечення,</w:t>
      </w:r>
      <w:r w:rsidRPr="0024327D">
        <w:rPr>
          <w:lang w:val="uk-UA"/>
        </w:rPr>
        <w:t xml:space="preserve"> зменшують </w:t>
      </w:r>
      <w:r w:rsidR="00E3009A" w:rsidRPr="0024327D">
        <w:rPr>
          <w:lang w:val="uk-UA"/>
        </w:rPr>
        <w:t xml:space="preserve">надлишкове </w:t>
      </w:r>
      <w:r w:rsidRPr="0024327D">
        <w:rPr>
          <w:lang w:val="uk-UA"/>
        </w:rPr>
        <w:t xml:space="preserve">забезпечення до нуля, тоді виплати за всіма облігаціями стають такими, що негайно підлягають сплаті. </w:t>
      </w:r>
    </w:p>
    <w:p w14:paraId="58965CDA" w14:textId="2B936C85" w:rsidR="008E5688" w:rsidRPr="0024327D" w:rsidRDefault="00377903"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38" w:name="_Toc95481006"/>
      <w:r w:rsidRPr="0024327D">
        <w:rPr>
          <w:rFonts w:eastAsiaTheme="majorEastAsia" w:cstheme="majorBidi"/>
          <w:color w:val="2E74B5" w:themeColor="accent1" w:themeShade="BF"/>
          <w:sz w:val="28"/>
          <w:szCs w:val="28"/>
          <w:lang w:val="uk-UA"/>
        </w:rPr>
        <w:t>Режим пулу</w:t>
      </w:r>
      <w:r w:rsidR="00373F95" w:rsidRPr="0024327D">
        <w:rPr>
          <w:rFonts w:eastAsiaTheme="majorEastAsia" w:cstheme="majorBidi"/>
          <w:color w:val="2E74B5" w:themeColor="accent1" w:themeShade="BF"/>
          <w:sz w:val="28"/>
          <w:szCs w:val="28"/>
          <w:lang w:val="uk-UA"/>
        </w:rPr>
        <w:t xml:space="preserve"> </w:t>
      </w:r>
      <w:r w:rsidR="001B6901" w:rsidRPr="0024327D">
        <w:rPr>
          <w:rFonts w:eastAsiaTheme="majorEastAsia" w:cstheme="majorBidi"/>
          <w:color w:val="2E74B5" w:themeColor="accent1" w:themeShade="BF"/>
          <w:sz w:val="28"/>
          <w:szCs w:val="28"/>
          <w:lang w:val="uk-UA"/>
        </w:rPr>
        <w:t xml:space="preserve">покриття </w:t>
      </w:r>
      <w:r w:rsidR="008E5688" w:rsidRPr="0024327D">
        <w:rPr>
          <w:rFonts w:eastAsiaTheme="majorEastAsia" w:cstheme="majorBidi"/>
          <w:color w:val="2E74B5" w:themeColor="accent1" w:themeShade="BF"/>
          <w:sz w:val="28"/>
          <w:szCs w:val="28"/>
          <w:lang w:val="uk-UA"/>
        </w:rPr>
        <w:t>у разі неплатоспроможності</w:t>
      </w:r>
      <w:bookmarkEnd w:id="138"/>
    </w:p>
    <w:p w14:paraId="1B750172" w14:textId="078E96E0" w:rsidR="008E5688" w:rsidRPr="0024327D" w:rsidRDefault="008E5688" w:rsidP="008E5688">
      <w:pPr>
        <w:rPr>
          <w:lang w:val="uk-UA"/>
        </w:rPr>
      </w:pPr>
      <w:r w:rsidRPr="0024327D">
        <w:rPr>
          <w:lang w:val="uk-UA"/>
        </w:rPr>
        <w:t xml:space="preserve">У разі неплатоспроможності </w:t>
      </w:r>
      <w:r w:rsidR="00643B4F" w:rsidRPr="0024327D">
        <w:rPr>
          <w:lang w:val="uk-UA"/>
        </w:rPr>
        <w:t>е</w:t>
      </w:r>
      <w:r w:rsidRPr="0024327D">
        <w:rPr>
          <w:lang w:val="uk-UA"/>
        </w:rPr>
        <w:t xml:space="preserve">мітента </w:t>
      </w:r>
      <w:bookmarkStart w:id="139" w:name="_Hlk58841908"/>
      <w:r w:rsidRPr="0024327D">
        <w:rPr>
          <w:lang w:val="uk-UA"/>
        </w:rPr>
        <w:t>компанія спеціального призначення</w:t>
      </w:r>
      <w:bookmarkEnd w:id="139"/>
      <w:r w:rsidRPr="0024327D">
        <w:rPr>
          <w:lang w:val="uk-UA"/>
        </w:rPr>
        <w:t xml:space="preserve"> має бути уповноважена за законом укладати договори у міру необхідності для забезпечення безперервного обслуговування </w:t>
      </w:r>
      <w:r w:rsidR="00645A85" w:rsidRPr="0024327D">
        <w:rPr>
          <w:lang w:val="uk-UA"/>
        </w:rPr>
        <w:t>облігацій з покриттям</w:t>
      </w:r>
      <w:r w:rsidRPr="0024327D">
        <w:rPr>
          <w:lang w:val="uk-UA"/>
        </w:rPr>
        <w:t>. Такі договори</w:t>
      </w:r>
      <w:r w:rsidR="0047304A" w:rsidRPr="0024327D">
        <w:rPr>
          <w:lang w:val="uk-UA"/>
        </w:rPr>
        <w:t xml:space="preserve"> включатимуть</w:t>
      </w:r>
      <w:r w:rsidRPr="0024327D">
        <w:rPr>
          <w:lang w:val="uk-UA"/>
        </w:rPr>
        <w:t xml:space="preserve">, наприклад, договори про фінансування </w:t>
      </w:r>
      <w:r w:rsidR="007D5F35" w:rsidRPr="0024327D">
        <w:rPr>
          <w:lang w:val="uk-UA"/>
        </w:rPr>
        <w:t>з використанням</w:t>
      </w:r>
      <w:r w:rsidRPr="0024327D">
        <w:rPr>
          <w:lang w:val="uk-UA"/>
        </w:rPr>
        <w:t xml:space="preserve"> активів (у формі</w:t>
      </w:r>
      <w:r w:rsidR="002C4B51" w:rsidRPr="0024327D">
        <w:rPr>
          <w:lang w:val="uk-UA"/>
        </w:rPr>
        <w:t xml:space="preserve"> подальшої емісії</w:t>
      </w:r>
      <w:r w:rsidRPr="0024327D">
        <w:rPr>
          <w:lang w:val="uk-UA"/>
        </w:rPr>
        <w:t xml:space="preserve"> </w:t>
      </w:r>
      <w:r w:rsidR="00645A85" w:rsidRPr="0024327D">
        <w:rPr>
          <w:lang w:val="uk-UA"/>
        </w:rPr>
        <w:t>облігацій з покриттям</w:t>
      </w:r>
      <w:r w:rsidRPr="0024327D">
        <w:rPr>
          <w:lang w:val="uk-UA"/>
        </w:rPr>
        <w:t xml:space="preserve">, сек'юритизації або </w:t>
      </w:r>
      <w:r w:rsidR="00326096" w:rsidRPr="0024327D">
        <w:rPr>
          <w:lang w:val="uk-UA"/>
        </w:rPr>
        <w:t xml:space="preserve">шляхом </w:t>
      </w:r>
      <w:r w:rsidRPr="0024327D">
        <w:rPr>
          <w:lang w:val="uk-UA"/>
        </w:rPr>
        <w:t>продажу активів або</w:t>
      </w:r>
      <w:r w:rsidR="00326096" w:rsidRPr="0024327D">
        <w:rPr>
          <w:lang w:val="uk-UA"/>
        </w:rPr>
        <w:t xml:space="preserve"> укладення</w:t>
      </w:r>
      <w:r w:rsidRPr="0024327D">
        <w:rPr>
          <w:lang w:val="uk-UA"/>
        </w:rPr>
        <w:t xml:space="preserve"> угод РЕПО)</w:t>
      </w:r>
      <w:r w:rsidR="002243CD" w:rsidRPr="0024327D">
        <w:rPr>
          <w:lang w:val="uk-UA"/>
        </w:rPr>
        <w:t>,</w:t>
      </w:r>
      <w:r w:rsidRPr="0024327D">
        <w:rPr>
          <w:lang w:val="uk-UA"/>
        </w:rPr>
        <w:t xml:space="preserve"> </w:t>
      </w:r>
      <w:r w:rsidR="002243CD" w:rsidRPr="0024327D">
        <w:rPr>
          <w:lang w:val="uk-UA"/>
        </w:rPr>
        <w:t xml:space="preserve">а також </w:t>
      </w:r>
      <w:r w:rsidR="00AB05B8" w:rsidRPr="0024327D">
        <w:rPr>
          <w:lang w:val="uk-UA"/>
        </w:rPr>
        <w:t xml:space="preserve">деривативні </w:t>
      </w:r>
      <w:r w:rsidR="00377D9F" w:rsidRPr="0024327D">
        <w:rPr>
          <w:lang w:val="uk-UA"/>
        </w:rPr>
        <w:t xml:space="preserve"> фінансові інструменти </w:t>
      </w:r>
      <w:r w:rsidRPr="0024327D">
        <w:rPr>
          <w:lang w:val="uk-UA"/>
        </w:rPr>
        <w:t xml:space="preserve">та </w:t>
      </w:r>
      <w:r w:rsidR="00AB05B8" w:rsidRPr="0024327D">
        <w:rPr>
          <w:lang w:val="uk-UA"/>
        </w:rPr>
        <w:t xml:space="preserve">договори про обслуговування </w:t>
      </w:r>
      <w:r w:rsidRPr="0024327D">
        <w:rPr>
          <w:lang w:val="uk-UA"/>
        </w:rPr>
        <w:t>активів.</w:t>
      </w:r>
    </w:p>
    <w:p w14:paraId="72C53B9E" w14:textId="180D13E3" w:rsidR="008E5688" w:rsidRPr="0024327D" w:rsidRDefault="008E5688" w:rsidP="008E5688">
      <w:pPr>
        <w:rPr>
          <w:lang w:val="uk-UA"/>
        </w:rPr>
      </w:pPr>
      <w:r w:rsidRPr="0024327D">
        <w:rPr>
          <w:lang w:val="uk-UA"/>
        </w:rPr>
        <w:t xml:space="preserve">Небанківський характер компанії спеціального призначення може вплинути на її здатність укладати такі договори, наприклад, здійснювати угоди РЕПО </w:t>
      </w:r>
      <w:r w:rsidR="00D450EA" w:rsidRPr="0024327D">
        <w:rPr>
          <w:lang w:val="uk-UA"/>
        </w:rPr>
        <w:t>щодо активів з</w:t>
      </w:r>
      <w:r w:rsidRPr="0024327D">
        <w:rPr>
          <w:lang w:val="uk-UA"/>
        </w:rPr>
        <w:t xml:space="preserve"> центральн</w:t>
      </w:r>
      <w:r w:rsidR="00D450EA" w:rsidRPr="0024327D">
        <w:rPr>
          <w:lang w:val="uk-UA"/>
        </w:rPr>
        <w:t>им</w:t>
      </w:r>
      <w:r w:rsidRPr="0024327D">
        <w:rPr>
          <w:lang w:val="uk-UA"/>
        </w:rPr>
        <w:t xml:space="preserve"> банк</w:t>
      </w:r>
      <w:r w:rsidR="00D450EA" w:rsidRPr="0024327D">
        <w:rPr>
          <w:lang w:val="uk-UA"/>
        </w:rPr>
        <w:t>ом</w:t>
      </w:r>
      <w:r w:rsidRPr="0024327D">
        <w:rPr>
          <w:lang w:val="uk-UA"/>
        </w:rPr>
        <w:t>. Це слід враховувати в процесі підготовки відповідного законодавства.</w:t>
      </w:r>
    </w:p>
    <w:p w14:paraId="138D0800" w14:textId="043EC4CE" w:rsidR="008E5688" w:rsidRPr="0024327D" w:rsidRDefault="008E5688" w:rsidP="008E5688">
      <w:pPr>
        <w:rPr>
          <w:lang w:val="uk-UA"/>
        </w:rPr>
      </w:pPr>
      <w:r w:rsidRPr="0024327D">
        <w:rPr>
          <w:lang w:val="uk-UA"/>
        </w:rPr>
        <w:t xml:space="preserve">Відповідно до законодавства може знадобитися </w:t>
      </w:r>
      <w:r w:rsidR="003074D7" w:rsidRPr="0024327D">
        <w:rPr>
          <w:lang w:val="uk-UA"/>
        </w:rPr>
        <w:t>запровадження функцій окремої особи</w:t>
      </w:r>
      <w:r w:rsidRPr="0024327D">
        <w:rPr>
          <w:lang w:val="uk-UA"/>
        </w:rPr>
        <w:t xml:space="preserve"> (традиційно - </w:t>
      </w:r>
      <w:r w:rsidR="00E53469" w:rsidRPr="0024327D">
        <w:rPr>
          <w:lang w:val="uk-UA"/>
        </w:rPr>
        <w:t>“Спеціальний адміністратор”</w:t>
      </w:r>
      <w:r w:rsidRPr="0024327D">
        <w:rPr>
          <w:lang w:val="uk-UA"/>
        </w:rPr>
        <w:t>) для управління компанією спеціального призначення у разі неплатоспроможності.</w:t>
      </w:r>
      <w:r w:rsidRPr="0024327D">
        <w:rPr>
          <w:vertAlign w:val="superscript"/>
          <w:lang w:val="uk-UA"/>
        </w:rPr>
        <w:footnoteReference w:id="41"/>
      </w:r>
      <w:r w:rsidRPr="0024327D">
        <w:rPr>
          <w:lang w:val="uk-UA"/>
        </w:rPr>
        <w:t xml:space="preserve"> </w:t>
      </w:r>
      <w:r w:rsidR="0080436B" w:rsidRPr="0024327D">
        <w:rPr>
          <w:lang w:val="uk-UA"/>
        </w:rPr>
        <w:t xml:space="preserve">Передбачена </w:t>
      </w:r>
      <w:r w:rsidR="00873AF6" w:rsidRPr="0024327D">
        <w:rPr>
          <w:lang w:val="uk-UA"/>
        </w:rPr>
        <w:t xml:space="preserve">чинним </w:t>
      </w:r>
      <w:r w:rsidR="00895118" w:rsidRPr="0024327D">
        <w:rPr>
          <w:lang w:val="uk-UA"/>
        </w:rPr>
        <w:t>Законом про іпотечні облігації роль «управителя іпотечним покриттям» може бути взята з</w:t>
      </w:r>
      <w:r w:rsidR="0067401D" w:rsidRPr="0024327D">
        <w:rPr>
          <w:lang w:val="uk-UA"/>
        </w:rPr>
        <w:t>а основу для запровадження інституту Спеціального адміністратора.</w:t>
      </w:r>
    </w:p>
    <w:p w14:paraId="2478952F" w14:textId="3C8FD824" w:rsidR="008E5688" w:rsidRPr="0024327D" w:rsidRDefault="008E5688" w:rsidP="008E5688">
      <w:pPr>
        <w:rPr>
          <w:lang w:val="uk-UA"/>
        </w:rPr>
      </w:pPr>
      <w:r w:rsidRPr="0024327D">
        <w:rPr>
          <w:lang w:val="uk-UA"/>
        </w:rPr>
        <w:t xml:space="preserve">Якщо проти </w:t>
      </w:r>
      <w:r w:rsidR="00643B4F" w:rsidRPr="0024327D">
        <w:rPr>
          <w:lang w:val="uk-UA"/>
        </w:rPr>
        <w:t>е</w:t>
      </w:r>
      <w:r w:rsidRPr="0024327D">
        <w:rPr>
          <w:lang w:val="uk-UA"/>
        </w:rPr>
        <w:t xml:space="preserve">мітента розпочато провадження у справі про банкрутство, провадження обмежується загальним майном </w:t>
      </w:r>
      <w:r w:rsidR="00643B4F" w:rsidRPr="0024327D">
        <w:rPr>
          <w:lang w:val="uk-UA"/>
        </w:rPr>
        <w:t>е</w:t>
      </w:r>
      <w:r w:rsidRPr="0024327D">
        <w:rPr>
          <w:lang w:val="uk-UA"/>
        </w:rPr>
        <w:t xml:space="preserve">мітента, а </w:t>
      </w:r>
      <w:r w:rsidR="00D4318D" w:rsidRPr="0024327D">
        <w:rPr>
          <w:lang w:val="uk-UA"/>
        </w:rPr>
        <w:t>пул покриття</w:t>
      </w:r>
      <w:r w:rsidRPr="0024327D">
        <w:rPr>
          <w:lang w:val="uk-UA"/>
        </w:rPr>
        <w:t xml:space="preserve">, заборгованість та зобов'язання, які ним покриваються, не є частиною </w:t>
      </w:r>
      <w:r w:rsidR="00CA02C6" w:rsidRPr="0024327D">
        <w:rPr>
          <w:lang w:val="uk-UA"/>
        </w:rPr>
        <w:t xml:space="preserve">ліквідаційної </w:t>
      </w:r>
      <w:r w:rsidRPr="0024327D">
        <w:rPr>
          <w:lang w:val="uk-UA"/>
        </w:rPr>
        <w:t xml:space="preserve">маси </w:t>
      </w:r>
      <w:r w:rsidR="00643B4F" w:rsidRPr="0024327D">
        <w:rPr>
          <w:lang w:val="uk-UA"/>
        </w:rPr>
        <w:t>е</w:t>
      </w:r>
      <w:r w:rsidRPr="0024327D">
        <w:rPr>
          <w:lang w:val="uk-UA"/>
        </w:rPr>
        <w:t>мітента.</w:t>
      </w:r>
      <w:r w:rsidRPr="0024327D">
        <w:rPr>
          <w:vertAlign w:val="superscript"/>
          <w:lang w:val="uk-UA"/>
        </w:rPr>
        <w:footnoteReference w:id="42"/>
      </w:r>
    </w:p>
    <w:p w14:paraId="40FFF3DB" w14:textId="7563A648" w:rsidR="008E5688" w:rsidRPr="0024327D" w:rsidRDefault="008E5688" w:rsidP="008E5688">
      <w:pPr>
        <w:rPr>
          <w:lang w:val="uk-UA"/>
        </w:rPr>
      </w:pPr>
      <w:r w:rsidRPr="0024327D">
        <w:rPr>
          <w:lang w:val="uk-UA"/>
        </w:rPr>
        <w:t>Окрім того, провадження у справі не призводить до того, що зобов'язання та заборгованість</w:t>
      </w:r>
      <w:r w:rsidR="00603814" w:rsidRPr="0024327D">
        <w:rPr>
          <w:lang w:val="uk-UA"/>
        </w:rPr>
        <w:t>,</w:t>
      </w:r>
      <w:r w:rsidRPr="0024327D">
        <w:rPr>
          <w:lang w:val="uk-UA"/>
        </w:rPr>
        <w:t xml:space="preserve"> </w:t>
      </w:r>
      <w:r w:rsidR="00603814" w:rsidRPr="0024327D">
        <w:rPr>
          <w:lang w:val="uk-UA"/>
        </w:rPr>
        <w:t xml:space="preserve">пов’язані зі </w:t>
      </w:r>
      <w:r w:rsidR="00C8400A" w:rsidRPr="0024327D">
        <w:rPr>
          <w:lang w:val="uk-UA"/>
        </w:rPr>
        <w:t>пулом покриття</w:t>
      </w:r>
      <w:r w:rsidRPr="0024327D">
        <w:rPr>
          <w:lang w:val="uk-UA"/>
        </w:rPr>
        <w:t>, стають такими, що підлягають сплаті.</w:t>
      </w:r>
      <w:r w:rsidRPr="0024327D">
        <w:rPr>
          <w:vertAlign w:val="superscript"/>
          <w:lang w:val="uk-UA"/>
        </w:rPr>
        <w:footnoteReference w:id="43"/>
      </w:r>
    </w:p>
    <w:p w14:paraId="363AF2D9" w14:textId="2C5F3CDD"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40" w:name="_Toc95481007"/>
      <w:r w:rsidRPr="0024327D">
        <w:rPr>
          <w:rFonts w:eastAsiaTheme="majorEastAsia" w:cstheme="majorBidi"/>
          <w:color w:val="2E74B5" w:themeColor="accent1" w:themeShade="BF"/>
          <w:sz w:val="28"/>
          <w:szCs w:val="28"/>
          <w:lang w:val="uk-UA"/>
        </w:rPr>
        <w:lastRenderedPageBreak/>
        <w:t xml:space="preserve">Режим </w:t>
      </w:r>
      <w:r w:rsidR="00603814" w:rsidRPr="0024327D">
        <w:rPr>
          <w:rFonts w:eastAsiaTheme="majorEastAsia" w:cstheme="majorBidi"/>
          <w:color w:val="2E74B5" w:themeColor="accent1" w:themeShade="BF"/>
          <w:sz w:val="28"/>
          <w:szCs w:val="28"/>
          <w:lang w:val="uk-UA"/>
        </w:rPr>
        <w:t>нагляду</w:t>
      </w:r>
      <w:bookmarkEnd w:id="140"/>
    </w:p>
    <w:p w14:paraId="0E8343F4" w14:textId="798FD422" w:rsidR="008E5688" w:rsidRPr="0024327D" w:rsidRDefault="008E5688" w:rsidP="008E5688">
      <w:pPr>
        <w:rPr>
          <w:lang w:val="uk-UA"/>
        </w:rPr>
      </w:pPr>
      <w:r w:rsidRPr="0024327D">
        <w:rPr>
          <w:lang w:val="uk-UA"/>
        </w:rPr>
        <w:t xml:space="preserve">Поточний контроль за програмами </w:t>
      </w:r>
      <w:r w:rsidR="00645A85" w:rsidRPr="0024327D">
        <w:rPr>
          <w:lang w:val="uk-UA"/>
        </w:rPr>
        <w:t>облігацій з покриттям</w:t>
      </w:r>
      <w:r w:rsidRPr="0024327D">
        <w:rPr>
          <w:lang w:val="uk-UA"/>
        </w:rPr>
        <w:t xml:space="preserve"> повинен здійснюватися спільно</w:t>
      </w:r>
      <w:r w:rsidR="00C8400A" w:rsidRPr="0024327D">
        <w:rPr>
          <w:lang w:val="uk-UA"/>
        </w:rPr>
        <w:t xml:space="preserve"> </w:t>
      </w:r>
      <w:r w:rsidR="00526E22" w:rsidRPr="0024327D">
        <w:rPr>
          <w:lang w:val="uk-UA"/>
        </w:rPr>
        <w:t>НКЦПФР</w:t>
      </w:r>
      <w:r w:rsidR="003B7F38" w:rsidRPr="0024327D">
        <w:rPr>
          <w:lang w:val="uk-UA"/>
        </w:rPr>
        <w:t xml:space="preserve"> </w:t>
      </w:r>
      <w:r w:rsidR="00FB6B3F" w:rsidRPr="0024327D">
        <w:rPr>
          <w:lang w:val="uk-UA"/>
        </w:rPr>
        <w:t>та</w:t>
      </w:r>
      <w:r w:rsidR="003B7F38" w:rsidRPr="0024327D">
        <w:rPr>
          <w:lang w:val="uk-UA"/>
        </w:rPr>
        <w:t>/</w:t>
      </w:r>
      <w:r w:rsidR="005654BA" w:rsidRPr="0024327D">
        <w:rPr>
          <w:lang w:val="uk-UA"/>
        </w:rPr>
        <w:t>або НБУ</w:t>
      </w:r>
      <w:r w:rsidRPr="0024327D">
        <w:rPr>
          <w:vertAlign w:val="superscript"/>
          <w:lang w:val="uk-UA"/>
        </w:rPr>
        <w:footnoteReference w:id="44"/>
      </w:r>
      <w:r w:rsidR="005654BA" w:rsidRPr="0024327D">
        <w:rPr>
          <w:lang w:val="uk-UA"/>
        </w:rPr>
        <w:t>,</w:t>
      </w:r>
      <w:r w:rsidRPr="0024327D">
        <w:rPr>
          <w:lang w:val="uk-UA"/>
        </w:rPr>
        <w:t xml:space="preserve"> та незалежним агентом, призначеним </w:t>
      </w:r>
      <w:r w:rsidR="00643B4F" w:rsidRPr="0024327D">
        <w:rPr>
          <w:lang w:val="uk-UA"/>
        </w:rPr>
        <w:t>е</w:t>
      </w:r>
      <w:r w:rsidRPr="0024327D">
        <w:rPr>
          <w:lang w:val="uk-UA"/>
        </w:rPr>
        <w:t xml:space="preserve">мітентом (як правило, його називають </w:t>
      </w:r>
      <w:r w:rsidR="00270612" w:rsidRPr="0024327D">
        <w:rPr>
          <w:lang w:val="uk-UA"/>
        </w:rPr>
        <w:t>Контролер за</w:t>
      </w:r>
      <w:r w:rsidRPr="0024327D">
        <w:rPr>
          <w:lang w:val="uk-UA"/>
        </w:rPr>
        <w:t xml:space="preserve"> пулом </w:t>
      </w:r>
      <w:r w:rsidR="00C93CE0" w:rsidRPr="0024327D">
        <w:rPr>
          <w:lang w:val="uk-UA"/>
        </w:rPr>
        <w:t>покриття</w:t>
      </w:r>
      <w:r w:rsidRPr="0024327D">
        <w:rPr>
          <w:vertAlign w:val="superscript"/>
          <w:lang w:val="uk-UA"/>
        </w:rPr>
        <w:footnoteReference w:id="45"/>
      </w:r>
      <w:r w:rsidRPr="0024327D">
        <w:rPr>
          <w:lang w:val="uk-UA"/>
        </w:rPr>
        <w:t xml:space="preserve">). Необхідно визначити критерії для </w:t>
      </w:r>
      <w:r w:rsidR="00270612" w:rsidRPr="0024327D">
        <w:rPr>
          <w:lang w:val="uk-UA"/>
        </w:rPr>
        <w:t xml:space="preserve">Контролера </w:t>
      </w:r>
      <w:r w:rsidRPr="0024327D">
        <w:rPr>
          <w:lang w:val="uk-UA"/>
        </w:rPr>
        <w:t xml:space="preserve">за пулом </w:t>
      </w:r>
      <w:r w:rsidR="00C93CE0" w:rsidRPr="0024327D">
        <w:rPr>
          <w:lang w:val="uk-UA"/>
        </w:rPr>
        <w:t xml:space="preserve">покриття </w:t>
      </w:r>
      <w:r w:rsidRPr="0024327D">
        <w:rPr>
          <w:lang w:val="uk-UA"/>
        </w:rPr>
        <w:t>та розподілу обов’язків з контролю та нагляду.</w:t>
      </w:r>
      <w:r w:rsidRPr="0024327D">
        <w:rPr>
          <w:vertAlign w:val="superscript"/>
          <w:lang w:val="uk-UA"/>
        </w:rPr>
        <w:footnoteReference w:id="46"/>
      </w:r>
    </w:p>
    <w:p w14:paraId="5CD2A84D" w14:textId="4D8F0110" w:rsidR="008E5688" w:rsidRPr="0024327D" w:rsidRDefault="00A75005" w:rsidP="008E5688">
      <w:pPr>
        <w:keepNext/>
        <w:rPr>
          <w:lang w:val="uk-UA"/>
        </w:rPr>
      </w:pPr>
      <w:r w:rsidRPr="0024327D">
        <w:rPr>
          <w:lang w:val="uk-UA"/>
        </w:rPr>
        <w:t xml:space="preserve">Орган нагляду </w:t>
      </w:r>
      <w:r w:rsidR="008E5688" w:rsidRPr="0024327D">
        <w:rPr>
          <w:lang w:val="uk-UA"/>
        </w:rPr>
        <w:t>повин</w:t>
      </w:r>
      <w:r w:rsidR="00D0644E" w:rsidRPr="0024327D">
        <w:rPr>
          <w:lang w:val="uk-UA"/>
        </w:rPr>
        <w:t>ен</w:t>
      </w:r>
      <w:r w:rsidR="008E5688" w:rsidRPr="0024327D">
        <w:rPr>
          <w:lang w:val="uk-UA"/>
        </w:rPr>
        <w:t xml:space="preserve"> визначити характер режиму </w:t>
      </w:r>
      <w:r w:rsidR="006B07CF" w:rsidRPr="0024327D">
        <w:rPr>
          <w:lang w:val="uk-UA"/>
        </w:rPr>
        <w:t xml:space="preserve">нагляду </w:t>
      </w:r>
      <w:r w:rsidR="008E5688" w:rsidRPr="0024327D">
        <w:rPr>
          <w:lang w:val="uk-UA"/>
        </w:rPr>
        <w:t>у трьох основних напрямках:</w:t>
      </w:r>
    </w:p>
    <w:p w14:paraId="188F88D0" w14:textId="0228B0BD" w:rsidR="008E5688" w:rsidRPr="0024327D" w:rsidRDefault="008E5688" w:rsidP="008E5688">
      <w:pPr>
        <w:numPr>
          <w:ilvl w:val="0"/>
          <w:numId w:val="9"/>
        </w:numPr>
        <w:contextualSpacing/>
        <w:rPr>
          <w:lang w:val="uk-UA"/>
        </w:rPr>
      </w:pPr>
      <w:r w:rsidRPr="0024327D">
        <w:rPr>
          <w:lang w:val="uk-UA"/>
        </w:rPr>
        <w:t>дозвіл на</w:t>
      </w:r>
      <w:r w:rsidR="006B07CF" w:rsidRPr="0024327D">
        <w:rPr>
          <w:lang w:val="uk-UA"/>
        </w:rPr>
        <w:t xml:space="preserve"> </w:t>
      </w:r>
      <w:r w:rsidR="00526E22" w:rsidRPr="0024327D">
        <w:rPr>
          <w:lang w:val="uk-UA"/>
        </w:rPr>
        <w:t xml:space="preserve"> здійснення емісії </w:t>
      </w:r>
      <w:r w:rsidR="006B07CF" w:rsidRPr="0024327D">
        <w:rPr>
          <w:lang w:val="uk-UA"/>
        </w:rPr>
        <w:t>облігацій</w:t>
      </w:r>
      <w:r w:rsidRPr="0024327D">
        <w:rPr>
          <w:lang w:val="uk-UA"/>
        </w:rPr>
        <w:t xml:space="preserve">. Це передбачатиме, наприклад, чи здійснюється </w:t>
      </w:r>
      <w:r w:rsidR="00526E22" w:rsidRPr="0024327D">
        <w:rPr>
          <w:lang w:val="uk-UA"/>
        </w:rPr>
        <w:t xml:space="preserve"> погодження </w:t>
      </w:r>
      <w:r w:rsidRPr="0024327D">
        <w:rPr>
          <w:lang w:val="uk-UA"/>
        </w:rPr>
        <w:t xml:space="preserve">окремо за програмою або за </w:t>
      </w:r>
      <w:r w:rsidR="006F2EBF" w:rsidRPr="0024327D">
        <w:rPr>
          <w:lang w:val="uk-UA"/>
        </w:rPr>
        <w:t xml:space="preserve">кожним випуском </w:t>
      </w:r>
      <w:r w:rsidRPr="0024327D">
        <w:rPr>
          <w:lang w:val="uk-UA"/>
        </w:rPr>
        <w:t>облігаці</w:t>
      </w:r>
      <w:r w:rsidR="006F2EBF" w:rsidRPr="0024327D">
        <w:rPr>
          <w:lang w:val="uk-UA"/>
        </w:rPr>
        <w:t>й</w:t>
      </w:r>
      <w:r w:rsidR="00526E22" w:rsidRPr="0024327D">
        <w:rPr>
          <w:lang w:val="uk-UA"/>
        </w:rPr>
        <w:t xml:space="preserve"> в рамках програми</w:t>
      </w:r>
      <w:r w:rsidRPr="0024327D">
        <w:rPr>
          <w:lang w:val="uk-UA"/>
        </w:rPr>
        <w:t xml:space="preserve">, і яку інформацію необхідно надавати </w:t>
      </w:r>
      <w:r w:rsidR="00AD5A5F" w:rsidRPr="0024327D">
        <w:rPr>
          <w:lang w:val="uk-UA"/>
        </w:rPr>
        <w:t xml:space="preserve">органу нагляду </w:t>
      </w:r>
      <w:r w:rsidR="00526E22" w:rsidRPr="0024327D">
        <w:rPr>
          <w:lang w:val="uk-UA"/>
        </w:rPr>
        <w:t>в такому випадку</w:t>
      </w:r>
      <w:r w:rsidRPr="0024327D">
        <w:rPr>
          <w:lang w:val="uk-UA"/>
        </w:rPr>
        <w:t>;</w:t>
      </w:r>
      <w:r w:rsidRPr="0024327D">
        <w:rPr>
          <w:vertAlign w:val="superscript"/>
          <w:lang w:val="uk-UA"/>
        </w:rPr>
        <w:footnoteReference w:id="47"/>
      </w:r>
      <w:r w:rsidRPr="0024327D">
        <w:rPr>
          <w:b/>
          <w:lang w:val="uk-UA"/>
        </w:rPr>
        <w:t xml:space="preserve"> </w:t>
      </w:r>
    </w:p>
    <w:p w14:paraId="55804A2F" w14:textId="18AEB1B3" w:rsidR="008E5688" w:rsidRPr="0024327D" w:rsidRDefault="008E5688" w:rsidP="008E5688">
      <w:pPr>
        <w:numPr>
          <w:ilvl w:val="0"/>
          <w:numId w:val="9"/>
        </w:numPr>
        <w:contextualSpacing/>
        <w:rPr>
          <w:lang w:val="uk-UA"/>
        </w:rPr>
      </w:pPr>
      <w:r w:rsidRPr="0024327D">
        <w:rPr>
          <w:lang w:val="uk-UA"/>
        </w:rPr>
        <w:t>поточний нагляд. Це передбачатиме, наприклад, обсяг</w:t>
      </w:r>
      <w:r w:rsidR="00526E22" w:rsidRPr="0024327D">
        <w:rPr>
          <w:lang w:val="uk-UA"/>
        </w:rPr>
        <w:t xml:space="preserve"> </w:t>
      </w:r>
      <w:r w:rsidR="00BB4E21" w:rsidRPr="0024327D">
        <w:rPr>
          <w:lang w:val="uk-UA"/>
        </w:rPr>
        <w:t>наявних</w:t>
      </w:r>
      <w:r w:rsidR="00526E22" w:rsidRPr="0024327D">
        <w:rPr>
          <w:lang w:val="uk-UA"/>
        </w:rPr>
        <w:t xml:space="preserve"> інструментів та</w:t>
      </w:r>
      <w:r w:rsidRPr="0024327D">
        <w:rPr>
          <w:lang w:val="uk-UA"/>
        </w:rPr>
        <w:t xml:space="preserve">  повноважень </w:t>
      </w:r>
      <w:r w:rsidR="00B60600" w:rsidRPr="0024327D">
        <w:rPr>
          <w:lang w:val="uk-UA"/>
        </w:rPr>
        <w:t>органу нагляду</w:t>
      </w:r>
      <w:r w:rsidR="009C478D" w:rsidRPr="0024327D">
        <w:rPr>
          <w:lang w:val="uk-UA"/>
        </w:rPr>
        <w:t>,</w:t>
      </w:r>
      <w:r w:rsidR="00526E22" w:rsidRPr="0024327D">
        <w:rPr>
          <w:lang w:val="uk-UA"/>
        </w:rPr>
        <w:t xml:space="preserve"> зокрема</w:t>
      </w:r>
      <w:r w:rsidRPr="0024327D">
        <w:rPr>
          <w:lang w:val="uk-UA"/>
        </w:rPr>
        <w:t xml:space="preserve"> проведення </w:t>
      </w:r>
      <w:r w:rsidR="00526E22" w:rsidRPr="0024327D">
        <w:rPr>
          <w:lang w:val="uk-UA"/>
        </w:rPr>
        <w:t xml:space="preserve"> інспекційних </w:t>
      </w:r>
      <w:r w:rsidRPr="0024327D">
        <w:rPr>
          <w:lang w:val="uk-UA"/>
        </w:rPr>
        <w:t>перевірок та</w:t>
      </w:r>
      <w:r w:rsidR="00526E22" w:rsidRPr="0024327D">
        <w:rPr>
          <w:lang w:val="uk-UA"/>
        </w:rPr>
        <w:t xml:space="preserve"> отримання інформації, в тому</w:t>
      </w:r>
      <w:r w:rsidR="002B2410" w:rsidRPr="0024327D">
        <w:rPr>
          <w:lang w:val="uk-UA"/>
        </w:rPr>
        <w:t xml:space="preserve"> </w:t>
      </w:r>
      <w:r w:rsidR="00526E22" w:rsidRPr="0024327D">
        <w:rPr>
          <w:lang w:val="uk-UA"/>
        </w:rPr>
        <w:t xml:space="preserve"> числі</w:t>
      </w:r>
      <w:r w:rsidR="002B2410" w:rsidRPr="0024327D">
        <w:rPr>
          <w:lang w:val="uk-UA"/>
        </w:rPr>
        <w:t xml:space="preserve"> на запит,</w:t>
      </w:r>
      <w:r w:rsidR="00526E22" w:rsidRPr="0024327D">
        <w:rPr>
          <w:lang w:val="uk-UA"/>
        </w:rPr>
        <w:t xml:space="preserve"> від емітента</w:t>
      </w:r>
      <w:r w:rsidR="001D669F" w:rsidRPr="0024327D">
        <w:rPr>
          <w:lang w:val="uk-UA"/>
        </w:rPr>
        <w:t xml:space="preserve">, компанії спеціального призначення та </w:t>
      </w:r>
      <w:r w:rsidR="00F53C1E" w:rsidRPr="0024327D">
        <w:rPr>
          <w:lang w:val="uk-UA"/>
        </w:rPr>
        <w:t>К</w:t>
      </w:r>
      <w:r w:rsidR="001D669F" w:rsidRPr="0024327D">
        <w:rPr>
          <w:lang w:val="uk-UA"/>
        </w:rPr>
        <w:t xml:space="preserve">онтролера за пулом </w:t>
      </w:r>
      <w:r w:rsidR="00C93CE0" w:rsidRPr="0024327D">
        <w:rPr>
          <w:lang w:val="uk-UA"/>
        </w:rPr>
        <w:t>покриття</w:t>
      </w:r>
      <w:r w:rsidR="002B2410" w:rsidRPr="0024327D">
        <w:rPr>
          <w:lang w:val="uk-UA"/>
        </w:rPr>
        <w:t>, тощо</w:t>
      </w:r>
      <w:r w:rsidRPr="0024327D">
        <w:rPr>
          <w:lang w:val="uk-UA"/>
        </w:rPr>
        <w:t>;</w:t>
      </w:r>
      <w:r w:rsidRPr="0024327D">
        <w:rPr>
          <w:vertAlign w:val="superscript"/>
          <w:lang w:val="uk-UA"/>
        </w:rPr>
        <w:footnoteReference w:id="48"/>
      </w:r>
      <w:r w:rsidRPr="0024327D">
        <w:rPr>
          <w:lang w:val="uk-UA"/>
        </w:rPr>
        <w:t xml:space="preserve"> </w:t>
      </w:r>
    </w:p>
    <w:p w14:paraId="35AAD6E0" w14:textId="59A0FB4D" w:rsidR="008E5688" w:rsidRPr="0024327D" w:rsidRDefault="008E5688" w:rsidP="008E5688">
      <w:pPr>
        <w:numPr>
          <w:ilvl w:val="0"/>
          <w:numId w:val="9"/>
        </w:numPr>
        <w:contextualSpacing/>
        <w:rPr>
          <w:lang w:val="uk-UA"/>
        </w:rPr>
      </w:pPr>
      <w:r w:rsidRPr="0024327D">
        <w:rPr>
          <w:lang w:val="uk-UA"/>
        </w:rPr>
        <w:t xml:space="preserve">повноваження та зобов'язання, що виникають у разі неплатоспроможності, включаючи призначення </w:t>
      </w:r>
      <w:r w:rsidR="005D7F1F" w:rsidRPr="0024327D">
        <w:rPr>
          <w:lang w:val="uk-UA"/>
        </w:rPr>
        <w:t>С</w:t>
      </w:r>
      <w:r w:rsidRPr="0024327D">
        <w:rPr>
          <w:lang w:val="uk-UA"/>
        </w:rPr>
        <w:t>пеціального адміністратора та спосіб роботи такого адміністратора із судами з питань неплатоспроможності та органами з врегулювання, правила щодо поточного управління активами</w:t>
      </w:r>
      <w:r w:rsidR="0091443A" w:rsidRPr="0024327D">
        <w:rPr>
          <w:lang w:val="uk-UA"/>
        </w:rPr>
        <w:t>, включеними до складу забезпечення,</w:t>
      </w:r>
      <w:r w:rsidRPr="0024327D">
        <w:rPr>
          <w:lang w:val="uk-UA"/>
        </w:rPr>
        <w:t xml:space="preserve"> під час процедури не</w:t>
      </w:r>
      <w:r w:rsidR="005D7F1F" w:rsidRPr="0024327D">
        <w:rPr>
          <w:lang w:val="uk-UA"/>
        </w:rPr>
        <w:t>плато</w:t>
      </w:r>
      <w:r w:rsidRPr="0024327D">
        <w:rPr>
          <w:lang w:val="uk-UA"/>
        </w:rPr>
        <w:t>спроможності та повноваження на передачу активів та пов'язаних з ними зобов'язань третім особам, якщо це відповідає інтересам власників облігацій.</w:t>
      </w:r>
      <w:r w:rsidRPr="0024327D">
        <w:rPr>
          <w:vertAlign w:val="superscript"/>
          <w:lang w:val="uk-UA"/>
        </w:rPr>
        <w:footnoteReference w:id="49"/>
      </w:r>
      <w:r w:rsidRPr="0024327D">
        <w:rPr>
          <w:lang w:val="uk-UA"/>
        </w:rPr>
        <w:t xml:space="preserve"> </w:t>
      </w:r>
      <w:r w:rsidR="001C7DB6" w:rsidRPr="0024327D">
        <w:rPr>
          <w:lang w:val="uk-UA"/>
        </w:rPr>
        <w:t xml:space="preserve">В Україні, </w:t>
      </w:r>
      <w:r w:rsidR="00F13820" w:rsidRPr="0024327D">
        <w:rPr>
          <w:lang w:val="uk-UA"/>
        </w:rPr>
        <w:t>адміністратор за випуском облігацій може виконувати функції спеціального адміністратора.</w:t>
      </w:r>
    </w:p>
    <w:p w14:paraId="48F19750" w14:textId="20F53EC5" w:rsidR="008E5688" w:rsidRPr="0024327D" w:rsidRDefault="008E5688" w:rsidP="008E5688">
      <w:pPr>
        <w:rPr>
          <w:lang w:val="uk-UA"/>
        </w:rPr>
      </w:pPr>
      <w:r w:rsidRPr="0024327D">
        <w:rPr>
          <w:lang w:val="uk-UA"/>
        </w:rPr>
        <w:t xml:space="preserve">Вищезазначені особливості будуть включені як до </w:t>
      </w:r>
      <w:r w:rsidR="00573AE4" w:rsidRPr="0024327D">
        <w:rPr>
          <w:lang w:val="uk-UA"/>
        </w:rPr>
        <w:t xml:space="preserve">первинного </w:t>
      </w:r>
      <w:r w:rsidRPr="0024327D">
        <w:rPr>
          <w:lang w:val="uk-UA"/>
        </w:rPr>
        <w:t xml:space="preserve">законодавства, так і до підзаконних нормативних актів. З міркувань ефективності детальні відомості щодо таких особливостей слід включати до підзаконних нормативних актів, коли це можливо, а </w:t>
      </w:r>
      <w:r w:rsidR="00573AE4" w:rsidRPr="0024327D">
        <w:rPr>
          <w:lang w:val="uk-UA"/>
        </w:rPr>
        <w:t xml:space="preserve">первинне </w:t>
      </w:r>
      <w:r w:rsidRPr="0024327D">
        <w:rPr>
          <w:lang w:val="uk-UA"/>
        </w:rPr>
        <w:t xml:space="preserve">законодавство застосовується головним чином для того, щоб це могло статися (наприклад, надання органу </w:t>
      </w:r>
      <w:r w:rsidR="00573AE4" w:rsidRPr="0024327D">
        <w:rPr>
          <w:lang w:val="uk-UA"/>
        </w:rPr>
        <w:t>нагляду</w:t>
      </w:r>
      <w:r w:rsidR="00E94321" w:rsidRPr="0024327D">
        <w:rPr>
          <w:lang w:val="uk-UA"/>
        </w:rPr>
        <w:t xml:space="preserve"> </w:t>
      </w:r>
      <w:r w:rsidRPr="0024327D">
        <w:rPr>
          <w:lang w:val="uk-UA"/>
        </w:rPr>
        <w:t>права встановлювати певні правила).</w:t>
      </w:r>
    </w:p>
    <w:p w14:paraId="7746A982" w14:textId="1BEE5589" w:rsidR="008E5688" w:rsidRPr="0024327D" w:rsidRDefault="008E5688" w:rsidP="001A3C33">
      <w:pPr>
        <w:keepNext/>
        <w:keepLines/>
        <w:numPr>
          <w:ilvl w:val="1"/>
          <w:numId w:val="20"/>
        </w:numPr>
        <w:spacing w:before="360" w:line="240" w:lineRule="auto"/>
        <w:outlineLvl w:val="1"/>
        <w:rPr>
          <w:rFonts w:eastAsiaTheme="majorEastAsia" w:cstheme="majorBidi"/>
          <w:color w:val="2E74B5" w:themeColor="accent1" w:themeShade="BF"/>
          <w:sz w:val="32"/>
          <w:szCs w:val="32"/>
          <w:lang w:val="uk-UA"/>
        </w:rPr>
      </w:pPr>
      <w:bookmarkStart w:id="141" w:name="_Toc95481008"/>
      <w:r w:rsidRPr="0024327D">
        <w:rPr>
          <w:rFonts w:eastAsiaTheme="majorEastAsia" w:cstheme="majorBidi"/>
          <w:color w:val="2E74B5" w:themeColor="accent1" w:themeShade="BF"/>
          <w:sz w:val="32"/>
          <w:szCs w:val="32"/>
          <w:lang w:val="uk-UA"/>
        </w:rPr>
        <w:t xml:space="preserve">Створення ринку </w:t>
      </w:r>
      <w:r w:rsidR="00645A85" w:rsidRPr="0024327D">
        <w:rPr>
          <w:rFonts w:eastAsiaTheme="majorEastAsia" w:cstheme="majorBidi"/>
          <w:color w:val="2E74B5" w:themeColor="accent1" w:themeShade="BF"/>
          <w:sz w:val="32"/>
          <w:szCs w:val="32"/>
          <w:lang w:val="uk-UA"/>
        </w:rPr>
        <w:t>облігацій з покриттям</w:t>
      </w:r>
      <w:r w:rsidRPr="0024327D">
        <w:rPr>
          <w:rFonts w:eastAsiaTheme="majorEastAsia" w:cstheme="majorBidi"/>
          <w:color w:val="2E74B5" w:themeColor="accent1" w:themeShade="BF"/>
          <w:sz w:val="32"/>
          <w:szCs w:val="32"/>
          <w:lang w:val="uk-UA"/>
        </w:rPr>
        <w:t xml:space="preserve"> в Україні</w:t>
      </w:r>
      <w:bookmarkEnd w:id="141"/>
    </w:p>
    <w:p w14:paraId="6CE1CB12"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42" w:name="_Toc95481009"/>
      <w:r w:rsidRPr="0024327D">
        <w:rPr>
          <w:rFonts w:eastAsiaTheme="majorEastAsia" w:cstheme="majorBidi"/>
          <w:color w:val="2E74B5" w:themeColor="accent1" w:themeShade="BF"/>
          <w:sz w:val="28"/>
          <w:szCs w:val="28"/>
          <w:lang w:val="uk-UA"/>
        </w:rPr>
        <w:t>Визначення активів</w:t>
      </w:r>
      <w:bookmarkEnd w:id="142"/>
    </w:p>
    <w:p w14:paraId="2D3872A4" w14:textId="33C1743F" w:rsidR="008E5688" w:rsidRPr="0024327D" w:rsidRDefault="00B543AA" w:rsidP="008E5688">
      <w:pPr>
        <w:rPr>
          <w:lang w:val="uk-UA"/>
        </w:rPr>
      </w:pPr>
      <w:r w:rsidRPr="0024327D">
        <w:rPr>
          <w:lang w:val="uk-UA"/>
        </w:rPr>
        <w:t xml:space="preserve"> П</w:t>
      </w:r>
      <w:r w:rsidR="004F7F7D" w:rsidRPr="0024327D">
        <w:rPr>
          <w:lang w:val="uk-UA"/>
        </w:rPr>
        <w:t xml:space="preserve">ропонується </w:t>
      </w:r>
      <w:r w:rsidRPr="0024327D">
        <w:rPr>
          <w:lang w:val="uk-UA"/>
        </w:rPr>
        <w:t xml:space="preserve"> на рівні закону</w:t>
      </w:r>
      <w:r w:rsidR="008E5688" w:rsidRPr="0024327D">
        <w:rPr>
          <w:lang w:val="uk-UA"/>
        </w:rPr>
        <w:t xml:space="preserve">: </w:t>
      </w:r>
    </w:p>
    <w:p w14:paraId="6992D637" w14:textId="6043D715" w:rsidR="008E5688" w:rsidRPr="0024327D" w:rsidRDefault="008E5688" w:rsidP="008E5688">
      <w:pPr>
        <w:numPr>
          <w:ilvl w:val="0"/>
          <w:numId w:val="2"/>
        </w:numPr>
        <w:contextualSpacing/>
        <w:rPr>
          <w:lang w:val="uk-UA"/>
        </w:rPr>
      </w:pPr>
      <w:r w:rsidRPr="0024327D">
        <w:rPr>
          <w:lang w:val="uk-UA"/>
        </w:rPr>
        <w:t xml:space="preserve">дозволити </w:t>
      </w:r>
      <w:r w:rsidR="00D90EBD" w:rsidRPr="0024327D">
        <w:rPr>
          <w:lang w:val="uk-UA"/>
        </w:rPr>
        <w:t xml:space="preserve"> включення до пулу </w:t>
      </w:r>
      <w:r w:rsidR="00F65CE4" w:rsidRPr="0024327D">
        <w:rPr>
          <w:lang w:val="uk-UA"/>
        </w:rPr>
        <w:t>покриття</w:t>
      </w:r>
      <w:r w:rsidR="00D90EBD" w:rsidRPr="0024327D">
        <w:rPr>
          <w:lang w:val="uk-UA"/>
        </w:rPr>
        <w:t xml:space="preserve"> </w:t>
      </w:r>
      <w:r w:rsidRPr="0024327D">
        <w:rPr>
          <w:lang w:val="uk-UA"/>
        </w:rPr>
        <w:t>житлов</w:t>
      </w:r>
      <w:r w:rsidR="004F7F7D" w:rsidRPr="0024327D">
        <w:rPr>
          <w:lang w:val="uk-UA"/>
        </w:rPr>
        <w:t>их</w:t>
      </w:r>
      <w:r w:rsidRPr="0024327D">
        <w:rPr>
          <w:lang w:val="uk-UA"/>
        </w:rPr>
        <w:t xml:space="preserve"> іпотечн</w:t>
      </w:r>
      <w:r w:rsidR="004F7F7D" w:rsidRPr="0024327D">
        <w:rPr>
          <w:lang w:val="uk-UA"/>
        </w:rPr>
        <w:t>их</w:t>
      </w:r>
      <w:r w:rsidRPr="0024327D">
        <w:rPr>
          <w:lang w:val="uk-UA"/>
        </w:rPr>
        <w:t xml:space="preserve"> кредит</w:t>
      </w:r>
      <w:r w:rsidR="004F7F7D" w:rsidRPr="0024327D">
        <w:rPr>
          <w:lang w:val="uk-UA"/>
        </w:rPr>
        <w:t>ів,</w:t>
      </w:r>
      <w:r w:rsidRPr="0024327D">
        <w:rPr>
          <w:lang w:val="uk-UA"/>
        </w:rPr>
        <w:t xml:space="preserve"> комерційн</w:t>
      </w:r>
      <w:r w:rsidR="004F7F7D" w:rsidRPr="0024327D">
        <w:rPr>
          <w:lang w:val="uk-UA"/>
        </w:rPr>
        <w:t>их</w:t>
      </w:r>
      <w:r w:rsidR="007D4343" w:rsidRPr="0024327D">
        <w:rPr>
          <w:lang w:val="uk-UA"/>
        </w:rPr>
        <w:t xml:space="preserve"> </w:t>
      </w:r>
      <w:r w:rsidRPr="0024327D">
        <w:rPr>
          <w:lang w:val="uk-UA"/>
        </w:rPr>
        <w:t>іпотечн</w:t>
      </w:r>
      <w:r w:rsidR="004F7F7D" w:rsidRPr="0024327D">
        <w:rPr>
          <w:lang w:val="uk-UA"/>
        </w:rPr>
        <w:t>их</w:t>
      </w:r>
      <w:r w:rsidRPr="0024327D">
        <w:rPr>
          <w:lang w:val="uk-UA"/>
        </w:rPr>
        <w:t xml:space="preserve"> кредит</w:t>
      </w:r>
      <w:r w:rsidR="004F7F7D" w:rsidRPr="0024327D">
        <w:rPr>
          <w:lang w:val="uk-UA"/>
        </w:rPr>
        <w:t>ів</w:t>
      </w:r>
      <w:r w:rsidRPr="0024327D">
        <w:rPr>
          <w:lang w:val="uk-UA"/>
        </w:rPr>
        <w:t xml:space="preserve"> та дебіторськ</w:t>
      </w:r>
      <w:r w:rsidR="004F7F7D" w:rsidRPr="0024327D">
        <w:rPr>
          <w:lang w:val="uk-UA"/>
        </w:rPr>
        <w:t>ої</w:t>
      </w:r>
      <w:r w:rsidRPr="0024327D">
        <w:rPr>
          <w:lang w:val="uk-UA"/>
        </w:rPr>
        <w:t xml:space="preserve"> заборгован</w:t>
      </w:r>
      <w:r w:rsidR="004F7F7D" w:rsidRPr="0024327D">
        <w:rPr>
          <w:lang w:val="uk-UA"/>
        </w:rPr>
        <w:t>ості</w:t>
      </w:r>
      <w:r w:rsidRPr="0024327D">
        <w:rPr>
          <w:lang w:val="uk-UA"/>
        </w:rPr>
        <w:t xml:space="preserve"> </w:t>
      </w:r>
      <w:r w:rsidR="00D93236" w:rsidRPr="0024327D">
        <w:rPr>
          <w:lang w:val="uk-UA"/>
        </w:rPr>
        <w:t xml:space="preserve">публічного </w:t>
      </w:r>
      <w:r w:rsidRPr="0024327D">
        <w:rPr>
          <w:lang w:val="uk-UA"/>
        </w:rPr>
        <w:t>сектора, так</w:t>
      </w:r>
      <w:r w:rsidR="004F7F7D" w:rsidRPr="0024327D">
        <w:rPr>
          <w:lang w:val="uk-UA"/>
        </w:rPr>
        <w:t>ої</w:t>
      </w:r>
      <w:r w:rsidRPr="0024327D">
        <w:rPr>
          <w:lang w:val="uk-UA"/>
        </w:rPr>
        <w:t xml:space="preserve"> як позики </w:t>
      </w:r>
      <w:r w:rsidR="00831995" w:rsidRPr="0024327D">
        <w:rPr>
          <w:lang w:val="uk-UA"/>
        </w:rPr>
        <w:t xml:space="preserve">місцевим </w:t>
      </w:r>
      <w:r w:rsidRPr="0024327D">
        <w:rPr>
          <w:lang w:val="uk-UA"/>
        </w:rPr>
        <w:t>органам влади або повністю гарантовані</w:t>
      </w:r>
      <w:r w:rsidR="001C1CC4" w:rsidRPr="0024327D">
        <w:rPr>
          <w:lang w:val="uk-UA"/>
        </w:rPr>
        <w:t xml:space="preserve"> позики</w:t>
      </w:r>
      <w:r w:rsidRPr="0024327D">
        <w:rPr>
          <w:lang w:val="uk-UA"/>
        </w:rPr>
        <w:t xml:space="preserve"> державн</w:t>
      </w:r>
      <w:r w:rsidR="001C1CC4" w:rsidRPr="0024327D">
        <w:rPr>
          <w:lang w:val="uk-UA"/>
        </w:rPr>
        <w:t>им</w:t>
      </w:r>
      <w:r w:rsidRPr="0024327D">
        <w:rPr>
          <w:lang w:val="uk-UA"/>
        </w:rPr>
        <w:t xml:space="preserve"> підприємства</w:t>
      </w:r>
      <w:r w:rsidR="001C1CC4" w:rsidRPr="0024327D">
        <w:rPr>
          <w:lang w:val="uk-UA"/>
        </w:rPr>
        <w:t>м</w:t>
      </w:r>
      <w:r w:rsidRPr="0024327D">
        <w:rPr>
          <w:lang w:val="uk-UA"/>
        </w:rPr>
        <w:t>, як це дозволено Регламентом</w:t>
      </w:r>
      <w:r w:rsidR="00EF7CD4" w:rsidRPr="0024327D">
        <w:rPr>
          <w:lang w:val="uk-UA"/>
        </w:rPr>
        <w:t xml:space="preserve"> про вимоги до капіталу</w:t>
      </w:r>
      <w:r w:rsidRPr="0024327D">
        <w:rPr>
          <w:lang w:val="uk-UA"/>
        </w:rPr>
        <w:t>;</w:t>
      </w:r>
    </w:p>
    <w:p w14:paraId="4130F79D" w14:textId="5DCFFCF6" w:rsidR="008E5688" w:rsidRPr="0024327D" w:rsidRDefault="004F7F7D" w:rsidP="008E5688">
      <w:pPr>
        <w:numPr>
          <w:ilvl w:val="0"/>
          <w:numId w:val="2"/>
        </w:numPr>
        <w:contextualSpacing/>
        <w:rPr>
          <w:lang w:val="uk-UA"/>
        </w:rPr>
      </w:pPr>
      <w:r w:rsidRPr="0024327D">
        <w:rPr>
          <w:lang w:val="uk-UA"/>
        </w:rPr>
        <w:t>врегулювати процедуру</w:t>
      </w:r>
      <w:r w:rsidR="008E5688" w:rsidRPr="0024327D">
        <w:rPr>
          <w:lang w:val="uk-UA"/>
        </w:rPr>
        <w:t xml:space="preserve"> визнач</w:t>
      </w:r>
      <w:r w:rsidRPr="0024327D">
        <w:rPr>
          <w:lang w:val="uk-UA"/>
        </w:rPr>
        <w:t>ення</w:t>
      </w:r>
      <w:r w:rsidR="008E5688" w:rsidRPr="0024327D">
        <w:rPr>
          <w:lang w:val="uk-UA"/>
        </w:rPr>
        <w:t xml:space="preserve"> тип</w:t>
      </w:r>
      <w:r w:rsidRPr="0024327D">
        <w:rPr>
          <w:lang w:val="uk-UA"/>
        </w:rPr>
        <w:t>у</w:t>
      </w:r>
      <w:r w:rsidR="008E5688" w:rsidRPr="0024327D">
        <w:rPr>
          <w:lang w:val="uk-UA"/>
        </w:rPr>
        <w:t xml:space="preserve"> активу (наприклад, чи є об’єкт </w:t>
      </w:r>
      <w:r w:rsidR="00064891" w:rsidRPr="0024327D">
        <w:rPr>
          <w:lang w:val="uk-UA"/>
        </w:rPr>
        <w:t>“змішаного користування”</w:t>
      </w:r>
      <w:r w:rsidR="008E5688" w:rsidRPr="0024327D">
        <w:rPr>
          <w:lang w:val="uk-UA"/>
        </w:rPr>
        <w:t xml:space="preserve"> переважно комерційним чи житловим); </w:t>
      </w:r>
    </w:p>
    <w:p w14:paraId="0E9810A3" w14:textId="49A68986" w:rsidR="008E5688" w:rsidRPr="0024327D" w:rsidRDefault="008E5688" w:rsidP="008E5688">
      <w:pPr>
        <w:numPr>
          <w:ilvl w:val="0"/>
          <w:numId w:val="2"/>
        </w:numPr>
        <w:contextualSpacing/>
        <w:rPr>
          <w:lang w:val="uk-UA"/>
        </w:rPr>
      </w:pPr>
      <w:r w:rsidRPr="0024327D">
        <w:rPr>
          <w:lang w:val="uk-UA"/>
        </w:rPr>
        <w:t>встанов</w:t>
      </w:r>
      <w:r w:rsidR="006644F6" w:rsidRPr="0024327D">
        <w:rPr>
          <w:lang w:val="uk-UA"/>
        </w:rPr>
        <w:t>ити</w:t>
      </w:r>
      <w:r w:rsidRPr="0024327D">
        <w:rPr>
          <w:lang w:val="uk-UA"/>
        </w:rPr>
        <w:t xml:space="preserve"> обмеження щодо певних видів ризику</w:t>
      </w:r>
      <w:r w:rsidR="006644F6" w:rsidRPr="0024327D">
        <w:rPr>
          <w:lang w:val="uk-UA"/>
        </w:rPr>
        <w:t xml:space="preserve"> та/або надати повноваження НКЦПФР </w:t>
      </w:r>
      <w:r w:rsidR="00074128" w:rsidRPr="0024327D">
        <w:rPr>
          <w:lang w:val="uk-UA"/>
        </w:rPr>
        <w:t xml:space="preserve">та/або НБУ </w:t>
      </w:r>
      <w:r w:rsidR="006644F6" w:rsidRPr="0024327D">
        <w:rPr>
          <w:lang w:val="uk-UA"/>
        </w:rPr>
        <w:t>встановлювати такі обмеження</w:t>
      </w:r>
      <w:r w:rsidRPr="0024327D">
        <w:rPr>
          <w:lang w:val="uk-UA"/>
        </w:rPr>
        <w:t>;</w:t>
      </w:r>
    </w:p>
    <w:p w14:paraId="7AC30571" w14:textId="00E3D036" w:rsidR="008E5688" w:rsidRPr="0024327D" w:rsidRDefault="00992524" w:rsidP="008E5688">
      <w:pPr>
        <w:numPr>
          <w:ilvl w:val="0"/>
          <w:numId w:val="2"/>
        </w:numPr>
        <w:contextualSpacing/>
        <w:rPr>
          <w:lang w:val="uk-UA"/>
        </w:rPr>
      </w:pPr>
      <w:r w:rsidRPr="0024327D">
        <w:rPr>
          <w:lang w:val="uk-UA"/>
        </w:rPr>
        <w:lastRenderedPageBreak/>
        <w:t>запровадити вимоги до</w:t>
      </w:r>
      <w:r w:rsidR="004F7F7D" w:rsidRPr="0024327D">
        <w:rPr>
          <w:lang w:val="uk-UA"/>
        </w:rPr>
        <w:t xml:space="preserve"> </w:t>
      </w:r>
      <w:r w:rsidR="008E5688" w:rsidRPr="0024327D">
        <w:rPr>
          <w:lang w:val="uk-UA"/>
        </w:rPr>
        <w:t>оцінюва</w:t>
      </w:r>
      <w:r w:rsidR="004F7F7D" w:rsidRPr="0024327D">
        <w:rPr>
          <w:lang w:val="uk-UA"/>
        </w:rPr>
        <w:t>ння</w:t>
      </w:r>
      <w:r w:rsidR="008E5688" w:rsidRPr="0024327D">
        <w:rPr>
          <w:lang w:val="uk-UA"/>
        </w:rPr>
        <w:t xml:space="preserve"> майн</w:t>
      </w:r>
      <w:r w:rsidR="004F7F7D" w:rsidRPr="0024327D">
        <w:rPr>
          <w:lang w:val="uk-UA"/>
        </w:rPr>
        <w:t>а</w:t>
      </w:r>
      <w:r w:rsidR="008956F0" w:rsidRPr="0024327D">
        <w:rPr>
          <w:lang w:val="uk-UA"/>
        </w:rPr>
        <w:t xml:space="preserve"> з наступною </w:t>
      </w:r>
      <w:r w:rsidR="00641998" w:rsidRPr="0024327D">
        <w:rPr>
          <w:lang w:val="uk-UA"/>
        </w:rPr>
        <w:t>їх деталізацією в підзаконних нормативно-правових актах</w:t>
      </w:r>
      <w:r w:rsidR="008E5688" w:rsidRPr="0024327D">
        <w:rPr>
          <w:lang w:val="uk-UA"/>
        </w:rPr>
        <w:t xml:space="preserve"> (наприклад, </w:t>
      </w:r>
      <w:r w:rsidR="003C6B2C" w:rsidRPr="0024327D">
        <w:rPr>
          <w:lang w:val="uk-UA"/>
        </w:rPr>
        <w:t xml:space="preserve">оцінка </w:t>
      </w:r>
      <w:r w:rsidR="008E5688" w:rsidRPr="0024327D">
        <w:rPr>
          <w:lang w:val="uk-UA"/>
        </w:rPr>
        <w:t>відповідно до ринкової вартості або вартості іпотечного кредитування);</w:t>
      </w:r>
    </w:p>
    <w:p w14:paraId="26B4C427" w14:textId="6095936F" w:rsidR="008E5688" w:rsidRPr="0024327D" w:rsidRDefault="004F7F7D" w:rsidP="008E5688">
      <w:pPr>
        <w:numPr>
          <w:ilvl w:val="0"/>
          <w:numId w:val="2"/>
        </w:numPr>
        <w:contextualSpacing/>
        <w:rPr>
          <w:lang w:val="uk-UA"/>
        </w:rPr>
      </w:pPr>
      <w:r w:rsidRPr="0024327D">
        <w:rPr>
          <w:lang w:val="uk-UA"/>
        </w:rPr>
        <w:t xml:space="preserve">встановити </w:t>
      </w:r>
      <w:r w:rsidR="008E5688" w:rsidRPr="0024327D">
        <w:rPr>
          <w:lang w:val="uk-UA"/>
        </w:rPr>
        <w:t>обмеження коефіцієнта непогашеної позики до оціночної вартості майна та способи обчислення цього коефіцієнта;</w:t>
      </w:r>
    </w:p>
    <w:p w14:paraId="7FD5C8A2" w14:textId="7F750319" w:rsidR="008E5688" w:rsidRPr="0024327D" w:rsidRDefault="004F7F7D" w:rsidP="008E5688">
      <w:pPr>
        <w:numPr>
          <w:ilvl w:val="0"/>
          <w:numId w:val="2"/>
        </w:numPr>
        <w:contextualSpacing/>
        <w:rPr>
          <w:lang w:val="uk-UA"/>
        </w:rPr>
      </w:pPr>
      <w:r w:rsidRPr="0024327D">
        <w:rPr>
          <w:lang w:val="uk-UA"/>
        </w:rPr>
        <w:t xml:space="preserve">визначити </w:t>
      </w:r>
      <w:r w:rsidR="008E5688" w:rsidRPr="0024327D">
        <w:rPr>
          <w:lang w:val="uk-UA"/>
        </w:rPr>
        <w:t>прийнятність іпотечни</w:t>
      </w:r>
      <w:r w:rsidR="005F34EE" w:rsidRPr="0024327D">
        <w:rPr>
          <w:lang w:val="uk-UA"/>
        </w:rPr>
        <w:t>х</w:t>
      </w:r>
      <w:r w:rsidR="008E5688" w:rsidRPr="0024327D">
        <w:rPr>
          <w:lang w:val="uk-UA"/>
        </w:rPr>
        <w:t xml:space="preserve"> кредит</w:t>
      </w:r>
      <w:r w:rsidR="005F34EE" w:rsidRPr="0024327D">
        <w:rPr>
          <w:lang w:val="uk-UA"/>
        </w:rPr>
        <w:t>ів, виплати за якими прострочені,</w:t>
      </w:r>
      <w:r w:rsidR="00373F95" w:rsidRPr="0024327D">
        <w:rPr>
          <w:lang w:val="uk-UA"/>
        </w:rPr>
        <w:t xml:space="preserve"> </w:t>
      </w:r>
      <w:r w:rsidR="008E5688" w:rsidRPr="0024327D">
        <w:rPr>
          <w:lang w:val="uk-UA"/>
        </w:rPr>
        <w:t xml:space="preserve">для пулу </w:t>
      </w:r>
      <w:r w:rsidR="00332B28" w:rsidRPr="0024327D">
        <w:rPr>
          <w:lang w:val="uk-UA"/>
        </w:rPr>
        <w:t>покриття</w:t>
      </w:r>
      <w:r w:rsidR="008E5688" w:rsidRPr="0024327D">
        <w:rPr>
          <w:lang w:val="uk-UA"/>
        </w:rPr>
        <w:t xml:space="preserve">; </w:t>
      </w:r>
    </w:p>
    <w:p w14:paraId="2200BE35" w14:textId="1A00A6F9" w:rsidR="006E759A" w:rsidRPr="0024327D" w:rsidRDefault="004F7F7D" w:rsidP="008E5688">
      <w:pPr>
        <w:numPr>
          <w:ilvl w:val="0"/>
          <w:numId w:val="2"/>
        </w:numPr>
        <w:contextualSpacing/>
        <w:rPr>
          <w:lang w:val="uk-UA"/>
        </w:rPr>
      </w:pPr>
      <w:r w:rsidRPr="0024327D">
        <w:rPr>
          <w:lang w:val="uk-UA"/>
        </w:rPr>
        <w:t xml:space="preserve">передбачити </w:t>
      </w:r>
      <w:r w:rsidR="008E5688" w:rsidRPr="0024327D">
        <w:rPr>
          <w:lang w:val="uk-UA"/>
        </w:rPr>
        <w:t>визначення та</w:t>
      </w:r>
      <w:r w:rsidRPr="0024327D">
        <w:rPr>
          <w:lang w:val="uk-UA"/>
        </w:rPr>
        <w:t xml:space="preserve"> встановити </w:t>
      </w:r>
      <w:r w:rsidR="008E5688" w:rsidRPr="0024327D">
        <w:rPr>
          <w:lang w:val="uk-UA"/>
        </w:rPr>
        <w:t xml:space="preserve"> обмеження щодо </w:t>
      </w:r>
      <w:r w:rsidR="00064891" w:rsidRPr="0024327D">
        <w:rPr>
          <w:lang w:val="uk-UA"/>
        </w:rPr>
        <w:t xml:space="preserve">“активів-замінників” </w:t>
      </w:r>
      <w:r w:rsidR="008E5688" w:rsidRPr="0024327D">
        <w:rPr>
          <w:lang w:val="uk-UA"/>
        </w:rPr>
        <w:t xml:space="preserve">- активів, відмінних від основного класу активів, включених до пулу </w:t>
      </w:r>
      <w:r w:rsidR="00332B28" w:rsidRPr="0024327D">
        <w:rPr>
          <w:lang w:val="uk-UA"/>
        </w:rPr>
        <w:t xml:space="preserve"> покриття</w:t>
      </w:r>
      <w:r w:rsidR="008E5688" w:rsidRPr="0024327D">
        <w:rPr>
          <w:lang w:val="uk-UA"/>
        </w:rPr>
        <w:t>, наприклад, банки часто мають на депозиті у центральному банку короткострокові цінні папери з високим рейтингом або готівкові кошти, щоб мати можливість задовольнити зобов'язання з виплати за облігаціями</w:t>
      </w:r>
      <w:r w:rsidR="00F10C23" w:rsidRPr="0024327D">
        <w:rPr>
          <w:lang w:val="uk-UA"/>
        </w:rPr>
        <w:t>, строк погашення яких от-от настане</w:t>
      </w:r>
      <w:r w:rsidR="006E759A" w:rsidRPr="0024327D">
        <w:rPr>
          <w:lang w:val="uk-UA"/>
        </w:rPr>
        <w:t>;</w:t>
      </w:r>
    </w:p>
    <w:p w14:paraId="477EDF18" w14:textId="4B746767" w:rsidR="008E5688" w:rsidRPr="0024327D" w:rsidRDefault="00CF733B" w:rsidP="008E5688">
      <w:pPr>
        <w:numPr>
          <w:ilvl w:val="0"/>
          <w:numId w:val="2"/>
        </w:numPr>
        <w:contextualSpacing/>
        <w:rPr>
          <w:lang w:val="uk-UA"/>
        </w:rPr>
      </w:pPr>
      <w:r w:rsidRPr="0024327D">
        <w:rPr>
          <w:lang w:val="uk-UA"/>
        </w:rPr>
        <w:t>визначити критерії щодо деривативних фінансових інструментів.</w:t>
      </w:r>
    </w:p>
    <w:p w14:paraId="69417974" w14:textId="1F0DC6BC" w:rsidR="008E5688" w:rsidRPr="0024327D" w:rsidRDefault="008E5688" w:rsidP="008E5688">
      <w:pPr>
        <w:rPr>
          <w:lang w:val="uk-UA"/>
        </w:rPr>
      </w:pPr>
      <w:r w:rsidRPr="0024327D">
        <w:rPr>
          <w:lang w:val="uk-UA"/>
        </w:rPr>
        <w:t>У випадках, коли це можливо, правила, що регулюють вищезазначені</w:t>
      </w:r>
      <w:r w:rsidR="00130025" w:rsidRPr="0024327D">
        <w:rPr>
          <w:lang w:val="uk-UA"/>
        </w:rPr>
        <w:t xml:space="preserve"> питання</w:t>
      </w:r>
      <w:r w:rsidRPr="0024327D">
        <w:rPr>
          <w:lang w:val="uk-UA"/>
        </w:rPr>
        <w:t xml:space="preserve">, повинні відповідати як </w:t>
      </w:r>
      <w:r w:rsidR="00A87815" w:rsidRPr="0024327D">
        <w:rPr>
          <w:lang w:val="uk-UA"/>
        </w:rPr>
        <w:t xml:space="preserve">наявним </w:t>
      </w:r>
      <w:r w:rsidRPr="0024327D">
        <w:rPr>
          <w:lang w:val="uk-UA"/>
        </w:rPr>
        <w:t>правилам, так і ринковій практиці.</w:t>
      </w:r>
    </w:p>
    <w:p w14:paraId="3502EF77"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43" w:name="_Toc95481010"/>
      <w:r w:rsidRPr="0024327D">
        <w:rPr>
          <w:rFonts w:eastAsiaTheme="majorEastAsia" w:cstheme="majorBidi"/>
          <w:color w:val="2E74B5" w:themeColor="accent1" w:themeShade="BF"/>
          <w:sz w:val="28"/>
          <w:szCs w:val="28"/>
          <w:lang w:val="uk-UA"/>
        </w:rPr>
        <w:t>Зобов'язання здійснити викуп</w:t>
      </w:r>
      <w:bookmarkEnd w:id="143"/>
    </w:p>
    <w:p w14:paraId="36E2FC89" w14:textId="1E82AE8D" w:rsidR="0044096C" w:rsidRPr="0024327D" w:rsidRDefault="003873CC" w:rsidP="008E5688">
      <w:pPr>
        <w:rPr>
          <w:lang w:val="uk-UA"/>
        </w:rPr>
      </w:pPr>
      <w:r w:rsidRPr="0024327D">
        <w:rPr>
          <w:lang w:val="uk-UA"/>
        </w:rPr>
        <w:t>У</w:t>
      </w:r>
      <w:r w:rsidR="008E5688" w:rsidRPr="0024327D">
        <w:rPr>
          <w:lang w:val="uk-UA"/>
        </w:rPr>
        <w:t xml:space="preserve"> даний час Закон про іпотечні облігації </w:t>
      </w:r>
      <w:r w:rsidR="00283EB4" w:rsidRPr="0024327D">
        <w:rPr>
          <w:lang w:val="uk-UA"/>
        </w:rPr>
        <w:t xml:space="preserve">в частині, яка регулює відокремлення активів емітента шляхом </w:t>
      </w:r>
      <w:r w:rsidR="00214A35" w:rsidRPr="0024327D">
        <w:rPr>
          <w:lang w:val="uk-UA"/>
        </w:rPr>
        <w:t>придбання</w:t>
      </w:r>
      <w:r w:rsidR="003077EC" w:rsidRPr="0024327D">
        <w:rPr>
          <w:lang w:val="uk-UA"/>
        </w:rPr>
        <w:t xml:space="preserve">, </w:t>
      </w:r>
      <w:r w:rsidR="008E5688" w:rsidRPr="0024327D">
        <w:rPr>
          <w:lang w:val="uk-UA"/>
        </w:rPr>
        <w:t xml:space="preserve"> передбачає </w:t>
      </w:r>
      <w:r w:rsidR="003077EC" w:rsidRPr="0024327D">
        <w:rPr>
          <w:lang w:val="uk-UA"/>
        </w:rPr>
        <w:t xml:space="preserve">таке </w:t>
      </w:r>
      <w:r w:rsidR="00214A35" w:rsidRPr="0024327D">
        <w:rPr>
          <w:lang w:val="uk-UA"/>
        </w:rPr>
        <w:t xml:space="preserve">придбання </w:t>
      </w:r>
      <w:r w:rsidR="003077EC" w:rsidRPr="0024327D">
        <w:rPr>
          <w:lang w:val="uk-UA"/>
        </w:rPr>
        <w:t xml:space="preserve">тільки по відношенню структур </w:t>
      </w:r>
      <w:r w:rsidR="00C0716A" w:rsidRPr="0024327D">
        <w:rPr>
          <w:lang w:val="uk-UA"/>
        </w:rPr>
        <w:t xml:space="preserve">наближених до структури сек’юритизації – на користь </w:t>
      </w:r>
      <w:r w:rsidR="008E5688" w:rsidRPr="0024327D">
        <w:rPr>
          <w:lang w:val="uk-UA"/>
        </w:rPr>
        <w:t>компанії спеціального призначення</w:t>
      </w:r>
      <w:r w:rsidR="00C0716A" w:rsidRPr="0024327D">
        <w:rPr>
          <w:lang w:val="uk-UA"/>
        </w:rPr>
        <w:t xml:space="preserve">; при цьому таке </w:t>
      </w:r>
      <w:r w:rsidR="00214A35" w:rsidRPr="0024327D">
        <w:rPr>
          <w:lang w:val="uk-UA"/>
        </w:rPr>
        <w:t xml:space="preserve">придбання </w:t>
      </w:r>
      <w:r w:rsidR="008E5688" w:rsidRPr="0024327D">
        <w:rPr>
          <w:lang w:val="uk-UA"/>
        </w:rPr>
        <w:t xml:space="preserve">має бути </w:t>
      </w:r>
      <w:r w:rsidR="00214A35" w:rsidRPr="0024327D">
        <w:rPr>
          <w:lang w:val="uk-UA"/>
        </w:rPr>
        <w:t xml:space="preserve">у безвідкличному порядку, тобто </w:t>
      </w:r>
      <w:r w:rsidR="008E5688" w:rsidRPr="0024327D">
        <w:rPr>
          <w:lang w:val="uk-UA"/>
        </w:rPr>
        <w:t xml:space="preserve"> без </w:t>
      </w:r>
      <w:r w:rsidR="00214A35" w:rsidRPr="0024327D">
        <w:rPr>
          <w:lang w:val="uk-UA"/>
        </w:rPr>
        <w:t xml:space="preserve">права </w:t>
      </w:r>
      <w:r w:rsidR="008E5688" w:rsidRPr="0024327D">
        <w:rPr>
          <w:lang w:val="uk-UA"/>
        </w:rPr>
        <w:t>заміни</w:t>
      </w:r>
      <w:r w:rsidR="00F32BC8" w:rsidRPr="0024327D">
        <w:rPr>
          <w:lang w:val="uk-UA"/>
        </w:rPr>
        <w:t>, зворотного викупу чи передачі</w:t>
      </w:r>
      <w:r w:rsidR="008E5688" w:rsidRPr="0024327D">
        <w:rPr>
          <w:lang w:val="uk-UA"/>
        </w:rPr>
        <w:t>, за винятком випадків, коли на момент передачі ці активи не відповідали вимогам, визначеним у проспекті</w:t>
      </w:r>
      <w:r w:rsidR="00F32BC8" w:rsidRPr="0024327D">
        <w:rPr>
          <w:lang w:val="uk-UA"/>
        </w:rPr>
        <w:t xml:space="preserve"> (рішенні про емісію)</w:t>
      </w:r>
      <w:r w:rsidR="008E5688" w:rsidRPr="0024327D">
        <w:rPr>
          <w:lang w:val="uk-UA"/>
        </w:rPr>
        <w:t>.</w:t>
      </w:r>
      <w:r w:rsidR="00624B52" w:rsidRPr="0024327D">
        <w:rPr>
          <w:lang w:val="uk-UA"/>
        </w:rPr>
        <w:t xml:space="preserve"> Наявна </w:t>
      </w:r>
      <w:r w:rsidR="009419E0" w:rsidRPr="0024327D">
        <w:rPr>
          <w:lang w:val="uk-UA"/>
        </w:rPr>
        <w:t xml:space="preserve">в Україні </w:t>
      </w:r>
      <w:r w:rsidR="0044096C" w:rsidRPr="0024327D">
        <w:rPr>
          <w:lang w:val="uk-UA"/>
        </w:rPr>
        <w:t>практика</w:t>
      </w:r>
      <w:r w:rsidR="009419E0" w:rsidRPr="0024327D">
        <w:rPr>
          <w:lang w:val="uk-UA"/>
        </w:rPr>
        <w:t xml:space="preserve"> </w:t>
      </w:r>
      <w:r w:rsidR="00BC3848" w:rsidRPr="0024327D">
        <w:rPr>
          <w:lang w:val="uk-UA"/>
        </w:rPr>
        <w:t xml:space="preserve">емісії </w:t>
      </w:r>
      <w:r w:rsidR="0044096C" w:rsidRPr="0024327D">
        <w:rPr>
          <w:lang w:val="uk-UA"/>
        </w:rPr>
        <w:t xml:space="preserve">іпотечних облігацій </w:t>
      </w:r>
      <w:r w:rsidR="009419E0" w:rsidRPr="0024327D">
        <w:rPr>
          <w:lang w:val="uk-UA"/>
        </w:rPr>
        <w:t xml:space="preserve">відповідно до Закону про іпотечні облігації </w:t>
      </w:r>
      <w:r w:rsidR="0044096C" w:rsidRPr="0024327D">
        <w:rPr>
          <w:lang w:val="uk-UA"/>
        </w:rPr>
        <w:t>використовува</w:t>
      </w:r>
      <w:r w:rsidR="00E263F4" w:rsidRPr="0024327D">
        <w:rPr>
          <w:lang w:val="uk-UA"/>
        </w:rPr>
        <w:t>ла структуру, за якою щодо активів здійснювалось забезпечувальне відступлення на кор</w:t>
      </w:r>
      <w:r w:rsidR="009419E0" w:rsidRPr="0024327D">
        <w:rPr>
          <w:lang w:val="uk-UA"/>
        </w:rPr>
        <w:t>и</w:t>
      </w:r>
      <w:r w:rsidR="00E263F4" w:rsidRPr="0024327D">
        <w:rPr>
          <w:lang w:val="uk-UA"/>
        </w:rPr>
        <w:t xml:space="preserve">сть </w:t>
      </w:r>
      <w:r w:rsidR="008E313D" w:rsidRPr="0024327D">
        <w:rPr>
          <w:lang w:val="uk-UA"/>
        </w:rPr>
        <w:t>спеціалізованої</w:t>
      </w:r>
      <w:r w:rsidR="00E263F4" w:rsidRPr="0024327D">
        <w:rPr>
          <w:lang w:val="uk-UA"/>
        </w:rPr>
        <w:t xml:space="preserve"> установи з рефінансування </w:t>
      </w:r>
      <w:r w:rsidR="008E313D" w:rsidRPr="0024327D">
        <w:rPr>
          <w:lang w:val="uk-UA"/>
        </w:rPr>
        <w:t xml:space="preserve">житлових кредитів, яка здійснювала </w:t>
      </w:r>
      <w:r w:rsidR="00BC3848" w:rsidRPr="0024327D">
        <w:rPr>
          <w:lang w:val="uk-UA"/>
        </w:rPr>
        <w:t xml:space="preserve"> емісію </w:t>
      </w:r>
      <w:r w:rsidR="008E313D" w:rsidRPr="0024327D">
        <w:rPr>
          <w:lang w:val="uk-UA"/>
        </w:rPr>
        <w:t xml:space="preserve">іпотечних облігацій. </w:t>
      </w:r>
    </w:p>
    <w:p w14:paraId="4CA989F0" w14:textId="166F2719" w:rsidR="008E5688" w:rsidRPr="0024327D" w:rsidRDefault="008E313D" w:rsidP="008E5688">
      <w:pPr>
        <w:rPr>
          <w:lang w:val="uk-UA"/>
        </w:rPr>
      </w:pPr>
      <w:r w:rsidRPr="0024327D">
        <w:rPr>
          <w:lang w:val="uk-UA"/>
        </w:rPr>
        <w:t xml:space="preserve">При запровадженні </w:t>
      </w:r>
      <w:r w:rsidR="00626438" w:rsidRPr="0024327D">
        <w:rPr>
          <w:lang w:val="uk-UA"/>
        </w:rPr>
        <w:t>структури облігацій з покриттям, яка буде відповідати всім вимогам законодавства ЄС, в тому числі «подвій</w:t>
      </w:r>
      <w:r w:rsidR="00A02D04" w:rsidRPr="0024327D">
        <w:rPr>
          <w:lang w:val="uk-UA"/>
        </w:rPr>
        <w:t>на» вимога (</w:t>
      </w:r>
      <w:r w:rsidR="00A02D04" w:rsidRPr="0024327D">
        <w:rPr>
          <w:i/>
          <w:iCs/>
          <w:lang w:val="uk-UA"/>
        </w:rPr>
        <w:t>dual  recourse</w:t>
      </w:r>
      <w:r w:rsidR="00A02D04" w:rsidRPr="0024327D">
        <w:rPr>
          <w:lang w:val="uk-UA"/>
        </w:rPr>
        <w:t>)</w:t>
      </w:r>
      <w:r w:rsidR="00AB03DA" w:rsidRPr="0024327D">
        <w:rPr>
          <w:lang w:val="uk-UA"/>
        </w:rPr>
        <w:t>, необхідно буде забезпечити, щоб відокремлення пулу покриття</w:t>
      </w:r>
      <w:r w:rsidR="00AD1D4A" w:rsidRPr="0024327D">
        <w:rPr>
          <w:lang w:val="uk-UA"/>
        </w:rPr>
        <w:t xml:space="preserve"> шляхом юридичного відчуження на кор</w:t>
      </w:r>
      <w:r w:rsidR="009419E0" w:rsidRPr="0024327D">
        <w:rPr>
          <w:lang w:val="uk-UA"/>
        </w:rPr>
        <w:t>и</w:t>
      </w:r>
      <w:r w:rsidR="00AD1D4A" w:rsidRPr="0024327D">
        <w:rPr>
          <w:lang w:val="uk-UA"/>
        </w:rPr>
        <w:t xml:space="preserve">сть Компанії спеціального призначення не обмежувало </w:t>
      </w:r>
      <w:r w:rsidR="008E5688" w:rsidRPr="0024327D">
        <w:rPr>
          <w:lang w:val="uk-UA"/>
        </w:rPr>
        <w:t>викуп, зокрема, коли активи стають проблемними після передачі цих активів компанії спеціального призначення.</w:t>
      </w:r>
    </w:p>
    <w:p w14:paraId="1F1D90A2" w14:textId="757A4C8C" w:rsidR="008E5688" w:rsidRPr="0024327D" w:rsidRDefault="008E5688" w:rsidP="008E5688">
      <w:pPr>
        <w:rPr>
          <w:lang w:val="uk-UA"/>
        </w:rPr>
      </w:pPr>
      <w:r w:rsidRPr="0024327D">
        <w:rPr>
          <w:lang w:val="uk-UA"/>
        </w:rPr>
        <w:t xml:space="preserve">Якщо припустити, що </w:t>
      </w:r>
      <w:r w:rsidR="003F397B" w:rsidRPr="0024327D">
        <w:rPr>
          <w:lang w:val="uk-UA"/>
        </w:rPr>
        <w:t xml:space="preserve">права </w:t>
      </w:r>
      <w:r w:rsidRPr="0024327D">
        <w:rPr>
          <w:lang w:val="uk-UA"/>
        </w:rPr>
        <w:t>вимоги будуть викуплені за їх номінальною вартістю (без дисконту або премії), наслідки, пов'язані з податком на прибуток підприємств та ПДВ, не виникатимуть.</w:t>
      </w:r>
    </w:p>
    <w:p w14:paraId="29BCA9A9" w14:textId="25B12EAB" w:rsidR="00A2530C" w:rsidRPr="0024327D" w:rsidRDefault="00B90E31" w:rsidP="008E5688">
      <w:pPr>
        <w:suppressAutoHyphens/>
        <w:rPr>
          <w:color w:val="000000"/>
          <w:lang w:val="uk-UA" w:eastAsia="uk-UA"/>
        </w:rPr>
      </w:pPr>
      <w:bookmarkStart w:id="144" w:name="_Toc8065608"/>
      <w:bookmarkStart w:id="145" w:name="_Toc8065677"/>
      <w:bookmarkStart w:id="146" w:name="_Toc8065745"/>
      <w:bookmarkStart w:id="147" w:name="_Toc8065812"/>
      <w:bookmarkEnd w:id="144"/>
      <w:bookmarkEnd w:id="145"/>
      <w:bookmarkEnd w:id="146"/>
      <w:bookmarkEnd w:id="147"/>
      <w:r w:rsidRPr="0024327D">
        <w:rPr>
          <w:color w:val="000000"/>
          <w:lang w:val="uk-UA" w:eastAsia="uk-UA"/>
        </w:rPr>
        <w:t xml:space="preserve">Зобов’язання здійснити викуп </w:t>
      </w:r>
      <w:r w:rsidR="004567C3" w:rsidRPr="0024327D">
        <w:rPr>
          <w:color w:val="000000"/>
          <w:lang w:val="uk-UA" w:eastAsia="uk-UA"/>
        </w:rPr>
        <w:t>буде припин</w:t>
      </w:r>
      <w:r w:rsidR="00031EDF" w:rsidRPr="0024327D">
        <w:rPr>
          <w:color w:val="000000"/>
          <w:lang w:val="uk-UA" w:eastAsia="uk-UA"/>
        </w:rPr>
        <w:t>ятися</w:t>
      </w:r>
      <w:r w:rsidR="004567C3" w:rsidRPr="0024327D">
        <w:rPr>
          <w:color w:val="000000"/>
          <w:lang w:val="uk-UA" w:eastAsia="uk-UA"/>
        </w:rPr>
        <w:t xml:space="preserve"> у випадку неплатоспроможності емітента (наприклад, після початку процедури ліквідації).</w:t>
      </w:r>
    </w:p>
    <w:p w14:paraId="1D451324" w14:textId="083BFCC6" w:rsidR="008E5688" w:rsidRPr="0024327D" w:rsidRDefault="008E5688" w:rsidP="001A3C33">
      <w:pPr>
        <w:keepNext/>
        <w:keepLines/>
        <w:numPr>
          <w:ilvl w:val="2"/>
          <w:numId w:val="20"/>
        </w:numPr>
        <w:spacing w:before="240" w:line="240" w:lineRule="auto"/>
        <w:ind w:left="861"/>
        <w:outlineLvl w:val="2"/>
        <w:rPr>
          <w:color w:val="2E74B5" w:themeColor="accent1" w:themeShade="BF"/>
          <w:sz w:val="28"/>
          <w:lang w:val="uk-UA"/>
        </w:rPr>
      </w:pPr>
      <w:bookmarkStart w:id="148" w:name="_Toc95481012"/>
      <w:r w:rsidRPr="0024327D">
        <w:rPr>
          <w:color w:val="2E74B5" w:themeColor="accent1" w:themeShade="BF"/>
          <w:sz w:val="28"/>
          <w:lang w:val="uk-UA"/>
        </w:rPr>
        <w:t>Наслідки відокремлення емітента облігацій та власника активів</w:t>
      </w:r>
      <w:bookmarkEnd w:id="148"/>
    </w:p>
    <w:p w14:paraId="7DFC08D7" w14:textId="4AC3C626" w:rsidR="008E5688" w:rsidRPr="0024327D" w:rsidRDefault="008E5688" w:rsidP="008E5688">
      <w:pPr>
        <w:rPr>
          <w:lang w:val="uk-UA"/>
        </w:rPr>
      </w:pPr>
      <w:r w:rsidRPr="0024327D">
        <w:rPr>
          <w:lang w:val="uk-UA"/>
        </w:rPr>
        <w:t>Оскільки не існує такого поняття як компанія спеціального призначення та спеціальних норм, що застосовуються до її правовідносин з іншими особами, відокремлення емітента та компанії спеціального призначення (власника активу) спричиняє виникнення таких питань нормативно-правового регулювання в Україні:</w:t>
      </w:r>
    </w:p>
    <w:p w14:paraId="48EC2C39" w14:textId="667EFCD7" w:rsidR="008E5688" w:rsidRPr="0024327D" w:rsidRDefault="008E5688" w:rsidP="002842E1">
      <w:pPr>
        <w:pStyle w:val="a4"/>
        <w:numPr>
          <w:ilvl w:val="0"/>
          <w:numId w:val="25"/>
        </w:numPr>
        <w:rPr>
          <w:lang w:val="uk-UA"/>
        </w:rPr>
      </w:pPr>
      <w:r w:rsidRPr="0024327D">
        <w:rPr>
          <w:lang w:val="uk-UA"/>
        </w:rPr>
        <w:t xml:space="preserve">якщо компанію спеціального призначення було засновано </w:t>
      </w:r>
      <w:r w:rsidR="00D2528F" w:rsidRPr="0024327D">
        <w:rPr>
          <w:lang w:val="uk-UA"/>
        </w:rPr>
        <w:t>емітентом, який потім</w:t>
      </w:r>
      <w:r w:rsidR="00592045" w:rsidRPr="0024327D">
        <w:rPr>
          <w:lang w:val="uk-UA"/>
        </w:rPr>
        <w:t xml:space="preserve"> став неплатоспроможним</w:t>
      </w:r>
      <w:r w:rsidRPr="0024327D">
        <w:rPr>
          <w:lang w:val="uk-UA"/>
        </w:rPr>
        <w:t xml:space="preserve">, акції (частки) останнього у компанії спеціального призначення будуть включені до ліквідаційної маси </w:t>
      </w:r>
      <w:r w:rsidR="00592045" w:rsidRPr="0024327D">
        <w:rPr>
          <w:lang w:val="uk-UA"/>
        </w:rPr>
        <w:t>емітента</w:t>
      </w:r>
      <w:r w:rsidRPr="0024327D">
        <w:rPr>
          <w:lang w:val="uk-UA"/>
        </w:rPr>
        <w:t>, а потім продані на аукціоні;</w:t>
      </w:r>
    </w:p>
    <w:p w14:paraId="276953F6" w14:textId="30B6B121" w:rsidR="008E5688" w:rsidRPr="0024327D" w:rsidRDefault="008E5688" w:rsidP="002842E1">
      <w:pPr>
        <w:pStyle w:val="a4"/>
        <w:numPr>
          <w:ilvl w:val="0"/>
          <w:numId w:val="25"/>
        </w:numPr>
        <w:rPr>
          <w:lang w:val="uk-UA"/>
        </w:rPr>
      </w:pPr>
      <w:r w:rsidRPr="0024327D">
        <w:rPr>
          <w:lang w:val="uk-UA"/>
        </w:rPr>
        <w:t xml:space="preserve">механізми </w:t>
      </w:r>
      <w:r w:rsidR="00B415FB" w:rsidRPr="0024327D">
        <w:rPr>
          <w:lang w:val="uk-UA"/>
        </w:rPr>
        <w:t>зниження кредитного ризику</w:t>
      </w:r>
      <w:r w:rsidRPr="0024327D">
        <w:rPr>
          <w:lang w:val="uk-UA"/>
        </w:rPr>
        <w:t xml:space="preserve">, що надаються компанією спеціального призначення щодо облігацій, будуть застосовані у разі банкрутства </w:t>
      </w:r>
      <w:r w:rsidR="00592045" w:rsidRPr="0024327D">
        <w:rPr>
          <w:lang w:val="uk-UA"/>
        </w:rPr>
        <w:t>емітента</w:t>
      </w:r>
      <w:r w:rsidRPr="0024327D">
        <w:rPr>
          <w:lang w:val="uk-UA"/>
        </w:rPr>
        <w:t>;</w:t>
      </w:r>
    </w:p>
    <w:p w14:paraId="0EC6C243" w14:textId="0D8C4491" w:rsidR="008E5688" w:rsidRPr="0024327D" w:rsidRDefault="008E5688" w:rsidP="002842E1">
      <w:pPr>
        <w:pStyle w:val="a4"/>
        <w:numPr>
          <w:ilvl w:val="0"/>
          <w:numId w:val="25"/>
        </w:numPr>
        <w:rPr>
          <w:lang w:val="uk-UA"/>
        </w:rPr>
      </w:pPr>
      <w:r w:rsidRPr="0024327D">
        <w:rPr>
          <w:lang w:val="uk-UA"/>
        </w:rPr>
        <w:lastRenderedPageBreak/>
        <w:t xml:space="preserve">Фонд гарантування вкладів фізичних осіб </w:t>
      </w:r>
      <w:r w:rsidR="00714DC2" w:rsidRPr="0024327D">
        <w:rPr>
          <w:lang w:val="uk-UA"/>
        </w:rPr>
        <w:t>(«</w:t>
      </w:r>
      <w:bookmarkStart w:id="149" w:name="_Hlk95461733"/>
      <w:r w:rsidR="00714DC2" w:rsidRPr="0024327D">
        <w:rPr>
          <w:lang w:val="uk-UA"/>
        </w:rPr>
        <w:t>ФГВФО</w:t>
      </w:r>
      <w:bookmarkEnd w:id="149"/>
      <w:r w:rsidR="00714DC2" w:rsidRPr="0024327D">
        <w:rPr>
          <w:lang w:val="uk-UA"/>
        </w:rPr>
        <w:t xml:space="preserve">») </w:t>
      </w:r>
      <w:r w:rsidRPr="0024327D">
        <w:rPr>
          <w:lang w:val="uk-UA"/>
        </w:rPr>
        <w:t>мож</w:t>
      </w:r>
      <w:r w:rsidR="002C2DA5" w:rsidRPr="0024327D">
        <w:rPr>
          <w:lang w:val="uk-UA"/>
        </w:rPr>
        <w:t>е</w:t>
      </w:r>
      <w:r w:rsidRPr="0024327D">
        <w:rPr>
          <w:lang w:val="uk-UA"/>
        </w:rPr>
        <w:t xml:space="preserve"> здійснювати свої повноваження щодо </w:t>
      </w:r>
      <w:r w:rsidR="002F5623" w:rsidRPr="0024327D">
        <w:rPr>
          <w:lang w:val="uk-UA"/>
        </w:rPr>
        <w:t>визнання недійсними правочинів</w:t>
      </w:r>
      <w:r w:rsidR="00C51ED1" w:rsidRPr="0024327D">
        <w:rPr>
          <w:lang w:val="uk-UA"/>
        </w:rPr>
        <w:t xml:space="preserve"> або застосування наслідків нікчемності правочинів</w:t>
      </w:r>
      <w:r w:rsidR="002F5623" w:rsidRPr="0024327D">
        <w:rPr>
          <w:lang w:val="uk-UA"/>
        </w:rPr>
        <w:t xml:space="preserve">, що передували </w:t>
      </w:r>
      <w:r w:rsidRPr="0024327D">
        <w:rPr>
          <w:lang w:val="uk-UA"/>
        </w:rPr>
        <w:t>неплатоспроможності</w:t>
      </w:r>
      <w:r w:rsidR="002F5623" w:rsidRPr="0024327D">
        <w:rPr>
          <w:lang w:val="uk-UA"/>
        </w:rPr>
        <w:t>,</w:t>
      </w:r>
      <w:r w:rsidRPr="0024327D">
        <w:rPr>
          <w:lang w:val="uk-UA"/>
        </w:rPr>
        <w:t xml:space="preserve"> з метою визнання недійсною передач</w:t>
      </w:r>
      <w:r w:rsidR="007E6D86" w:rsidRPr="0024327D">
        <w:rPr>
          <w:lang w:val="uk-UA"/>
        </w:rPr>
        <w:t>у</w:t>
      </w:r>
      <w:r w:rsidRPr="0024327D">
        <w:rPr>
          <w:lang w:val="uk-UA"/>
        </w:rPr>
        <w:t xml:space="preserve"> активів компанії спеціального призначення. Деякі з </w:t>
      </w:r>
      <w:r w:rsidR="001D4F4D" w:rsidRPr="0024327D">
        <w:rPr>
          <w:lang w:val="uk-UA"/>
        </w:rPr>
        <w:t>таких повноважень</w:t>
      </w:r>
      <w:r w:rsidR="008F475A" w:rsidRPr="0024327D" w:rsidDel="008F475A">
        <w:rPr>
          <w:lang w:val="uk-UA"/>
        </w:rPr>
        <w:t xml:space="preserve"> </w:t>
      </w:r>
      <w:r w:rsidRPr="0024327D">
        <w:rPr>
          <w:lang w:val="uk-UA"/>
        </w:rPr>
        <w:t xml:space="preserve">можуть вважатися досить суворими і </w:t>
      </w:r>
      <w:r w:rsidR="00234EA2" w:rsidRPr="0024327D">
        <w:rPr>
          <w:lang w:val="uk-UA"/>
        </w:rPr>
        <w:t>їх застосування</w:t>
      </w:r>
      <w:r w:rsidR="001D4F4D" w:rsidRPr="0024327D">
        <w:rPr>
          <w:lang w:val="uk-UA"/>
        </w:rPr>
        <w:t xml:space="preserve"> повинно бути обмежене</w:t>
      </w:r>
      <w:r w:rsidR="00A535BA" w:rsidRPr="0024327D">
        <w:rPr>
          <w:lang w:val="uk-UA"/>
        </w:rPr>
        <w:t xml:space="preserve">. Хоча ФГВФО повинен зберегти свої повноваження </w:t>
      </w:r>
      <w:r w:rsidR="00031EDF" w:rsidRPr="0024327D">
        <w:rPr>
          <w:lang w:val="uk-UA"/>
        </w:rPr>
        <w:t xml:space="preserve">щодо </w:t>
      </w:r>
      <w:r w:rsidR="00A535BA" w:rsidRPr="0024327D">
        <w:rPr>
          <w:lang w:val="uk-UA"/>
        </w:rPr>
        <w:t>визна</w:t>
      </w:r>
      <w:r w:rsidR="00031EDF" w:rsidRPr="0024327D">
        <w:rPr>
          <w:lang w:val="uk-UA"/>
        </w:rPr>
        <w:t>ння</w:t>
      </w:r>
      <w:r w:rsidR="00A535BA" w:rsidRPr="0024327D">
        <w:rPr>
          <w:lang w:val="uk-UA"/>
        </w:rPr>
        <w:t xml:space="preserve"> недійсними шахрайські операцій, він не повинен мати можливість визнавати недійсними ринкові операції на основі лише формальних підстав або характеристик облігацій</w:t>
      </w:r>
      <w:r w:rsidR="00031EDF" w:rsidRPr="0024327D">
        <w:rPr>
          <w:lang w:val="uk-UA"/>
        </w:rPr>
        <w:t>, забезпечених активами,</w:t>
      </w:r>
      <w:r w:rsidR="00A535BA" w:rsidRPr="0024327D">
        <w:rPr>
          <w:lang w:val="uk-UA"/>
        </w:rPr>
        <w:t xml:space="preserve"> та облігацій з покриттям (наприклад, передач</w:t>
      </w:r>
      <w:r w:rsidR="00031EDF" w:rsidRPr="0024327D">
        <w:rPr>
          <w:lang w:val="uk-UA"/>
        </w:rPr>
        <w:t>у</w:t>
      </w:r>
      <w:r w:rsidR="00A535BA" w:rsidRPr="0024327D">
        <w:rPr>
          <w:lang w:val="uk-UA"/>
        </w:rPr>
        <w:t xml:space="preserve"> активів компанії спеціального призначення, якщо </w:t>
      </w:r>
      <w:r w:rsidR="00031EDF" w:rsidRPr="0024327D">
        <w:rPr>
          <w:lang w:val="uk-UA"/>
        </w:rPr>
        <w:t>вона є</w:t>
      </w:r>
      <w:r w:rsidR="00A535BA" w:rsidRPr="0024327D">
        <w:rPr>
          <w:lang w:val="uk-UA"/>
        </w:rPr>
        <w:t xml:space="preserve"> </w:t>
      </w:r>
      <w:r w:rsidR="00031EDF" w:rsidRPr="0024327D">
        <w:rPr>
          <w:lang w:val="uk-UA"/>
        </w:rPr>
        <w:t xml:space="preserve">пов'язаною </w:t>
      </w:r>
      <w:r w:rsidR="00A535BA" w:rsidRPr="0024327D">
        <w:rPr>
          <w:lang w:val="uk-UA"/>
        </w:rPr>
        <w:t>особ</w:t>
      </w:r>
      <w:r w:rsidR="00031EDF" w:rsidRPr="0024327D">
        <w:rPr>
          <w:lang w:val="uk-UA"/>
        </w:rPr>
        <w:t>ою оригінатора</w:t>
      </w:r>
      <w:r w:rsidR="00A535BA" w:rsidRPr="0024327D">
        <w:rPr>
          <w:lang w:val="uk-UA"/>
        </w:rPr>
        <w:t>, або надлишкове забезпечення)</w:t>
      </w:r>
      <w:r w:rsidRPr="0024327D">
        <w:rPr>
          <w:lang w:val="uk-UA"/>
        </w:rPr>
        <w:t>;</w:t>
      </w:r>
    </w:p>
    <w:p w14:paraId="7A173929" w14:textId="6711DD9A" w:rsidR="008E5688" w:rsidRPr="0024327D" w:rsidRDefault="008E5688" w:rsidP="002842E1">
      <w:pPr>
        <w:pStyle w:val="a4"/>
        <w:numPr>
          <w:ilvl w:val="0"/>
          <w:numId w:val="25"/>
        </w:numPr>
        <w:rPr>
          <w:lang w:val="uk-UA"/>
        </w:rPr>
      </w:pPr>
      <w:r w:rsidRPr="0024327D">
        <w:rPr>
          <w:lang w:val="uk-UA"/>
        </w:rPr>
        <w:t>якщо компанія спеціального призначення кваліфікується як пов’язана особа банку, Ф</w:t>
      </w:r>
      <w:r w:rsidR="00662AAD" w:rsidRPr="0024327D">
        <w:rPr>
          <w:lang w:val="uk-UA"/>
        </w:rPr>
        <w:t>ГВФО</w:t>
      </w:r>
      <w:r w:rsidRPr="0024327D">
        <w:rPr>
          <w:lang w:val="uk-UA"/>
        </w:rPr>
        <w:t xml:space="preserve"> може у певних випадках конвертувати </w:t>
      </w:r>
      <w:r w:rsidR="00234EA2" w:rsidRPr="0024327D">
        <w:rPr>
          <w:lang w:val="uk-UA"/>
        </w:rPr>
        <w:t xml:space="preserve">права вимоги компанії спеціального призначення </w:t>
      </w:r>
      <w:r w:rsidRPr="0024327D">
        <w:rPr>
          <w:lang w:val="uk-UA"/>
        </w:rPr>
        <w:t xml:space="preserve">у </w:t>
      </w:r>
      <w:r w:rsidR="00234EA2" w:rsidRPr="0024327D">
        <w:rPr>
          <w:lang w:val="uk-UA"/>
        </w:rPr>
        <w:t xml:space="preserve">акції банку </w:t>
      </w:r>
      <w:r w:rsidRPr="0024327D">
        <w:rPr>
          <w:lang w:val="uk-UA"/>
        </w:rPr>
        <w:t xml:space="preserve">(тобто скасувати будь-яке боргове зобов’язання банку перед компанією спеціального призначення). Саме так сталося з єврооблігаціями націоналізованого </w:t>
      </w:r>
      <w:r w:rsidR="00C02284" w:rsidRPr="0024327D">
        <w:rPr>
          <w:lang w:val="uk-UA"/>
        </w:rPr>
        <w:t>ПриватБанку</w:t>
      </w:r>
      <w:r w:rsidRPr="0024327D">
        <w:rPr>
          <w:lang w:val="uk-UA"/>
        </w:rPr>
        <w:t>, який використовував офшорну (іноземну) компанію спеціального призначення для випуску своїх облігацій участі у позиках;</w:t>
      </w:r>
    </w:p>
    <w:p w14:paraId="67F8DC45" w14:textId="336F37FC" w:rsidR="008E5688" w:rsidRPr="0024327D" w:rsidRDefault="008E5688" w:rsidP="002842E1">
      <w:pPr>
        <w:pStyle w:val="a4"/>
        <w:numPr>
          <w:ilvl w:val="0"/>
          <w:numId w:val="25"/>
        </w:numPr>
        <w:rPr>
          <w:lang w:val="uk-UA"/>
        </w:rPr>
      </w:pPr>
      <w:r w:rsidRPr="0024327D">
        <w:rPr>
          <w:lang w:val="uk-UA"/>
        </w:rPr>
        <w:t>в Україні не існує поняття гарантії відшкодування</w:t>
      </w:r>
      <w:r w:rsidR="00662AAD" w:rsidRPr="0024327D">
        <w:rPr>
          <w:lang w:val="uk-UA"/>
        </w:rPr>
        <w:t xml:space="preserve"> (</w:t>
      </w:r>
      <w:r w:rsidR="00662AAD" w:rsidRPr="0024327D">
        <w:rPr>
          <w:lang w:val="ru-RU"/>
        </w:rPr>
        <w:t>“</w:t>
      </w:r>
      <w:r w:rsidR="00662AAD" w:rsidRPr="0024327D">
        <w:rPr>
          <w:i/>
          <w:iCs/>
          <w:lang w:val="en-US"/>
        </w:rPr>
        <w:t>indemnity</w:t>
      </w:r>
      <w:r w:rsidR="00662AAD" w:rsidRPr="0024327D">
        <w:rPr>
          <w:lang w:val="ru-RU"/>
        </w:rPr>
        <w:t>”)</w:t>
      </w:r>
      <w:r w:rsidRPr="0024327D">
        <w:rPr>
          <w:lang w:val="uk-UA"/>
        </w:rPr>
        <w:t xml:space="preserve">, подібного до того, що застосовується в англійському </w:t>
      </w:r>
      <w:r w:rsidR="00D27804" w:rsidRPr="0024327D">
        <w:rPr>
          <w:lang w:val="uk-UA"/>
        </w:rPr>
        <w:t xml:space="preserve">праві </w:t>
      </w:r>
      <w:r w:rsidRPr="0024327D">
        <w:rPr>
          <w:lang w:val="uk-UA"/>
        </w:rPr>
        <w:t xml:space="preserve">- без законодавчого введення такого поняття можуть виникнути складнощі при </w:t>
      </w:r>
      <w:r w:rsidR="00FB6E55" w:rsidRPr="0024327D">
        <w:rPr>
          <w:lang w:val="uk-UA"/>
        </w:rPr>
        <w:t xml:space="preserve">наданні </w:t>
      </w:r>
      <w:r w:rsidRPr="0024327D">
        <w:rPr>
          <w:lang w:val="uk-UA"/>
        </w:rPr>
        <w:t xml:space="preserve">гарантії відшкодування з боку </w:t>
      </w:r>
      <w:r w:rsidR="00643B4F" w:rsidRPr="0024327D">
        <w:rPr>
          <w:lang w:val="uk-UA"/>
        </w:rPr>
        <w:t>е</w:t>
      </w:r>
      <w:r w:rsidRPr="0024327D">
        <w:rPr>
          <w:lang w:val="uk-UA"/>
        </w:rPr>
        <w:t>мітента на користь компанії спеціального призначення за договором;</w:t>
      </w:r>
    </w:p>
    <w:p w14:paraId="51271F01" w14:textId="4CC38C9F" w:rsidR="008E5688" w:rsidRPr="0024327D" w:rsidRDefault="008E5688" w:rsidP="002842E1">
      <w:pPr>
        <w:pStyle w:val="a4"/>
        <w:numPr>
          <w:ilvl w:val="0"/>
          <w:numId w:val="25"/>
        </w:numPr>
        <w:rPr>
          <w:lang w:val="uk-UA"/>
        </w:rPr>
      </w:pPr>
      <w:r w:rsidRPr="0024327D">
        <w:rPr>
          <w:lang w:val="uk-UA"/>
        </w:rPr>
        <w:t xml:space="preserve">в Україні лише певні фінансові установи можуть залучати субординовані позики, отже, слід внести зміни до існуючого правового режиму, щоб дозволити компанії спеціального призначення (яка не є фінансовою установою) залучати субординовані позики від </w:t>
      </w:r>
      <w:r w:rsidR="00643B4F" w:rsidRPr="0024327D">
        <w:rPr>
          <w:lang w:val="uk-UA"/>
        </w:rPr>
        <w:t>е</w:t>
      </w:r>
      <w:r w:rsidRPr="0024327D">
        <w:rPr>
          <w:lang w:val="uk-UA"/>
        </w:rPr>
        <w:t xml:space="preserve">мітента. </w:t>
      </w:r>
    </w:p>
    <w:p w14:paraId="64DD3E54" w14:textId="040A90FE" w:rsidR="008E5688" w:rsidRPr="0024327D" w:rsidRDefault="00F30D1C" w:rsidP="001A3C33">
      <w:pPr>
        <w:keepNext/>
        <w:keepLines/>
        <w:numPr>
          <w:ilvl w:val="2"/>
          <w:numId w:val="20"/>
        </w:numPr>
        <w:spacing w:before="240" w:line="240" w:lineRule="auto"/>
        <w:ind w:left="0" w:firstLine="0"/>
        <w:outlineLvl w:val="2"/>
        <w:rPr>
          <w:rFonts w:eastAsiaTheme="majorEastAsia" w:cstheme="majorBidi"/>
          <w:color w:val="2E74B5" w:themeColor="accent1" w:themeShade="BF"/>
          <w:sz w:val="28"/>
          <w:szCs w:val="28"/>
          <w:lang w:val="uk-UA"/>
        </w:rPr>
      </w:pPr>
      <w:bookmarkStart w:id="150" w:name="_Toc8065611"/>
      <w:bookmarkStart w:id="151" w:name="_Toc8065680"/>
      <w:bookmarkStart w:id="152" w:name="_Toc8065748"/>
      <w:bookmarkStart w:id="153" w:name="_Toc8065815"/>
      <w:bookmarkStart w:id="154" w:name="_Toc95481013"/>
      <w:bookmarkStart w:id="155" w:name="_Toc5081058"/>
      <w:bookmarkEnd w:id="150"/>
      <w:bookmarkEnd w:id="151"/>
      <w:bookmarkEnd w:id="152"/>
      <w:bookmarkEnd w:id="153"/>
      <w:r w:rsidRPr="0024327D">
        <w:rPr>
          <w:rFonts w:eastAsiaTheme="majorEastAsia" w:cstheme="majorBidi"/>
          <w:color w:val="2E74B5" w:themeColor="accent1" w:themeShade="BF"/>
          <w:sz w:val="28"/>
          <w:szCs w:val="28"/>
          <w:lang w:val="uk-UA"/>
        </w:rPr>
        <w:t xml:space="preserve">Режим пулу </w:t>
      </w:r>
      <w:r w:rsidR="00C93CE0" w:rsidRPr="0024327D">
        <w:rPr>
          <w:rFonts w:eastAsiaTheme="majorEastAsia" w:cstheme="majorBidi"/>
          <w:color w:val="2E74B5" w:themeColor="accent1" w:themeShade="BF"/>
          <w:sz w:val="28"/>
          <w:szCs w:val="28"/>
          <w:lang w:val="uk-UA"/>
        </w:rPr>
        <w:t xml:space="preserve">покриття </w:t>
      </w:r>
      <w:r w:rsidR="008E5688" w:rsidRPr="0024327D">
        <w:rPr>
          <w:rFonts w:eastAsiaTheme="majorEastAsia" w:cstheme="majorBidi"/>
          <w:color w:val="2E74B5" w:themeColor="accent1" w:themeShade="BF"/>
          <w:sz w:val="28"/>
          <w:szCs w:val="28"/>
          <w:lang w:val="uk-UA"/>
        </w:rPr>
        <w:t>у разі неплатоспроможності</w:t>
      </w:r>
      <w:bookmarkEnd w:id="154"/>
    </w:p>
    <w:p w14:paraId="16AD1BF9" w14:textId="01DE7AD2" w:rsidR="008E5688" w:rsidRPr="0024327D" w:rsidRDefault="008E5688" w:rsidP="008E5688">
      <w:pPr>
        <w:rPr>
          <w:color w:val="000000"/>
          <w:lang w:val="uk-UA" w:eastAsia="uk-UA"/>
        </w:rPr>
      </w:pPr>
      <w:r w:rsidRPr="0024327D">
        <w:rPr>
          <w:color w:val="000000"/>
          <w:lang w:val="uk-UA" w:eastAsia="uk-UA"/>
        </w:rPr>
        <w:t xml:space="preserve">Правове регулювання банкрутства в Україні забезпечує більш високий захист інвесторів у звичайні іпотечні облігації (який подібний до правового регулювання </w:t>
      </w:r>
      <w:r w:rsidR="00645A85" w:rsidRPr="0024327D">
        <w:rPr>
          <w:color w:val="000000"/>
          <w:lang w:val="uk-UA" w:eastAsia="uk-UA"/>
        </w:rPr>
        <w:t>облігацій з покриттям</w:t>
      </w:r>
      <w:r w:rsidRPr="0024327D">
        <w:rPr>
          <w:color w:val="000000"/>
          <w:lang w:val="uk-UA" w:eastAsia="uk-UA"/>
        </w:rPr>
        <w:t xml:space="preserve">) порівняно з більшістю інших кредиторів емітента. Однак через нечасті випуски звичайних </w:t>
      </w:r>
      <w:r w:rsidR="00BC3848" w:rsidRPr="0024327D">
        <w:rPr>
          <w:color w:val="000000"/>
          <w:lang w:val="uk-UA" w:eastAsia="uk-UA"/>
        </w:rPr>
        <w:t xml:space="preserve"> іпотечних облігацій </w:t>
      </w:r>
      <w:r w:rsidRPr="0024327D">
        <w:rPr>
          <w:color w:val="000000"/>
          <w:lang w:val="uk-UA" w:eastAsia="uk-UA"/>
        </w:rPr>
        <w:t xml:space="preserve">в Україні </w:t>
      </w:r>
      <w:r w:rsidR="00234CF2" w:rsidRPr="0024327D">
        <w:rPr>
          <w:color w:val="000000"/>
          <w:lang w:val="uk-UA" w:eastAsia="uk-UA"/>
        </w:rPr>
        <w:t xml:space="preserve">дієвість </w:t>
      </w:r>
      <w:r w:rsidRPr="0024327D">
        <w:rPr>
          <w:color w:val="000000"/>
          <w:lang w:val="uk-UA" w:eastAsia="uk-UA"/>
        </w:rPr>
        <w:t>так</w:t>
      </w:r>
      <w:r w:rsidR="00234CF2" w:rsidRPr="0024327D">
        <w:rPr>
          <w:color w:val="000000"/>
          <w:lang w:val="uk-UA" w:eastAsia="uk-UA"/>
        </w:rPr>
        <w:t>ого</w:t>
      </w:r>
      <w:r w:rsidRPr="0024327D">
        <w:rPr>
          <w:color w:val="000000"/>
          <w:lang w:val="uk-UA" w:eastAsia="uk-UA"/>
        </w:rPr>
        <w:t xml:space="preserve"> правов</w:t>
      </w:r>
      <w:r w:rsidR="00234CF2" w:rsidRPr="0024327D">
        <w:rPr>
          <w:color w:val="000000"/>
          <w:lang w:val="uk-UA" w:eastAsia="uk-UA"/>
        </w:rPr>
        <w:t>ого</w:t>
      </w:r>
      <w:r w:rsidRPr="0024327D">
        <w:rPr>
          <w:color w:val="000000"/>
          <w:lang w:val="uk-UA" w:eastAsia="uk-UA"/>
        </w:rPr>
        <w:t xml:space="preserve"> регулювання на практиці</w:t>
      </w:r>
      <w:r w:rsidR="00234CF2" w:rsidRPr="0024327D">
        <w:rPr>
          <w:color w:val="000000"/>
          <w:lang w:val="uk-UA" w:eastAsia="uk-UA"/>
        </w:rPr>
        <w:t xml:space="preserve"> не була </w:t>
      </w:r>
      <w:r w:rsidR="007B718D" w:rsidRPr="0024327D">
        <w:rPr>
          <w:color w:val="000000"/>
          <w:lang w:val="uk-UA" w:eastAsia="uk-UA"/>
        </w:rPr>
        <w:t>апробована</w:t>
      </w:r>
      <w:r w:rsidRPr="0024327D">
        <w:rPr>
          <w:color w:val="000000"/>
          <w:lang w:val="uk-UA" w:eastAsia="uk-UA"/>
        </w:rPr>
        <w:t>.</w:t>
      </w:r>
    </w:p>
    <w:p w14:paraId="0A16D1D0" w14:textId="16F7739D" w:rsidR="008E5688" w:rsidRPr="0024327D" w:rsidRDefault="007B718D" w:rsidP="008E5688">
      <w:pPr>
        <w:rPr>
          <w:color w:val="000000"/>
          <w:lang w:val="uk-UA" w:eastAsia="uk-UA"/>
        </w:rPr>
      </w:pPr>
      <w:r w:rsidRPr="0024327D">
        <w:rPr>
          <w:color w:val="000000"/>
          <w:lang w:val="uk-UA" w:eastAsia="uk-UA"/>
        </w:rPr>
        <w:t>Законодавча база України</w:t>
      </w:r>
      <w:r w:rsidR="008E5688" w:rsidRPr="0024327D">
        <w:rPr>
          <w:color w:val="000000"/>
          <w:lang w:val="uk-UA" w:eastAsia="uk-UA"/>
        </w:rPr>
        <w:t xml:space="preserve"> про банкрутство (тобто Закон </w:t>
      </w:r>
      <w:r w:rsidR="00064891" w:rsidRPr="0024327D">
        <w:rPr>
          <w:lang w:val="uk-UA"/>
        </w:rPr>
        <w:t>“</w:t>
      </w:r>
      <w:r w:rsidR="00064891" w:rsidRPr="0024327D">
        <w:rPr>
          <w:color w:val="000000"/>
          <w:lang w:val="uk-UA" w:eastAsia="uk-UA"/>
        </w:rPr>
        <w:t>Про систему гарантування вкладів фізичних осіб</w:t>
      </w:r>
      <w:r w:rsidR="00064891" w:rsidRPr="0024327D">
        <w:rPr>
          <w:lang w:val="uk-UA"/>
        </w:rPr>
        <w:t>”</w:t>
      </w:r>
      <w:r w:rsidR="008E5688" w:rsidRPr="0024327D">
        <w:rPr>
          <w:color w:val="000000"/>
          <w:lang w:val="uk-UA" w:eastAsia="uk-UA"/>
        </w:rPr>
        <w:t xml:space="preserve"> та Кодекс України з процедур банкрутства) передбачають, що активи</w:t>
      </w:r>
      <w:r w:rsidR="005523DA" w:rsidRPr="0024327D">
        <w:rPr>
          <w:color w:val="000000"/>
          <w:lang w:val="uk-UA" w:eastAsia="uk-UA"/>
        </w:rPr>
        <w:t>, включені до складу іпотечного покриття,</w:t>
      </w:r>
      <w:r w:rsidR="00C93CE0" w:rsidRPr="0024327D">
        <w:rPr>
          <w:lang w:val="uk-UA"/>
        </w:rPr>
        <w:t xml:space="preserve"> </w:t>
      </w:r>
      <w:r w:rsidR="008E5688" w:rsidRPr="0024327D">
        <w:rPr>
          <w:color w:val="000000"/>
          <w:lang w:val="uk-UA" w:eastAsia="uk-UA"/>
        </w:rPr>
        <w:t xml:space="preserve">не повинні потрапляти до ліквідаційної маси емітента, а їх відчуження повинно здійснюватися відповідно до Закону </w:t>
      </w:r>
      <w:r w:rsidR="00064891" w:rsidRPr="0024327D">
        <w:rPr>
          <w:lang w:val="uk-UA"/>
        </w:rPr>
        <w:t>“</w:t>
      </w:r>
      <w:r w:rsidR="008E5688" w:rsidRPr="0024327D">
        <w:rPr>
          <w:color w:val="000000"/>
          <w:lang w:val="uk-UA" w:eastAsia="uk-UA"/>
        </w:rPr>
        <w:t>Про іпотечні облігації</w:t>
      </w:r>
      <w:r w:rsidR="00064891" w:rsidRPr="0024327D">
        <w:rPr>
          <w:lang w:val="uk-UA"/>
        </w:rPr>
        <w:t>”</w:t>
      </w:r>
      <w:r w:rsidR="008E5688" w:rsidRPr="0024327D">
        <w:rPr>
          <w:color w:val="000000"/>
          <w:lang w:val="uk-UA" w:eastAsia="uk-UA"/>
        </w:rPr>
        <w:t>.</w:t>
      </w:r>
      <w:bookmarkEnd w:id="155"/>
      <w:r w:rsidR="00E14E56" w:rsidRPr="0024327D">
        <w:rPr>
          <w:color w:val="000000"/>
          <w:lang w:val="uk-UA" w:eastAsia="uk-UA"/>
        </w:rPr>
        <w:t xml:space="preserve"> </w:t>
      </w:r>
      <w:r w:rsidR="00BC3848" w:rsidRPr="0024327D">
        <w:rPr>
          <w:color w:val="000000"/>
          <w:lang w:val="uk-UA" w:eastAsia="uk-UA"/>
        </w:rPr>
        <w:t>Зазначений закон</w:t>
      </w:r>
      <w:r w:rsidR="008E5688" w:rsidRPr="0024327D">
        <w:rPr>
          <w:color w:val="000000"/>
          <w:lang w:val="uk-UA" w:eastAsia="uk-UA"/>
        </w:rPr>
        <w:t xml:space="preserve">, у свою чергу, передбачає, що </w:t>
      </w:r>
      <w:r w:rsidR="008B164E" w:rsidRPr="0024327D">
        <w:rPr>
          <w:color w:val="000000"/>
          <w:lang w:val="uk-UA" w:eastAsia="uk-UA"/>
        </w:rPr>
        <w:t>управитель покриттям</w:t>
      </w:r>
      <w:r w:rsidR="00C10049" w:rsidRPr="0024327D">
        <w:rPr>
          <w:color w:val="000000"/>
          <w:lang w:val="uk-UA" w:eastAsia="uk-UA"/>
        </w:rPr>
        <w:t>/</w:t>
      </w:r>
      <w:r w:rsidR="00F54E9D" w:rsidRPr="0024327D">
        <w:rPr>
          <w:color w:val="000000"/>
          <w:lang w:val="uk-UA" w:eastAsia="uk-UA"/>
        </w:rPr>
        <w:t xml:space="preserve"> </w:t>
      </w:r>
      <w:r w:rsidR="00B80C94" w:rsidRPr="0024327D">
        <w:rPr>
          <w:color w:val="000000"/>
          <w:lang w:val="uk-UA" w:eastAsia="uk-UA"/>
        </w:rPr>
        <w:t>адміністратор за випуском облігацій</w:t>
      </w:r>
      <w:r w:rsidR="00C93CE0" w:rsidRPr="0024327D">
        <w:rPr>
          <w:lang w:val="uk-UA"/>
        </w:rPr>
        <w:t xml:space="preserve"> </w:t>
      </w:r>
      <w:r w:rsidR="008E5688" w:rsidRPr="0024327D">
        <w:rPr>
          <w:color w:val="000000"/>
          <w:lang w:val="uk-UA" w:eastAsia="uk-UA"/>
        </w:rPr>
        <w:t>повинен звернути стягнення</w:t>
      </w:r>
      <w:r w:rsidR="00DA7846" w:rsidRPr="0024327D">
        <w:rPr>
          <w:color w:val="000000"/>
          <w:lang w:val="uk-UA" w:eastAsia="uk-UA"/>
        </w:rPr>
        <w:t xml:space="preserve"> на іпотечне покриття</w:t>
      </w:r>
      <w:r w:rsidR="008E5688" w:rsidRPr="0024327D">
        <w:rPr>
          <w:color w:val="000000"/>
          <w:lang w:val="uk-UA" w:eastAsia="uk-UA"/>
        </w:rPr>
        <w:t xml:space="preserve">  та продати активи</w:t>
      </w:r>
      <w:r w:rsidR="004B4A09" w:rsidRPr="0024327D">
        <w:rPr>
          <w:color w:val="000000"/>
          <w:lang w:val="uk-UA" w:eastAsia="uk-UA"/>
        </w:rPr>
        <w:t>, включені до складу іпотечного покриття,</w:t>
      </w:r>
      <w:r w:rsidR="00C93CE0" w:rsidRPr="0024327D">
        <w:rPr>
          <w:lang w:val="uk-UA"/>
        </w:rPr>
        <w:t xml:space="preserve"> </w:t>
      </w:r>
      <w:r w:rsidR="008E5688" w:rsidRPr="0024327D">
        <w:rPr>
          <w:color w:val="000000"/>
          <w:lang w:val="uk-UA" w:eastAsia="uk-UA"/>
        </w:rPr>
        <w:t xml:space="preserve">після введення тимчасової адміністрації або відкриття провадження у справі про банкрутство емітента, а потім розподілити виручку від продажу серед інвесторів. Для вищевказаних цілей Закон </w:t>
      </w:r>
      <w:r w:rsidR="00064891" w:rsidRPr="0024327D">
        <w:rPr>
          <w:lang w:val="uk-UA"/>
        </w:rPr>
        <w:t>“</w:t>
      </w:r>
      <w:r w:rsidR="00064891" w:rsidRPr="0024327D">
        <w:rPr>
          <w:color w:val="000000"/>
          <w:lang w:val="uk-UA" w:eastAsia="uk-UA"/>
        </w:rPr>
        <w:t>Про іпотечні облігації</w:t>
      </w:r>
      <w:r w:rsidR="00064891" w:rsidRPr="0024327D">
        <w:rPr>
          <w:lang w:val="uk-UA"/>
        </w:rPr>
        <w:t>”</w:t>
      </w:r>
      <w:r w:rsidR="008E5688" w:rsidRPr="0024327D">
        <w:rPr>
          <w:color w:val="000000"/>
          <w:lang w:val="uk-UA" w:eastAsia="uk-UA"/>
        </w:rPr>
        <w:t xml:space="preserve"> звільняє таке звернення стягнення та продаж від мораторію, який зазвичай застосовується до примусового виконання вимог інших кредиторів. Такий режим призводить до розпродажу активів і не відповідає європейській практиці, яка передбачає, що вимоги кредиторів за </w:t>
      </w:r>
      <w:r w:rsidR="00645A85" w:rsidRPr="0024327D">
        <w:rPr>
          <w:color w:val="000000"/>
          <w:lang w:val="uk-UA" w:eastAsia="uk-UA"/>
        </w:rPr>
        <w:t>облігаціями з покриттям</w:t>
      </w:r>
      <w:r w:rsidR="008E5688" w:rsidRPr="0024327D">
        <w:rPr>
          <w:color w:val="000000"/>
          <w:lang w:val="uk-UA" w:eastAsia="uk-UA"/>
        </w:rPr>
        <w:t xml:space="preserve"> залишаються в силі у разі неплатоспроможності або реструктуризації емітента (тобто, облігації </w:t>
      </w:r>
      <w:r w:rsidR="006E1F78" w:rsidRPr="0024327D">
        <w:rPr>
          <w:color w:val="000000"/>
          <w:lang w:val="uk-UA" w:eastAsia="uk-UA"/>
        </w:rPr>
        <w:t xml:space="preserve">з покриттям </w:t>
      </w:r>
      <w:r w:rsidR="008E5688" w:rsidRPr="0024327D">
        <w:rPr>
          <w:color w:val="000000"/>
          <w:lang w:val="uk-UA" w:eastAsia="uk-UA"/>
        </w:rPr>
        <w:t>повинні продовжувати обслуговуватися у звичайному режим</w:t>
      </w:r>
      <w:r w:rsidR="006D1112" w:rsidRPr="0024327D">
        <w:rPr>
          <w:color w:val="000000"/>
          <w:lang w:val="uk-UA" w:eastAsia="uk-UA"/>
        </w:rPr>
        <w:t>і</w:t>
      </w:r>
      <w:r w:rsidR="008E5688" w:rsidRPr="0024327D">
        <w:rPr>
          <w:color w:val="000000"/>
          <w:lang w:val="uk-UA" w:eastAsia="uk-UA"/>
        </w:rPr>
        <w:t>, якщо інвестори не вирішать інакше).</w:t>
      </w:r>
    </w:p>
    <w:p w14:paraId="287BCE70" w14:textId="0CB5C861" w:rsidR="008E5688" w:rsidRPr="0024327D" w:rsidRDefault="008E5688" w:rsidP="008E5688">
      <w:pPr>
        <w:rPr>
          <w:lang w:val="uk-UA"/>
        </w:rPr>
      </w:pPr>
      <w:r w:rsidRPr="0024327D">
        <w:rPr>
          <w:lang w:val="uk-UA"/>
        </w:rPr>
        <w:t xml:space="preserve">Крім того, Закон </w:t>
      </w:r>
      <w:r w:rsidR="00064891" w:rsidRPr="0024327D">
        <w:rPr>
          <w:lang w:val="uk-UA"/>
        </w:rPr>
        <w:t>“</w:t>
      </w:r>
      <w:r w:rsidR="00064891" w:rsidRPr="0024327D">
        <w:rPr>
          <w:color w:val="000000"/>
          <w:lang w:val="uk-UA" w:eastAsia="uk-UA"/>
        </w:rPr>
        <w:t>Про іпотечні облігації</w:t>
      </w:r>
      <w:r w:rsidR="00064891" w:rsidRPr="0024327D">
        <w:rPr>
          <w:lang w:val="uk-UA"/>
        </w:rPr>
        <w:t>”</w:t>
      </w:r>
      <w:r w:rsidRPr="0024327D">
        <w:rPr>
          <w:lang w:val="uk-UA"/>
        </w:rPr>
        <w:t xml:space="preserve"> передбачає, що тимчасовому адміністратору, </w:t>
      </w:r>
      <w:r w:rsidR="006D1112" w:rsidRPr="0024327D">
        <w:rPr>
          <w:lang w:val="uk-UA"/>
        </w:rPr>
        <w:t xml:space="preserve">арбітражному </w:t>
      </w:r>
      <w:r w:rsidRPr="0024327D">
        <w:rPr>
          <w:lang w:val="uk-UA"/>
        </w:rPr>
        <w:t xml:space="preserve">керуючому та іншим учасникам провадження у справі про банкрутство забороняється звертати стягнення на </w:t>
      </w:r>
      <w:r w:rsidR="00391F67" w:rsidRPr="0024327D">
        <w:rPr>
          <w:lang w:val="uk-UA"/>
        </w:rPr>
        <w:t>іпотечне</w:t>
      </w:r>
      <w:r w:rsidRPr="0024327D">
        <w:rPr>
          <w:lang w:val="uk-UA"/>
        </w:rPr>
        <w:t xml:space="preserve"> </w:t>
      </w:r>
      <w:r w:rsidR="00C93CE0" w:rsidRPr="0024327D">
        <w:rPr>
          <w:lang w:val="uk-UA"/>
        </w:rPr>
        <w:t xml:space="preserve">покриття </w:t>
      </w:r>
      <w:r w:rsidRPr="0024327D">
        <w:rPr>
          <w:lang w:val="uk-UA"/>
        </w:rPr>
        <w:t>або визнавати недійсними угоди, укладені емітентом у зв'язку з випуском звичайних</w:t>
      </w:r>
      <w:r w:rsidR="00BC3848" w:rsidRPr="0024327D">
        <w:rPr>
          <w:color w:val="000000"/>
          <w:lang w:val="uk-UA"/>
        </w:rPr>
        <w:t xml:space="preserve"> </w:t>
      </w:r>
      <w:r w:rsidR="00BC3848" w:rsidRPr="0024327D">
        <w:rPr>
          <w:color w:val="000000"/>
          <w:lang w:val="uk-UA" w:eastAsia="uk-UA"/>
        </w:rPr>
        <w:t xml:space="preserve">іпотечних </w:t>
      </w:r>
      <w:r w:rsidR="00BC3848" w:rsidRPr="0024327D">
        <w:rPr>
          <w:color w:val="000000"/>
          <w:lang w:val="uk-UA"/>
        </w:rPr>
        <w:t>облігацій</w:t>
      </w:r>
      <w:r w:rsidRPr="0024327D">
        <w:rPr>
          <w:lang w:val="uk-UA"/>
        </w:rPr>
        <w:t xml:space="preserve">. По суті, така заборона має на меті забезпечити, щоб інші кредитори не могли </w:t>
      </w:r>
      <w:r w:rsidR="00E01146" w:rsidRPr="0024327D">
        <w:rPr>
          <w:lang w:val="uk-UA"/>
        </w:rPr>
        <w:t xml:space="preserve">пред’явити </w:t>
      </w:r>
      <w:r w:rsidRPr="0024327D">
        <w:rPr>
          <w:lang w:val="uk-UA"/>
        </w:rPr>
        <w:t>вимогу щодо активів</w:t>
      </w:r>
      <w:r w:rsidR="00B5043B" w:rsidRPr="0024327D">
        <w:rPr>
          <w:lang w:val="uk-UA"/>
        </w:rPr>
        <w:t>, що включені до складу іпотечного</w:t>
      </w:r>
      <w:r w:rsidRPr="0024327D">
        <w:rPr>
          <w:lang w:val="uk-UA"/>
        </w:rPr>
        <w:t xml:space="preserve"> </w:t>
      </w:r>
      <w:r w:rsidR="00C93CE0" w:rsidRPr="0024327D">
        <w:rPr>
          <w:lang w:val="uk-UA"/>
        </w:rPr>
        <w:t>покриття</w:t>
      </w:r>
      <w:r w:rsidRPr="0024327D">
        <w:rPr>
          <w:lang w:val="uk-UA"/>
        </w:rPr>
        <w:t>, а також, що</w:t>
      </w:r>
      <w:r w:rsidR="00E01146" w:rsidRPr="0024327D">
        <w:rPr>
          <w:lang w:val="uk-UA"/>
        </w:rPr>
        <w:t>б</w:t>
      </w:r>
      <w:r w:rsidRPr="0024327D">
        <w:rPr>
          <w:lang w:val="uk-UA"/>
        </w:rPr>
        <w:t xml:space="preserve"> правила </w:t>
      </w:r>
      <w:r w:rsidR="00E01146" w:rsidRPr="0024327D">
        <w:rPr>
          <w:lang w:val="uk-UA"/>
        </w:rPr>
        <w:t xml:space="preserve">визнання недійсними правочинів, що передували </w:t>
      </w:r>
      <w:r w:rsidRPr="0024327D">
        <w:rPr>
          <w:lang w:val="uk-UA"/>
        </w:rPr>
        <w:lastRenderedPageBreak/>
        <w:t xml:space="preserve">неплатоспроможності не </w:t>
      </w:r>
      <w:r w:rsidR="00E01146" w:rsidRPr="0024327D">
        <w:rPr>
          <w:lang w:val="uk-UA"/>
        </w:rPr>
        <w:t xml:space="preserve">застосовувались </w:t>
      </w:r>
      <w:r w:rsidRPr="0024327D">
        <w:rPr>
          <w:lang w:val="uk-UA"/>
        </w:rPr>
        <w:t xml:space="preserve">до </w:t>
      </w:r>
      <w:r w:rsidR="00923070" w:rsidRPr="0024327D">
        <w:rPr>
          <w:lang w:val="uk-UA"/>
        </w:rPr>
        <w:t xml:space="preserve">звичайних </w:t>
      </w:r>
      <w:r w:rsidR="00923070" w:rsidRPr="0024327D">
        <w:rPr>
          <w:color w:val="000000"/>
          <w:lang w:val="uk-UA" w:eastAsia="uk-UA"/>
        </w:rPr>
        <w:t xml:space="preserve">іпотечних </w:t>
      </w:r>
      <w:r w:rsidR="00923070" w:rsidRPr="0024327D">
        <w:rPr>
          <w:color w:val="000000"/>
          <w:lang w:val="uk-UA"/>
        </w:rPr>
        <w:t>облігацій</w:t>
      </w:r>
      <w:r w:rsidRPr="0024327D">
        <w:rPr>
          <w:lang w:val="uk-UA"/>
        </w:rPr>
        <w:t xml:space="preserve"> та </w:t>
      </w:r>
      <w:r w:rsidR="00B5043B" w:rsidRPr="0024327D">
        <w:rPr>
          <w:lang w:val="uk-UA"/>
        </w:rPr>
        <w:t xml:space="preserve">іпотечного </w:t>
      </w:r>
      <w:r w:rsidR="00C93CE0" w:rsidRPr="0024327D">
        <w:rPr>
          <w:lang w:val="uk-UA"/>
        </w:rPr>
        <w:t>покриття</w:t>
      </w:r>
      <w:r w:rsidRPr="0024327D">
        <w:rPr>
          <w:lang w:val="uk-UA"/>
        </w:rPr>
        <w:t xml:space="preserve">. Це </w:t>
      </w:r>
      <w:r w:rsidR="00E01146" w:rsidRPr="0024327D">
        <w:rPr>
          <w:lang w:val="uk-UA"/>
        </w:rPr>
        <w:t>в основному</w:t>
      </w:r>
      <w:r w:rsidRPr="0024327D">
        <w:rPr>
          <w:lang w:val="uk-UA"/>
        </w:rPr>
        <w:t xml:space="preserve"> відповідає європейській практиці.</w:t>
      </w:r>
    </w:p>
    <w:p w14:paraId="30AB692B" w14:textId="41B6830C" w:rsidR="008E5688" w:rsidRPr="0024327D" w:rsidRDefault="008E5688" w:rsidP="00064891">
      <w:pPr>
        <w:rPr>
          <w:lang w:val="uk-UA" w:eastAsia="uk-UA"/>
        </w:rPr>
      </w:pPr>
      <w:r w:rsidRPr="0024327D">
        <w:rPr>
          <w:lang w:val="uk-UA" w:eastAsia="uk-UA"/>
        </w:rPr>
        <w:t xml:space="preserve">Вищезазначені засоби захисту значною мірою базуються на єдиній статті Закону </w:t>
      </w:r>
      <w:r w:rsidR="00064891" w:rsidRPr="0024327D">
        <w:rPr>
          <w:lang w:val="uk-UA"/>
        </w:rPr>
        <w:t>“</w:t>
      </w:r>
      <w:r w:rsidR="00064891" w:rsidRPr="0024327D">
        <w:rPr>
          <w:color w:val="000000"/>
          <w:lang w:val="uk-UA" w:eastAsia="uk-UA"/>
        </w:rPr>
        <w:t>Про іпотечні облігації</w:t>
      </w:r>
      <w:r w:rsidR="00064891" w:rsidRPr="0024327D">
        <w:rPr>
          <w:lang w:val="uk-UA"/>
        </w:rPr>
        <w:t>”</w:t>
      </w:r>
      <w:r w:rsidRPr="0024327D">
        <w:rPr>
          <w:lang w:val="uk-UA" w:eastAsia="uk-UA"/>
        </w:rPr>
        <w:t xml:space="preserve">, яка не є повністю інтегрованою в українське законодавство про банкрутство, особливо в Закон </w:t>
      </w:r>
      <w:r w:rsidR="00064891" w:rsidRPr="0024327D">
        <w:rPr>
          <w:lang w:val="uk-UA"/>
        </w:rPr>
        <w:t>“</w:t>
      </w:r>
      <w:r w:rsidR="00064891" w:rsidRPr="0024327D">
        <w:rPr>
          <w:color w:val="000000"/>
          <w:lang w:val="uk-UA" w:eastAsia="uk-UA"/>
        </w:rPr>
        <w:t>Про систему гарантування вкладів фізичних осіб</w:t>
      </w:r>
      <w:r w:rsidR="00064891" w:rsidRPr="0024327D">
        <w:rPr>
          <w:lang w:val="uk-UA"/>
        </w:rPr>
        <w:t>”</w:t>
      </w:r>
      <w:r w:rsidRPr="0024327D">
        <w:rPr>
          <w:lang w:val="uk-UA" w:eastAsia="uk-UA"/>
        </w:rPr>
        <w:t xml:space="preserve">. У зв’язку з цим існує підвищений ризик того, що вищезазначені засоби захисту можуть не </w:t>
      </w:r>
      <w:r w:rsidR="001D5894" w:rsidRPr="0024327D">
        <w:rPr>
          <w:lang w:val="uk-UA" w:eastAsia="uk-UA"/>
        </w:rPr>
        <w:t xml:space="preserve">діяти </w:t>
      </w:r>
      <w:r w:rsidRPr="0024327D">
        <w:rPr>
          <w:lang w:val="uk-UA" w:eastAsia="uk-UA"/>
        </w:rPr>
        <w:t>на практиці.</w:t>
      </w:r>
    </w:p>
    <w:p w14:paraId="3AEE5F3A" w14:textId="1845EE2F"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56" w:name="_Toc8065614"/>
      <w:bookmarkStart w:id="157" w:name="_Toc8065683"/>
      <w:bookmarkStart w:id="158" w:name="_Toc8065750"/>
      <w:bookmarkStart w:id="159" w:name="_Toc8065817"/>
      <w:bookmarkStart w:id="160" w:name="_Toc95481014"/>
      <w:bookmarkEnd w:id="156"/>
      <w:bookmarkEnd w:id="157"/>
      <w:bookmarkEnd w:id="158"/>
      <w:bookmarkEnd w:id="159"/>
      <w:r w:rsidRPr="0024327D">
        <w:rPr>
          <w:rFonts w:eastAsiaTheme="majorEastAsia" w:cstheme="majorBidi"/>
          <w:color w:val="2E74B5" w:themeColor="accent1" w:themeShade="BF"/>
          <w:sz w:val="28"/>
          <w:szCs w:val="28"/>
          <w:lang w:val="uk-UA"/>
        </w:rPr>
        <w:t xml:space="preserve">Режим </w:t>
      </w:r>
      <w:r w:rsidR="001D5894" w:rsidRPr="0024327D">
        <w:rPr>
          <w:rFonts w:eastAsiaTheme="majorEastAsia" w:cstheme="majorBidi"/>
          <w:color w:val="2E74B5" w:themeColor="accent1" w:themeShade="BF"/>
          <w:sz w:val="28"/>
          <w:szCs w:val="28"/>
          <w:lang w:val="uk-UA"/>
        </w:rPr>
        <w:t>нагляду</w:t>
      </w:r>
      <w:bookmarkEnd w:id="160"/>
    </w:p>
    <w:p w14:paraId="65C80E48" w14:textId="77777777" w:rsidR="008E5688" w:rsidRPr="0024327D" w:rsidRDefault="008E5688" w:rsidP="00064891">
      <w:pPr>
        <w:rPr>
          <w:lang w:val="uk-UA" w:eastAsia="uk-UA"/>
        </w:rPr>
      </w:pPr>
      <w:r w:rsidRPr="0024327D">
        <w:rPr>
          <w:lang w:val="uk-UA" w:eastAsia="uk-UA"/>
        </w:rPr>
        <w:t xml:space="preserve">Згідно з українським законодавством, іпотечні цінні папери користуються додатковим наглядовим захистом порівняно з корпоративними облігаціями. </w:t>
      </w:r>
    </w:p>
    <w:p w14:paraId="46D8D4AB" w14:textId="57F69874" w:rsidR="008E5688" w:rsidRPr="0024327D" w:rsidRDefault="008E5688" w:rsidP="00064891">
      <w:pPr>
        <w:rPr>
          <w:lang w:val="uk-UA" w:eastAsia="uk-UA"/>
        </w:rPr>
      </w:pPr>
      <w:r w:rsidRPr="0024327D">
        <w:rPr>
          <w:lang w:val="uk-UA" w:eastAsia="uk-UA"/>
        </w:rPr>
        <w:t xml:space="preserve">Такий наглядовий захист надається НКЦПФР, яка перед реєстрацією емісії повинна перевірити фінансову звітність, </w:t>
      </w:r>
      <w:r w:rsidR="00AA0DB8" w:rsidRPr="0024327D">
        <w:rPr>
          <w:lang w:val="uk-UA" w:eastAsia="uk-UA"/>
        </w:rPr>
        <w:t xml:space="preserve">реєстр </w:t>
      </w:r>
      <w:r w:rsidR="00923070" w:rsidRPr="0024327D">
        <w:rPr>
          <w:lang w:val="uk-UA" w:eastAsia="uk-UA"/>
        </w:rPr>
        <w:t xml:space="preserve"> іпотечного </w:t>
      </w:r>
      <w:r w:rsidR="00AA0DB8" w:rsidRPr="0024327D">
        <w:rPr>
          <w:lang w:val="uk-UA" w:eastAsia="uk-UA"/>
        </w:rPr>
        <w:t>покриття</w:t>
      </w:r>
      <w:r w:rsidRPr="0024327D">
        <w:rPr>
          <w:lang w:val="uk-UA" w:eastAsia="uk-UA"/>
        </w:rPr>
        <w:t xml:space="preserve">, </w:t>
      </w:r>
      <w:r w:rsidR="00923070" w:rsidRPr="0024327D">
        <w:rPr>
          <w:color w:val="333333"/>
          <w:shd w:val="clear" w:color="auto" w:fill="FFFFFF"/>
          <w:lang w:val="uk-UA"/>
        </w:rPr>
        <w:t>договір про управління іпотечним покриттям</w:t>
      </w:r>
      <w:r w:rsidR="00923070" w:rsidRPr="0024327D" w:rsidDel="00923070">
        <w:rPr>
          <w:lang w:val="uk-UA" w:eastAsia="uk-UA"/>
        </w:rPr>
        <w:t xml:space="preserve"> </w:t>
      </w:r>
      <w:r w:rsidR="00923070" w:rsidRPr="0024327D">
        <w:rPr>
          <w:lang w:val="uk-UA" w:eastAsia="uk-UA"/>
        </w:rPr>
        <w:t xml:space="preserve"> з </w:t>
      </w:r>
      <w:r w:rsidRPr="0024327D">
        <w:rPr>
          <w:lang w:val="uk-UA" w:eastAsia="uk-UA"/>
        </w:rPr>
        <w:t>управителем</w:t>
      </w:r>
      <w:r w:rsidR="00D441ED" w:rsidRPr="0024327D">
        <w:rPr>
          <w:lang w:val="uk-UA" w:eastAsia="uk-UA"/>
        </w:rPr>
        <w:t>/</w:t>
      </w:r>
      <w:r w:rsidR="00C9026E" w:rsidRPr="0024327D">
        <w:rPr>
          <w:lang w:val="uk-UA" w:eastAsia="uk-UA"/>
        </w:rPr>
        <w:t xml:space="preserve"> </w:t>
      </w:r>
      <w:r w:rsidR="001007B3" w:rsidRPr="0024327D">
        <w:rPr>
          <w:lang w:val="uk-UA" w:eastAsia="uk-UA"/>
        </w:rPr>
        <w:t>адміністратором за випуском облігацій</w:t>
      </w:r>
      <w:r w:rsidRPr="0024327D">
        <w:rPr>
          <w:lang w:val="uk-UA" w:eastAsia="uk-UA"/>
        </w:rPr>
        <w:t xml:space="preserve">, а також іншу надану документацію. Якщо така документація містить неправдиву інформацію або активи, включені до </w:t>
      </w:r>
      <w:r w:rsidR="00EC14D9" w:rsidRPr="0024327D">
        <w:rPr>
          <w:lang w:val="uk-UA" w:eastAsia="uk-UA"/>
        </w:rPr>
        <w:t xml:space="preserve">іпотечного </w:t>
      </w:r>
      <w:r w:rsidR="00C93CE0" w:rsidRPr="0024327D">
        <w:rPr>
          <w:lang w:val="uk-UA"/>
        </w:rPr>
        <w:t>покриття</w:t>
      </w:r>
      <w:r w:rsidRPr="0024327D">
        <w:rPr>
          <w:lang w:val="uk-UA" w:eastAsia="uk-UA"/>
        </w:rPr>
        <w:t>, не відповідають нормативним вимогам, НКЦПФР повинна відмовити у реєстрації</w:t>
      </w:r>
      <w:r w:rsidR="00923070" w:rsidRPr="0024327D">
        <w:rPr>
          <w:lang w:val="uk-UA" w:eastAsia="uk-UA"/>
        </w:rPr>
        <w:t xml:space="preserve"> випуску іпотечних облігацій</w:t>
      </w:r>
      <w:r w:rsidRPr="0024327D">
        <w:rPr>
          <w:lang w:val="uk-UA" w:eastAsia="uk-UA"/>
        </w:rPr>
        <w:t>.</w:t>
      </w:r>
    </w:p>
    <w:p w14:paraId="07638F46" w14:textId="04F693F2" w:rsidR="008E5688" w:rsidRPr="0024327D" w:rsidRDefault="008E5688" w:rsidP="00064891">
      <w:pPr>
        <w:rPr>
          <w:lang w:val="uk-UA" w:eastAsia="uk-UA"/>
        </w:rPr>
      </w:pPr>
      <w:r w:rsidRPr="0024327D">
        <w:rPr>
          <w:lang w:val="uk-UA" w:eastAsia="uk-UA"/>
        </w:rPr>
        <w:t xml:space="preserve">При емісії </w:t>
      </w:r>
      <w:r w:rsidR="00AF6C88" w:rsidRPr="0024327D">
        <w:rPr>
          <w:lang w:val="uk-UA" w:eastAsia="uk-UA"/>
        </w:rPr>
        <w:t xml:space="preserve">облігацій з покриттям </w:t>
      </w:r>
      <w:r w:rsidRPr="0024327D">
        <w:rPr>
          <w:lang w:val="uk-UA" w:eastAsia="uk-UA"/>
        </w:rPr>
        <w:t>наглядовий захист НКЦПФР може включати:</w:t>
      </w:r>
    </w:p>
    <w:p w14:paraId="117C1A2B" w14:textId="61EBCB59" w:rsidR="008E5688" w:rsidRPr="0024327D" w:rsidRDefault="008E5688" w:rsidP="00584AEC">
      <w:pPr>
        <w:pStyle w:val="a4"/>
        <w:numPr>
          <w:ilvl w:val="0"/>
          <w:numId w:val="26"/>
        </w:numPr>
        <w:spacing w:line="240" w:lineRule="auto"/>
        <w:rPr>
          <w:lang w:val="uk-UA"/>
        </w:rPr>
      </w:pPr>
      <w:r w:rsidRPr="0024327D">
        <w:rPr>
          <w:lang w:val="uk-UA"/>
        </w:rPr>
        <w:t>перевірку прийнятн</w:t>
      </w:r>
      <w:r w:rsidR="00FD3F53" w:rsidRPr="0024327D">
        <w:rPr>
          <w:lang w:val="uk-UA"/>
        </w:rPr>
        <w:t>ості</w:t>
      </w:r>
      <w:r w:rsidRPr="0024327D">
        <w:rPr>
          <w:lang w:val="uk-UA"/>
        </w:rPr>
        <w:t xml:space="preserve"> активів управителем</w:t>
      </w:r>
      <w:r w:rsidR="000D40CC" w:rsidRPr="0024327D">
        <w:rPr>
          <w:lang w:val="ru-RU"/>
        </w:rPr>
        <w:t xml:space="preserve"> </w:t>
      </w:r>
      <w:r w:rsidR="001007B3" w:rsidRPr="0024327D">
        <w:rPr>
          <w:lang w:val="ru-RU"/>
        </w:rPr>
        <w:t>покриття</w:t>
      </w:r>
      <w:r w:rsidR="00A83390" w:rsidRPr="0024327D">
        <w:rPr>
          <w:lang w:val="ru-RU"/>
        </w:rPr>
        <w:t>м</w:t>
      </w:r>
      <w:r w:rsidR="00142560" w:rsidRPr="0024327D">
        <w:rPr>
          <w:lang w:val="ru-RU"/>
        </w:rPr>
        <w:t>/</w:t>
      </w:r>
      <w:r w:rsidR="003F2066" w:rsidRPr="0024327D">
        <w:rPr>
          <w:lang w:val="ru-RU"/>
        </w:rPr>
        <w:t xml:space="preserve"> </w:t>
      </w:r>
      <w:r w:rsidR="000D40CC" w:rsidRPr="0024327D">
        <w:rPr>
          <w:lang w:val="uk-UA"/>
        </w:rPr>
        <w:t>адміністратором за випуском облігацій</w:t>
      </w:r>
      <w:r w:rsidRPr="0024327D">
        <w:rPr>
          <w:lang w:val="uk-UA"/>
        </w:rPr>
        <w:t xml:space="preserve"> </w:t>
      </w:r>
      <w:r w:rsidR="00E05BCC" w:rsidRPr="0024327D">
        <w:rPr>
          <w:lang w:val="uk-UA"/>
        </w:rPr>
        <w:t>або</w:t>
      </w:r>
      <w:r w:rsidRPr="0024327D">
        <w:rPr>
          <w:lang w:val="uk-UA"/>
        </w:rPr>
        <w:t xml:space="preserve"> аудитором на вимогу НКЦПФР;</w:t>
      </w:r>
    </w:p>
    <w:p w14:paraId="61049DC4" w14:textId="389762AD" w:rsidR="008E5688" w:rsidRPr="0024327D" w:rsidRDefault="008E5688" w:rsidP="00584AEC">
      <w:pPr>
        <w:pStyle w:val="a4"/>
        <w:numPr>
          <w:ilvl w:val="0"/>
          <w:numId w:val="26"/>
        </w:numPr>
        <w:spacing w:line="240" w:lineRule="auto"/>
        <w:rPr>
          <w:lang w:val="uk-UA"/>
        </w:rPr>
      </w:pPr>
      <w:r w:rsidRPr="0024327D">
        <w:rPr>
          <w:lang w:val="uk-UA"/>
        </w:rPr>
        <w:t xml:space="preserve">вимогу до управителя </w:t>
      </w:r>
      <w:r w:rsidR="00A83390" w:rsidRPr="0024327D">
        <w:rPr>
          <w:lang w:val="uk-UA"/>
        </w:rPr>
        <w:t xml:space="preserve">покриттям/ </w:t>
      </w:r>
      <w:r w:rsidR="000D40CC" w:rsidRPr="0024327D">
        <w:rPr>
          <w:lang w:val="uk-UA"/>
        </w:rPr>
        <w:t>адміністратор</w:t>
      </w:r>
      <w:r w:rsidR="007A62E9" w:rsidRPr="0024327D">
        <w:rPr>
          <w:lang w:val="uk-UA"/>
        </w:rPr>
        <w:t>а</w:t>
      </w:r>
      <w:r w:rsidR="000D40CC" w:rsidRPr="0024327D">
        <w:rPr>
          <w:lang w:val="uk-UA"/>
        </w:rPr>
        <w:t xml:space="preserve"> за випуском облігацій </w:t>
      </w:r>
      <w:r w:rsidRPr="0024327D">
        <w:rPr>
          <w:lang w:val="uk-UA"/>
        </w:rPr>
        <w:t xml:space="preserve">здійснювати контроль за дотриманням емітентом законодавства про облігації </w:t>
      </w:r>
      <w:r w:rsidR="009916ED" w:rsidRPr="0024327D">
        <w:rPr>
          <w:lang w:val="uk-UA"/>
        </w:rPr>
        <w:t xml:space="preserve">з покриттям </w:t>
      </w:r>
      <w:r w:rsidRPr="0024327D">
        <w:rPr>
          <w:lang w:val="uk-UA"/>
        </w:rPr>
        <w:t>та проспекту, а також інформувати НКЦПФР про будь-які порушення; та</w:t>
      </w:r>
    </w:p>
    <w:p w14:paraId="0925403F" w14:textId="6F5F5344" w:rsidR="008E5688" w:rsidRPr="0024327D" w:rsidRDefault="008E5688" w:rsidP="00584AEC">
      <w:pPr>
        <w:pStyle w:val="a4"/>
        <w:numPr>
          <w:ilvl w:val="0"/>
          <w:numId w:val="26"/>
        </w:numPr>
        <w:spacing w:line="240" w:lineRule="auto"/>
        <w:rPr>
          <w:lang w:val="uk-UA"/>
        </w:rPr>
      </w:pPr>
      <w:r w:rsidRPr="0024327D">
        <w:rPr>
          <w:lang w:val="uk-UA"/>
        </w:rPr>
        <w:t xml:space="preserve">заміну управителя </w:t>
      </w:r>
      <w:r w:rsidR="00B47F8D" w:rsidRPr="0024327D">
        <w:rPr>
          <w:lang w:val="uk-UA"/>
        </w:rPr>
        <w:t xml:space="preserve">покриттям/ </w:t>
      </w:r>
      <w:r w:rsidR="007A62E9" w:rsidRPr="0024327D">
        <w:rPr>
          <w:lang w:val="uk-UA"/>
        </w:rPr>
        <w:t xml:space="preserve">адміністратора за випуском облігацій </w:t>
      </w:r>
      <w:r w:rsidRPr="0024327D">
        <w:rPr>
          <w:lang w:val="uk-UA"/>
        </w:rPr>
        <w:t>на вимогу НКЦПФР.</w:t>
      </w:r>
    </w:p>
    <w:p w14:paraId="5194F9C1" w14:textId="3BFAC307" w:rsidR="00EC2256" w:rsidRPr="0024327D" w:rsidRDefault="00EC2256" w:rsidP="00EC2256">
      <w:pPr>
        <w:spacing w:line="240" w:lineRule="auto"/>
        <w:rPr>
          <w:lang w:val="uk-UA"/>
        </w:rPr>
      </w:pPr>
      <w:r w:rsidRPr="0024327D">
        <w:rPr>
          <w:lang w:val="uk-UA"/>
        </w:rPr>
        <w:t xml:space="preserve">Необхідно </w:t>
      </w:r>
      <w:r w:rsidR="0040663A" w:rsidRPr="0024327D">
        <w:rPr>
          <w:lang w:val="uk-UA"/>
        </w:rPr>
        <w:t xml:space="preserve">буде </w:t>
      </w:r>
      <w:r w:rsidRPr="0024327D">
        <w:rPr>
          <w:lang w:val="uk-UA"/>
        </w:rPr>
        <w:t>визначити, чи повинен НБУ як регулятор діяльності банків та деяких небанківських кредиторів виконувати деякі з цих повноважень (докладніше див. у Розділі 4.5.2).</w:t>
      </w:r>
    </w:p>
    <w:p w14:paraId="1E18AB37" w14:textId="31180163" w:rsidR="0097134D" w:rsidRPr="0024327D" w:rsidRDefault="0097134D" w:rsidP="00EC2256">
      <w:pPr>
        <w:spacing w:line="240" w:lineRule="auto"/>
        <w:rPr>
          <w:lang w:val="uk-UA"/>
        </w:rPr>
      </w:pPr>
      <w:r w:rsidRPr="0024327D">
        <w:rPr>
          <w:lang w:val="uk-UA"/>
        </w:rPr>
        <w:t xml:space="preserve">Крім того, </w:t>
      </w:r>
      <w:r w:rsidR="007778B8" w:rsidRPr="0024327D">
        <w:rPr>
          <w:lang w:val="uk-UA"/>
        </w:rPr>
        <w:t>к</w:t>
      </w:r>
      <w:r w:rsidRPr="0024327D">
        <w:rPr>
          <w:lang w:val="uk-UA"/>
        </w:rPr>
        <w:t>оманда ЄБРР з питань сек'юритизації додатково дослідила</w:t>
      </w:r>
      <w:r w:rsidR="00F907E0" w:rsidRPr="0024327D">
        <w:rPr>
          <w:lang w:val="uk-UA"/>
        </w:rPr>
        <w:t>,</w:t>
      </w:r>
      <w:r w:rsidRPr="0024327D">
        <w:rPr>
          <w:lang w:val="uk-UA"/>
        </w:rPr>
        <w:t xml:space="preserve"> чи відповідатиме законодавству ЄС підхід, за яким облігації з покриттям можуть випускати спеціалізовані фінансові установ</w:t>
      </w:r>
      <w:r w:rsidR="00296A87" w:rsidRPr="0024327D">
        <w:rPr>
          <w:lang w:val="uk-UA"/>
        </w:rPr>
        <w:t>и</w:t>
      </w:r>
      <w:r w:rsidRPr="0024327D">
        <w:rPr>
          <w:lang w:val="uk-UA"/>
        </w:rPr>
        <w:t>, такі як ті, що надають рефінансування іпотечних кредитів в Україні (крім банків). Однак згідно з Директивою щодо облігацій з покриттям тільки кредитним установам дозволено створювати такі інструменти.</w:t>
      </w:r>
    </w:p>
    <w:p w14:paraId="751E74C5" w14:textId="77777777" w:rsidR="008E5688" w:rsidRPr="0024327D" w:rsidRDefault="008E5688" w:rsidP="001A3C33">
      <w:pPr>
        <w:keepNext/>
        <w:keepLines/>
        <w:numPr>
          <w:ilvl w:val="1"/>
          <w:numId w:val="20"/>
        </w:numPr>
        <w:spacing w:before="360" w:line="240" w:lineRule="auto"/>
        <w:outlineLvl w:val="1"/>
        <w:rPr>
          <w:rFonts w:eastAsiaTheme="majorEastAsia" w:cstheme="majorBidi"/>
          <w:color w:val="2E74B5" w:themeColor="accent1" w:themeShade="BF"/>
          <w:sz w:val="32"/>
          <w:szCs w:val="32"/>
          <w:lang w:val="uk-UA"/>
        </w:rPr>
      </w:pPr>
      <w:bookmarkStart w:id="161" w:name="_Toc95481015"/>
      <w:r w:rsidRPr="0024327D">
        <w:rPr>
          <w:rFonts w:eastAsiaTheme="majorEastAsia" w:cstheme="majorBidi"/>
          <w:color w:val="2E74B5" w:themeColor="accent1" w:themeShade="BF"/>
          <w:sz w:val="32"/>
          <w:szCs w:val="32"/>
          <w:lang w:val="uk-UA"/>
        </w:rPr>
        <w:t>Вимоги до інфраструктури та регуляторних органів</w:t>
      </w:r>
      <w:bookmarkEnd w:id="161"/>
    </w:p>
    <w:p w14:paraId="2C729923"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62" w:name="_Toc95481016"/>
      <w:r w:rsidRPr="0024327D">
        <w:rPr>
          <w:rFonts w:eastAsiaTheme="majorEastAsia" w:cstheme="majorBidi"/>
          <w:color w:val="2E74B5" w:themeColor="accent1" w:themeShade="BF"/>
          <w:sz w:val="28"/>
          <w:szCs w:val="28"/>
          <w:lang w:val="uk-UA"/>
        </w:rPr>
        <w:t>Елементи інфраструктури</w:t>
      </w:r>
      <w:bookmarkEnd w:id="162"/>
      <w:r w:rsidRPr="0024327D">
        <w:rPr>
          <w:rFonts w:eastAsiaTheme="majorEastAsia" w:cstheme="majorBidi"/>
          <w:color w:val="2E74B5" w:themeColor="accent1" w:themeShade="BF"/>
          <w:sz w:val="28"/>
          <w:szCs w:val="28"/>
          <w:lang w:val="uk-UA"/>
        </w:rPr>
        <w:t xml:space="preserve"> </w:t>
      </w:r>
    </w:p>
    <w:p w14:paraId="43699906" w14:textId="77777777" w:rsidR="008E5688" w:rsidRPr="0024327D" w:rsidRDefault="008E5688" w:rsidP="008E5688">
      <w:pPr>
        <w:keepNext/>
        <w:rPr>
          <w:b/>
          <w:lang w:val="uk-UA"/>
        </w:rPr>
      </w:pPr>
      <w:r w:rsidRPr="0024327D">
        <w:rPr>
          <w:b/>
          <w:lang w:val="uk-UA"/>
        </w:rPr>
        <w:t xml:space="preserve">Розкриття інформації </w:t>
      </w:r>
    </w:p>
    <w:p w14:paraId="452055B1" w14:textId="1C09B050" w:rsidR="008E5688" w:rsidRPr="0024327D" w:rsidRDefault="008E5688" w:rsidP="008E5688">
      <w:pPr>
        <w:rPr>
          <w:lang w:val="uk-UA"/>
        </w:rPr>
      </w:pPr>
      <w:r w:rsidRPr="0024327D">
        <w:rPr>
          <w:lang w:val="uk-UA"/>
        </w:rPr>
        <w:t xml:space="preserve">Для сек'юритизації та </w:t>
      </w:r>
      <w:r w:rsidR="00645A85" w:rsidRPr="0024327D">
        <w:rPr>
          <w:lang w:val="uk-UA"/>
        </w:rPr>
        <w:t>облігацій з покриттям</w:t>
      </w:r>
      <w:r w:rsidRPr="0024327D">
        <w:rPr>
          <w:lang w:val="uk-UA"/>
        </w:rPr>
        <w:t xml:space="preserve"> важливо створити систему звітності для інвесторів, яка могла б дозволити їм отримати доступ до всієї відповідної інформації та оцінити ризики, пов'язані з облігаціями та емітентом. </w:t>
      </w:r>
      <w:r w:rsidR="0095459E" w:rsidRPr="0024327D">
        <w:rPr>
          <w:lang w:val="uk-UA"/>
        </w:rPr>
        <w:t>Така інформація має бути доступна і для регуляторів.</w:t>
      </w:r>
    </w:p>
    <w:p w14:paraId="04845154" w14:textId="17DEBF5F" w:rsidR="008E5688" w:rsidRPr="0024327D" w:rsidRDefault="008E5688" w:rsidP="008E5688">
      <w:pPr>
        <w:rPr>
          <w:lang w:val="uk-UA"/>
        </w:rPr>
      </w:pPr>
      <w:r w:rsidRPr="0024327D">
        <w:rPr>
          <w:lang w:val="uk-UA"/>
        </w:rPr>
        <w:t xml:space="preserve">Що стосується сек'юритизації, Регламент STS запроваджує поняття репозиторіїв сек'юритизації, які збирають відповідні звіти, в першу чергу про </w:t>
      </w:r>
      <w:r w:rsidR="003B7B42" w:rsidRPr="0024327D">
        <w:rPr>
          <w:lang w:val="uk-UA"/>
        </w:rPr>
        <w:t>активи, які використовуються як забезпечення при</w:t>
      </w:r>
      <w:r w:rsidR="001F7C48">
        <w:rPr>
          <w:lang w:val="uk-UA"/>
        </w:rPr>
        <w:t xml:space="preserve"> </w:t>
      </w:r>
      <w:r w:rsidRPr="0024327D">
        <w:rPr>
          <w:lang w:val="uk-UA"/>
        </w:rPr>
        <w:lastRenderedPageBreak/>
        <w:t>сек'юритизації.</w:t>
      </w:r>
      <w:r w:rsidRPr="0024327D">
        <w:rPr>
          <w:vertAlign w:val="superscript"/>
          <w:lang w:val="uk-UA"/>
        </w:rPr>
        <w:t xml:space="preserve"> </w:t>
      </w:r>
      <w:r w:rsidRPr="0024327D">
        <w:rPr>
          <w:vertAlign w:val="superscript"/>
          <w:lang w:val="uk-UA"/>
        </w:rPr>
        <w:footnoteReference w:id="50"/>
      </w:r>
      <w:r w:rsidRPr="0024327D">
        <w:rPr>
          <w:lang w:val="uk-UA"/>
        </w:rPr>
        <w:t xml:space="preserve"> Основною метою репозит</w:t>
      </w:r>
      <w:r w:rsidR="00727E20" w:rsidRPr="0024327D">
        <w:rPr>
          <w:lang w:val="uk-UA"/>
        </w:rPr>
        <w:t>о</w:t>
      </w:r>
      <w:r w:rsidRPr="0024327D">
        <w:rPr>
          <w:lang w:val="uk-UA"/>
        </w:rPr>
        <w:t>рію сек'юритизації є надання єдиного джерела даних, необхідних інвесторам для проведення аудиту.</w:t>
      </w:r>
    </w:p>
    <w:p w14:paraId="6330B7D0" w14:textId="5F36336A" w:rsidR="008E5688" w:rsidRPr="0024327D" w:rsidRDefault="008E5688" w:rsidP="008E5688">
      <w:pPr>
        <w:rPr>
          <w:lang w:val="uk-UA"/>
        </w:rPr>
      </w:pPr>
      <w:r w:rsidRPr="0024327D">
        <w:rPr>
          <w:lang w:val="uk-UA"/>
        </w:rPr>
        <w:t xml:space="preserve">Щодо </w:t>
      </w:r>
      <w:r w:rsidR="00645A85" w:rsidRPr="0024327D">
        <w:rPr>
          <w:lang w:val="uk-UA"/>
        </w:rPr>
        <w:t>облігацій з покриттям</w:t>
      </w:r>
      <w:r w:rsidRPr="0024327D">
        <w:rPr>
          <w:lang w:val="uk-UA"/>
        </w:rPr>
        <w:t xml:space="preserve">, захист інвесторів забезпечується вимогою до кредитних установ повідомляти інформацію про програми </w:t>
      </w:r>
      <w:r w:rsidR="00645A85" w:rsidRPr="0024327D">
        <w:rPr>
          <w:lang w:val="uk-UA"/>
        </w:rPr>
        <w:t>облігацій з покриттям</w:t>
      </w:r>
      <w:r w:rsidRPr="0024327D">
        <w:rPr>
          <w:lang w:val="uk-UA"/>
        </w:rPr>
        <w:t xml:space="preserve"> уповноваженим орган</w:t>
      </w:r>
      <w:r w:rsidR="00727E20" w:rsidRPr="0024327D">
        <w:rPr>
          <w:lang w:val="uk-UA"/>
        </w:rPr>
        <w:t>а</w:t>
      </w:r>
      <w:r w:rsidRPr="0024327D">
        <w:rPr>
          <w:lang w:val="uk-UA"/>
        </w:rPr>
        <w:t>м</w:t>
      </w:r>
      <w:r w:rsidR="00C3799B" w:rsidRPr="0024327D">
        <w:rPr>
          <w:lang w:val="uk-UA"/>
        </w:rPr>
        <w:t xml:space="preserve"> (в Україні – НКЦПФР та/або</w:t>
      </w:r>
      <w:r w:rsidR="00FA5F1E" w:rsidRPr="0024327D">
        <w:rPr>
          <w:lang w:val="uk-UA"/>
        </w:rPr>
        <w:t xml:space="preserve"> НБУ).</w:t>
      </w:r>
      <w:r w:rsidRPr="0024327D">
        <w:rPr>
          <w:vertAlign w:val="superscript"/>
          <w:lang w:val="uk-UA"/>
        </w:rPr>
        <w:footnoteReference w:id="51"/>
      </w:r>
      <w:r w:rsidRPr="0024327D">
        <w:rPr>
          <w:lang w:val="uk-UA"/>
        </w:rPr>
        <w:t xml:space="preserve"> Інформація повинна надаватися регулярно щодо </w:t>
      </w:r>
      <w:r w:rsidR="00564C21" w:rsidRPr="0024327D">
        <w:rPr>
          <w:lang w:val="uk-UA"/>
        </w:rPr>
        <w:t xml:space="preserve">відповідності </w:t>
      </w:r>
      <w:r w:rsidRPr="0024327D">
        <w:rPr>
          <w:lang w:val="uk-UA"/>
        </w:rPr>
        <w:t>вимог</w:t>
      </w:r>
      <w:r w:rsidR="00564C21" w:rsidRPr="0024327D">
        <w:rPr>
          <w:lang w:val="uk-UA"/>
        </w:rPr>
        <w:t>ам</w:t>
      </w:r>
      <w:r w:rsidRPr="0024327D">
        <w:rPr>
          <w:lang w:val="uk-UA"/>
        </w:rPr>
        <w:t xml:space="preserve"> програми </w:t>
      </w:r>
      <w:r w:rsidR="00645A85" w:rsidRPr="0024327D">
        <w:rPr>
          <w:lang w:val="uk-UA"/>
        </w:rPr>
        <w:t>облігацій з покриттям</w:t>
      </w:r>
      <w:r w:rsidRPr="0024327D">
        <w:rPr>
          <w:lang w:val="uk-UA"/>
        </w:rPr>
        <w:t>, таки</w:t>
      </w:r>
      <w:r w:rsidR="00564C21" w:rsidRPr="0024327D">
        <w:rPr>
          <w:lang w:val="uk-UA"/>
        </w:rPr>
        <w:t>м</w:t>
      </w:r>
      <w:r w:rsidRPr="0024327D">
        <w:rPr>
          <w:lang w:val="uk-UA"/>
        </w:rPr>
        <w:t xml:space="preserve"> як захист від банкрутства, відокремлення активів у пулі </w:t>
      </w:r>
      <w:r w:rsidR="00C93CE0" w:rsidRPr="0024327D">
        <w:rPr>
          <w:lang w:val="uk-UA"/>
        </w:rPr>
        <w:t>покриття</w:t>
      </w:r>
      <w:r w:rsidRPr="0024327D">
        <w:rPr>
          <w:lang w:val="uk-UA"/>
        </w:rPr>
        <w:t xml:space="preserve">, функціонування </w:t>
      </w:r>
      <w:r w:rsidR="00CF4CCE" w:rsidRPr="0024327D">
        <w:rPr>
          <w:lang w:val="uk-UA"/>
        </w:rPr>
        <w:t xml:space="preserve">Контролера </w:t>
      </w:r>
      <w:r w:rsidRPr="0024327D">
        <w:rPr>
          <w:lang w:val="uk-UA"/>
        </w:rPr>
        <w:t xml:space="preserve">за пулом </w:t>
      </w:r>
      <w:r w:rsidR="00C93CE0" w:rsidRPr="0024327D">
        <w:rPr>
          <w:lang w:val="uk-UA"/>
        </w:rPr>
        <w:t>покриття</w:t>
      </w:r>
      <w:r w:rsidR="009D3D86" w:rsidRPr="0024327D">
        <w:rPr>
          <w:lang w:val="uk-UA"/>
        </w:rPr>
        <w:t xml:space="preserve"> </w:t>
      </w:r>
      <w:r w:rsidR="00381E40" w:rsidRPr="0024327D">
        <w:rPr>
          <w:lang w:val="uk-UA"/>
        </w:rPr>
        <w:t xml:space="preserve">та операції із </w:t>
      </w:r>
      <w:r w:rsidR="009D3D86" w:rsidRPr="0024327D">
        <w:rPr>
          <w:lang w:val="uk-UA"/>
        </w:rPr>
        <w:t>замін</w:t>
      </w:r>
      <w:r w:rsidR="00381E40" w:rsidRPr="0024327D">
        <w:rPr>
          <w:lang w:val="uk-UA"/>
        </w:rPr>
        <w:t>и активів</w:t>
      </w:r>
      <w:r w:rsidRPr="0024327D">
        <w:rPr>
          <w:lang w:val="uk-UA"/>
        </w:rPr>
        <w:t>.</w:t>
      </w:r>
    </w:p>
    <w:p w14:paraId="5F089E85" w14:textId="3D5F4E49" w:rsidR="008E5688" w:rsidRPr="0024327D" w:rsidRDefault="008E5688" w:rsidP="008E5688">
      <w:pPr>
        <w:rPr>
          <w:lang w:val="uk-UA"/>
        </w:rPr>
      </w:pPr>
      <w:r w:rsidRPr="0024327D">
        <w:rPr>
          <w:lang w:val="uk-UA"/>
        </w:rPr>
        <w:t xml:space="preserve">В Україні </w:t>
      </w:r>
      <w:r w:rsidR="00FF69FB" w:rsidRPr="0024327D">
        <w:rPr>
          <w:lang w:val="uk-UA"/>
        </w:rPr>
        <w:t>поняття репозиторіїв було запроваджене у законодавст</w:t>
      </w:r>
      <w:r w:rsidR="00027144" w:rsidRPr="0024327D">
        <w:rPr>
          <w:lang w:val="uk-UA"/>
        </w:rPr>
        <w:t>ві нещодав</w:t>
      </w:r>
      <w:r w:rsidRPr="0024327D">
        <w:rPr>
          <w:lang w:val="uk-UA"/>
        </w:rPr>
        <w:t>н</w:t>
      </w:r>
      <w:r w:rsidR="00027144" w:rsidRPr="0024327D">
        <w:rPr>
          <w:lang w:val="uk-UA"/>
        </w:rPr>
        <w:t xml:space="preserve">о. Так, Закон про ринки капіталу містить загальні положення </w:t>
      </w:r>
      <w:r w:rsidR="005907CF" w:rsidRPr="0024327D">
        <w:rPr>
          <w:lang w:val="uk-UA"/>
        </w:rPr>
        <w:t xml:space="preserve">про </w:t>
      </w:r>
      <w:r w:rsidRPr="0024327D">
        <w:rPr>
          <w:lang w:val="uk-UA"/>
        </w:rPr>
        <w:t>торгових репозит</w:t>
      </w:r>
      <w:r w:rsidR="00CF4CCE" w:rsidRPr="0024327D">
        <w:rPr>
          <w:lang w:val="uk-UA"/>
        </w:rPr>
        <w:t>о</w:t>
      </w:r>
      <w:r w:rsidRPr="0024327D">
        <w:rPr>
          <w:lang w:val="uk-UA"/>
        </w:rPr>
        <w:t xml:space="preserve">ріїв для </w:t>
      </w:r>
      <w:r w:rsidR="00377D9F" w:rsidRPr="0024327D">
        <w:rPr>
          <w:lang w:val="uk-UA"/>
        </w:rPr>
        <w:t>деривативни</w:t>
      </w:r>
      <w:r w:rsidR="00C92786" w:rsidRPr="0024327D">
        <w:rPr>
          <w:lang w:val="uk-UA"/>
        </w:rPr>
        <w:t>х</w:t>
      </w:r>
      <w:r w:rsidR="00377D9F" w:rsidRPr="0024327D">
        <w:rPr>
          <w:lang w:val="uk-UA"/>
        </w:rPr>
        <w:t xml:space="preserve"> </w:t>
      </w:r>
      <w:r w:rsidR="00E14E56" w:rsidRPr="0024327D">
        <w:rPr>
          <w:lang w:val="uk-UA"/>
        </w:rPr>
        <w:t>контракт</w:t>
      </w:r>
      <w:r w:rsidR="00C92786" w:rsidRPr="0024327D">
        <w:rPr>
          <w:lang w:val="uk-UA"/>
        </w:rPr>
        <w:t>ів</w:t>
      </w:r>
      <w:r w:rsidR="00377D9F" w:rsidRPr="0024327D">
        <w:rPr>
          <w:lang w:val="uk-UA"/>
        </w:rPr>
        <w:t xml:space="preserve"> </w:t>
      </w:r>
      <w:r w:rsidRPr="0024327D">
        <w:rPr>
          <w:lang w:val="uk-UA"/>
        </w:rPr>
        <w:t xml:space="preserve">та уповноважує НКЦПФР регулювати відповідні зобов'язання щодо звітності. У випадку необхідності, такий механізм може бути використаний як основа для </w:t>
      </w:r>
      <w:r w:rsidR="00CF74A8" w:rsidRPr="0024327D">
        <w:rPr>
          <w:lang w:val="uk-UA"/>
        </w:rPr>
        <w:t xml:space="preserve">розроблення </w:t>
      </w:r>
      <w:r w:rsidRPr="0024327D">
        <w:rPr>
          <w:lang w:val="uk-UA"/>
        </w:rPr>
        <w:t xml:space="preserve">системи репозиторіїв сек'юритизації. </w:t>
      </w:r>
    </w:p>
    <w:p w14:paraId="5A070548" w14:textId="4486EB85" w:rsidR="00821DCD" w:rsidRPr="0024327D" w:rsidRDefault="00821DCD" w:rsidP="008E5688">
      <w:pPr>
        <w:rPr>
          <w:lang w:val="uk-UA"/>
        </w:rPr>
      </w:pPr>
      <w:r w:rsidRPr="0024327D">
        <w:rPr>
          <w:lang w:val="uk-UA"/>
        </w:rPr>
        <w:t>Для виконання функції репозиторі</w:t>
      </w:r>
      <w:r w:rsidR="00FB47B1" w:rsidRPr="0024327D">
        <w:rPr>
          <w:lang w:val="uk-UA"/>
        </w:rPr>
        <w:t>ю</w:t>
      </w:r>
      <w:r w:rsidRPr="0024327D">
        <w:rPr>
          <w:lang w:val="uk-UA"/>
        </w:rPr>
        <w:t xml:space="preserve"> сек’юритизації може бути доцільно використовувати торгових репозиторіїв або надати </w:t>
      </w:r>
      <w:r w:rsidR="00594396" w:rsidRPr="0024327D">
        <w:rPr>
          <w:lang w:val="uk-UA"/>
        </w:rPr>
        <w:t xml:space="preserve">такі функції </w:t>
      </w:r>
      <w:r w:rsidR="0084000C" w:rsidRPr="0024327D">
        <w:rPr>
          <w:lang w:val="uk-UA"/>
        </w:rPr>
        <w:t xml:space="preserve">особам, які </w:t>
      </w:r>
      <w:r w:rsidR="00FC1101" w:rsidRPr="0024327D">
        <w:rPr>
          <w:lang w:val="uk-UA"/>
        </w:rPr>
        <w:t xml:space="preserve">провадять діяльність з оприлюднення регульованою інформації </w:t>
      </w:r>
      <w:r w:rsidR="0071350C" w:rsidRPr="0024327D">
        <w:rPr>
          <w:lang w:val="uk-UA"/>
        </w:rPr>
        <w:t>в Україні.</w:t>
      </w:r>
    </w:p>
    <w:p w14:paraId="60FD4657" w14:textId="436FCAC3" w:rsidR="006E2614" w:rsidRPr="0024327D" w:rsidRDefault="006E2614" w:rsidP="008E5688">
      <w:pPr>
        <w:rPr>
          <w:lang w:val="uk-UA"/>
        </w:rPr>
      </w:pPr>
      <w:r w:rsidRPr="0024327D">
        <w:rPr>
          <w:lang w:val="uk-UA"/>
        </w:rPr>
        <w:t xml:space="preserve">Точний обсяг </w:t>
      </w:r>
      <w:r w:rsidR="001237BE" w:rsidRPr="0024327D">
        <w:rPr>
          <w:lang w:val="uk-UA"/>
        </w:rPr>
        <w:t>і</w:t>
      </w:r>
      <w:r w:rsidRPr="0024327D">
        <w:rPr>
          <w:lang w:val="uk-UA"/>
        </w:rPr>
        <w:t xml:space="preserve"> періодичність оприлюднення інформації та подання звітності можуть бути встановлені нормативно-правовими актами НКЦПФР та/або НБУ, </w:t>
      </w:r>
      <w:r w:rsidR="001237BE" w:rsidRPr="0024327D">
        <w:rPr>
          <w:lang w:val="uk-UA"/>
        </w:rPr>
        <w:t>у той час як</w:t>
      </w:r>
      <w:r w:rsidRPr="0024327D">
        <w:rPr>
          <w:lang w:val="uk-UA"/>
        </w:rPr>
        <w:t xml:space="preserve"> закон</w:t>
      </w:r>
      <w:r w:rsidR="001237BE" w:rsidRPr="0024327D">
        <w:rPr>
          <w:lang w:val="uk-UA"/>
        </w:rPr>
        <w:t>ом</w:t>
      </w:r>
      <w:r w:rsidRPr="0024327D">
        <w:rPr>
          <w:lang w:val="uk-UA"/>
        </w:rPr>
        <w:t xml:space="preserve"> має </w:t>
      </w:r>
      <w:r w:rsidR="001237BE" w:rsidRPr="0024327D">
        <w:rPr>
          <w:lang w:val="uk-UA"/>
        </w:rPr>
        <w:t xml:space="preserve">бути </w:t>
      </w:r>
      <w:r w:rsidRPr="0024327D">
        <w:rPr>
          <w:lang w:val="uk-UA"/>
        </w:rPr>
        <w:t>передбач</w:t>
      </w:r>
      <w:r w:rsidR="001237BE" w:rsidRPr="0024327D">
        <w:rPr>
          <w:lang w:val="uk-UA"/>
        </w:rPr>
        <w:t>ено</w:t>
      </w:r>
      <w:r w:rsidRPr="0024327D">
        <w:rPr>
          <w:lang w:val="uk-UA"/>
        </w:rPr>
        <w:t xml:space="preserve">, які види інформації підлягають оприлюдненню, </w:t>
      </w:r>
      <w:r w:rsidR="001237BE" w:rsidRPr="0024327D">
        <w:rPr>
          <w:lang w:val="uk-UA"/>
        </w:rPr>
        <w:t>та</w:t>
      </w:r>
      <w:r w:rsidRPr="0024327D">
        <w:rPr>
          <w:lang w:val="uk-UA"/>
        </w:rPr>
        <w:t xml:space="preserve"> встановл</w:t>
      </w:r>
      <w:r w:rsidR="001237BE" w:rsidRPr="0024327D">
        <w:rPr>
          <w:lang w:val="uk-UA"/>
        </w:rPr>
        <w:t>ено</w:t>
      </w:r>
      <w:r w:rsidRPr="0024327D">
        <w:rPr>
          <w:lang w:val="uk-UA"/>
        </w:rPr>
        <w:t xml:space="preserve"> належні санкції за неоприлюднення або неподання необхідної інформації.</w:t>
      </w:r>
    </w:p>
    <w:p w14:paraId="68B64D19" w14:textId="48D52257" w:rsidR="008E5688" w:rsidRPr="0024327D" w:rsidRDefault="008E5688" w:rsidP="008E5688">
      <w:pPr>
        <w:keepNext/>
        <w:rPr>
          <w:b/>
          <w:lang w:val="uk-UA"/>
        </w:rPr>
      </w:pPr>
      <w:r w:rsidRPr="0024327D">
        <w:rPr>
          <w:b/>
          <w:lang w:val="uk-UA"/>
        </w:rPr>
        <w:t xml:space="preserve">Збори власників облігацій та </w:t>
      </w:r>
      <w:r w:rsidR="00111E2E" w:rsidRPr="0024327D">
        <w:rPr>
          <w:b/>
          <w:lang w:val="uk-UA"/>
        </w:rPr>
        <w:t>адміністратор за випуском облігацій</w:t>
      </w:r>
    </w:p>
    <w:p w14:paraId="34B8B0CB" w14:textId="30C06613" w:rsidR="008E5688" w:rsidRPr="0024327D" w:rsidRDefault="008E5688" w:rsidP="008E5688">
      <w:pPr>
        <w:rPr>
          <w:lang w:val="uk-UA"/>
        </w:rPr>
      </w:pPr>
      <w:r w:rsidRPr="0024327D">
        <w:rPr>
          <w:lang w:val="uk-UA"/>
        </w:rPr>
        <w:t xml:space="preserve">Основною метою </w:t>
      </w:r>
      <w:r w:rsidR="007B69BB" w:rsidRPr="0024327D">
        <w:rPr>
          <w:lang w:val="uk-UA"/>
        </w:rPr>
        <w:t>адміністратора за випуском облігацій</w:t>
      </w:r>
      <w:r w:rsidRPr="0024327D">
        <w:rPr>
          <w:lang w:val="uk-UA"/>
        </w:rPr>
        <w:t xml:space="preserve"> та </w:t>
      </w:r>
      <w:r w:rsidR="007B69BB" w:rsidRPr="0024327D">
        <w:rPr>
          <w:lang w:val="uk-UA"/>
        </w:rPr>
        <w:t xml:space="preserve">зборів </w:t>
      </w:r>
      <w:r w:rsidRPr="0024327D">
        <w:rPr>
          <w:lang w:val="uk-UA"/>
        </w:rPr>
        <w:t xml:space="preserve">власників облігацій у структурі сек'юритизації та </w:t>
      </w:r>
      <w:r w:rsidR="00645A85" w:rsidRPr="0024327D">
        <w:rPr>
          <w:lang w:val="uk-UA"/>
        </w:rPr>
        <w:t>облігацій з покриттям</w:t>
      </w:r>
      <w:r w:rsidRPr="0024327D">
        <w:rPr>
          <w:lang w:val="uk-UA"/>
        </w:rPr>
        <w:t xml:space="preserve"> є представництво інтересів власників облігацій та сприяння реалізації їхніх прав. Оскільки активи будуть використовуватися в якості забезпечення, </w:t>
      </w:r>
      <w:r w:rsidR="009E41E3" w:rsidRPr="0024327D">
        <w:rPr>
          <w:lang w:val="uk-UA"/>
        </w:rPr>
        <w:t>адміністратор за випуском облігацій</w:t>
      </w:r>
      <w:r w:rsidRPr="0024327D">
        <w:rPr>
          <w:lang w:val="uk-UA"/>
        </w:rPr>
        <w:t xml:space="preserve"> повинен також забезпечити </w:t>
      </w:r>
      <w:r w:rsidR="00345DD3" w:rsidRPr="0024327D">
        <w:rPr>
          <w:lang w:val="uk-UA"/>
        </w:rPr>
        <w:t xml:space="preserve">оформлення </w:t>
      </w:r>
      <w:r w:rsidRPr="0024327D">
        <w:rPr>
          <w:lang w:val="uk-UA"/>
        </w:rPr>
        <w:t xml:space="preserve">відповідного </w:t>
      </w:r>
      <w:r w:rsidR="00345DD3" w:rsidRPr="0024327D">
        <w:rPr>
          <w:lang w:val="uk-UA"/>
        </w:rPr>
        <w:t>забезп</w:t>
      </w:r>
      <w:r w:rsidR="00850E81" w:rsidRPr="0024327D">
        <w:rPr>
          <w:lang w:val="uk-UA"/>
        </w:rPr>
        <w:t>е</w:t>
      </w:r>
      <w:r w:rsidR="00345DD3" w:rsidRPr="0024327D">
        <w:rPr>
          <w:lang w:val="uk-UA"/>
        </w:rPr>
        <w:t xml:space="preserve">чувального обтяження </w:t>
      </w:r>
      <w:r w:rsidRPr="0024327D">
        <w:rPr>
          <w:lang w:val="uk-UA"/>
        </w:rPr>
        <w:t>стосовно активів.</w:t>
      </w:r>
    </w:p>
    <w:p w14:paraId="2C632720" w14:textId="5F930E1E" w:rsidR="008E5688" w:rsidRPr="0024327D" w:rsidRDefault="00EB6BFA" w:rsidP="008E5688">
      <w:pPr>
        <w:rPr>
          <w:lang w:val="uk-UA"/>
        </w:rPr>
      </w:pPr>
      <w:r w:rsidRPr="0024327D">
        <w:rPr>
          <w:lang w:val="uk-UA"/>
        </w:rPr>
        <w:t xml:space="preserve">Концепції </w:t>
      </w:r>
      <w:r w:rsidR="008E5688" w:rsidRPr="0024327D">
        <w:rPr>
          <w:lang w:val="uk-UA"/>
        </w:rPr>
        <w:t xml:space="preserve">зборів </w:t>
      </w:r>
      <w:r w:rsidR="00B90FA5" w:rsidRPr="0024327D">
        <w:rPr>
          <w:lang w:val="uk-UA"/>
        </w:rPr>
        <w:t xml:space="preserve">власників облігацій </w:t>
      </w:r>
      <w:r w:rsidR="009E41E3" w:rsidRPr="0024327D">
        <w:rPr>
          <w:lang w:val="uk-UA"/>
        </w:rPr>
        <w:t xml:space="preserve">та </w:t>
      </w:r>
      <w:r w:rsidR="00C1563E" w:rsidRPr="0024327D">
        <w:rPr>
          <w:lang w:val="uk-UA"/>
        </w:rPr>
        <w:t xml:space="preserve">адміністраторів за </w:t>
      </w:r>
      <w:r w:rsidR="00686885" w:rsidRPr="0024327D">
        <w:rPr>
          <w:lang w:val="uk-UA"/>
        </w:rPr>
        <w:t>випусками облігацій</w:t>
      </w:r>
      <w:r w:rsidR="0013051C" w:rsidRPr="0024327D">
        <w:rPr>
          <w:lang w:val="uk-UA"/>
        </w:rPr>
        <w:t xml:space="preserve"> були нещодавно запровадженні у </w:t>
      </w:r>
      <w:r w:rsidR="00CD3207" w:rsidRPr="0024327D">
        <w:rPr>
          <w:lang w:val="uk-UA"/>
        </w:rPr>
        <w:t xml:space="preserve">Законі про ринки капіталу. Застосування цих положень </w:t>
      </w:r>
      <w:r w:rsidR="00510DBC" w:rsidRPr="0024327D">
        <w:rPr>
          <w:lang w:val="uk-UA"/>
        </w:rPr>
        <w:t xml:space="preserve">вимагатиме окремих додаткових змін для цілей покриття елементів </w:t>
      </w:r>
      <w:r w:rsidR="00D6522A" w:rsidRPr="0024327D">
        <w:rPr>
          <w:lang w:val="uk-UA"/>
        </w:rPr>
        <w:t>сек’юритизації та облігацій з покриттям.</w:t>
      </w:r>
    </w:p>
    <w:p w14:paraId="40E488C0" w14:textId="14EF3C86" w:rsidR="00D645FA" w:rsidRPr="0024327D" w:rsidRDefault="00D645FA" w:rsidP="008E5688">
      <w:pPr>
        <w:keepNext/>
        <w:rPr>
          <w:b/>
          <w:lang w:val="uk-UA"/>
        </w:rPr>
      </w:pPr>
      <w:r w:rsidRPr="0024327D">
        <w:rPr>
          <w:b/>
          <w:lang w:val="uk-UA"/>
        </w:rPr>
        <w:t>Деривативні фінансові інструменти</w:t>
      </w:r>
    </w:p>
    <w:p w14:paraId="341D88C0" w14:textId="3B893069" w:rsidR="008E5688" w:rsidRPr="0024327D" w:rsidRDefault="00D645FA" w:rsidP="008E5688">
      <w:pPr>
        <w:rPr>
          <w:lang w:val="uk-UA"/>
        </w:rPr>
      </w:pPr>
      <w:r w:rsidRPr="0024327D">
        <w:rPr>
          <w:bCs/>
          <w:lang w:val="uk-UA"/>
        </w:rPr>
        <w:t xml:space="preserve">Деривативні </w:t>
      </w:r>
      <w:r w:rsidR="008E5688" w:rsidRPr="0024327D">
        <w:rPr>
          <w:bCs/>
          <w:lang w:val="uk-UA"/>
        </w:rPr>
        <w:t>фінансові інструменти</w:t>
      </w:r>
      <w:r w:rsidR="008E5688" w:rsidRPr="0024327D">
        <w:rPr>
          <w:b/>
          <w:lang w:val="uk-UA"/>
        </w:rPr>
        <w:t xml:space="preserve"> </w:t>
      </w:r>
      <w:r w:rsidR="008E5688" w:rsidRPr="0024327D">
        <w:rPr>
          <w:lang w:val="uk-UA"/>
        </w:rPr>
        <w:t xml:space="preserve">широко використовуються для зменшення ризику, що виникає внаслідок різних валютних та </w:t>
      </w:r>
      <w:r w:rsidR="00D238A4" w:rsidRPr="0024327D">
        <w:rPr>
          <w:lang w:val="uk-UA"/>
        </w:rPr>
        <w:t xml:space="preserve">відсоткових </w:t>
      </w:r>
      <w:r w:rsidR="008E5688" w:rsidRPr="0024327D">
        <w:rPr>
          <w:lang w:val="uk-UA"/>
        </w:rPr>
        <w:t>профілів активів та пасивів, а також для вдосконалення моделювання грошових потоків для інвесторів. Згадані ризики слід належним чином мінімізувати, і якщо укладається будь-який дериватив</w:t>
      </w:r>
      <w:r w:rsidRPr="0024327D">
        <w:rPr>
          <w:lang w:val="uk-UA"/>
        </w:rPr>
        <w:t>ний контракт</w:t>
      </w:r>
      <w:r w:rsidR="008E5688" w:rsidRPr="0024327D">
        <w:rPr>
          <w:lang w:val="uk-UA"/>
        </w:rPr>
        <w:t>, трансакція повинна бути належним чином задокументована.</w:t>
      </w:r>
      <w:r w:rsidR="008E5688" w:rsidRPr="0024327D">
        <w:rPr>
          <w:vertAlign w:val="superscript"/>
          <w:lang w:val="uk-UA"/>
        </w:rPr>
        <w:footnoteReference w:id="52"/>
      </w:r>
      <w:r w:rsidR="008E5688" w:rsidRPr="0024327D">
        <w:rPr>
          <w:lang w:val="uk-UA"/>
        </w:rPr>
        <w:t xml:space="preserve"> </w:t>
      </w:r>
    </w:p>
    <w:p w14:paraId="6C140065" w14:textId="2AE24F27" w:rsidR="008E5688" w:rsidRPr="0024327D" w:rsidRDefault="00D6522A" w:rsidP="008E5688">
      <w:pPr>
        <w:rPr>
          <w:color w:val="000000"/>
          <w:lang w:val="uk-UA" w:eastAsia="uk-UA"/>
        </w:rPr>
      </w:pPr>
      <w:r w:rsidRPr="0024327D">
        <w:rPr>
          <w:color w:val="000000"/>
          <w:lang w:val="uk-UA" w:eastAsia="uk-UA"/>
        </w:rPr>
        <w:t xml:space="preserve">Із запровадженням </w:t>
      </w:r>
      <w:r w:rsidR="00EF4F13" w:rsidRPr="0024327D">
        <w:rPr>
          <w:color w:val="000000"/>
          <w:lang w:val="uk-UA" w:eastAsia="uk-UA"/>
        </w:rPr>
        <w:t>реформи законодавства у сфері дериватив</w:t>
      </w:r>
      <w:r w:rsidR="00D645FA" w:rsidRPr="0024327D">
        <w:rPr>
          <w:color w:val="000000"/>
          <w:lang w:val="uk-UA" w:eastAsia="uk-UA"/>
        </w:rPr>
        <w:t xml:space="preserve">них </w:t>
      </w:r>
      <w:r w:rsidR="001846F5" w:rsidRPr="0024327D">
        <w:rPr>
          <w:color w:val="000000"/>
          <w:lang w:val="uk-UA" w:eastAsia="uk-UA"/>
        </w:rPr>
        <w:t xml:space="preserve"> фінансових інструментів</w:t>
      </w:r>
      <w:r w:rsidR="00EF4F13" w:rsidRPr="0024327D">
        <w:rPr>
          <w:color w:val="000000"/>
          <w:lang w:val="uk-UA" w:eastAsia="uk-UA"/>
        </w:rPr>
        <w:t>, що нещодавно відбулось в Україні, використання дериватив</w:t>
      </w:r>
      <w:r w:rsidR="00D645FA" w:rsidRPr="0024327D">
        <w:rPr>
          <w:color w:val="000000"/>
          <w:lang w:val="uk-UA" w:eastAsia="uk-UA"/>
        </w:rPr>
        <w:t>них ко</w:t>
      </w:r>
      <w:r w:rsidR="0071350C" w:rsidRPr="0024327D">
        <w:rPr>
          <w:color w:val="000000"/>
          <w:lang w:val="uk-UA" w:eastAsia="uk-UA"/>
        </w:rPr>
        <w:t>н</w:t>
      </w:r>
      <w:r w:rsidR="00D645FA" w:rsidRPr="0024327D">
        <w:rPr>
          <w:color w:val="000000"/>
          <w:lang w:val="uk-UA" w:eastAsia="uk-UA"/>
        </w:rPr>
        <w:t>трактів</w:t>
      </w:r>
      <w:r w:rsidR="00EF4F13" w:rsidRPr="0024327D">
        <w:rPr>
          <w:color w:val="000000"/>
          <w:lang w:val="uk-UA" w:eastAsia="uk-UA"/>
        </w:rPr>
        <w:t xml:space="preserve"> для цілей випусків облігацій з покриттям буде мати більший ступінь правової визначеності. В той самий час </w:t>
      </w:r>
      <w:r w:rsidR="001D0199" w:rsidRPr="0024327D">
        <w:rPr>
          <w:color w:val="000000"/>
          <w:lang w:val="uk-UA" w:eastAsia="uk-UA"/>
        </w:rPr>
        <w:t xml:space="preserve">додаткове </w:t>
      </w:r>
      <w:r w:rsidR="001D0199" w:rsidRPr="0024327D">
        <w:rPr>
          <w:color w:val="000000"/>
          <w:lang w:val="uk-UA" w:eastAsia="uk-UA"/>
        </w:rPr>
        <w:lastRenderedPageBreak/>
        <w:t>регулювання, специфічне для сфери облігацій з покриттям, буде необхі</w:t>
      </w:r>
      <w:r w:rsidR="00327981" w:rsidRPr="0024327D">
        <w:rPr>
          <w:color w:val="000000"/>
          <w:lang w:val="uk-UA" w:eastAsia="uk-UA"/>
        </w:rPr>
        <w:t>д</w:t>
      </w:r>
      <w:r w:rsidR="001D0199" w:rsidRPr="0024327D">
        <w:rPr>
          <w:color w:val="000000"/>
          <w:lang w:val="uk-UA" w:eastAsia="uk-UA"/>
        </w:rPr>
        <w:t>не</w:t>
      </w:r>
      <w:r w:rsidR="00327981" w:rsidRPr="0024327D">
        <w:rPr>
          <w:color w:val="000000"/>
          <w:lang w:val="uk-UA" w:eastAsia="uk-UA"/>
        </w:rPr>
        <w:t xml:space="preserve"> для забезпечення належного використання дериватив</w:t>
      </w:r>
      <w:r w:rsidR="00D645FA" w:rsidRPr="0024327D">
        <w:rPr>
          <w:color w:val="000000"/>
          <w:lang w:val="uk-UA" w:eastAsia="uk-UA"/>
        </w:rPr>
        <w:t>них контрактів</w:t>
      </w:r>
      <w:r w:rsidR="00327981" w:rsidRPr="0024327D">
        <w:rPr>
          <w:color w:val="000000"/>
          <w:lang w:val="uk-UA" w:eastAsia="uk-UA"/>
        </w:rPr>
        <w:t xml:space="preserve"> та </w:t>
      </w:r>
      <w:r w:rsidR="00754969" w:rsidRPr="0024327D">
        <w:rPr>
          <w:color w:val="000000"/>
          <w:lang w:val="uk-UA" w:eastAsia="uk-UA"/>
        </w:rPr>
        <w:t>підтримання високої якості інструменту облігацій з покриттям (</w:t>
      </w:r>
      <w:r w:rsidR="00544AD5" w:rsidRPr="0024327D">
        <w:rPr>
          <w:color w:val="000000"/>
          <w:lang w:val="uk-UA" w:eastAsia="uk-UA"/>
        </w:rPr>
        <w:t>наприклад, запровадження обмежень щодо мети укладення дериватив</w:t>
      </w:r>
      <w:r w:rsidR="00D645FA" w:rsidRPr="0024327D">
        <w:rPr>
          <w:color w:val="000000"/>
          <w:lang w:val="uk-UA" w:eastAsia="uk-UA"/>
        </w:rPr>
        <w:t>них контрактів</w:t>
      </w:r>
      <w:r w:rsidR="00544AD5" w:rsidRPr="0024327D">
        <w:rPr>
          <w:color w:val="000000"/>
          <w:lang w:val="uk-UA" w:eastAsia="uk-UA"/>
        </w:rPr>
        <w:t>, встановлення вимог до контрагентів за дериватив</w:t>
      </w:r>
      <w:r w:rsidR="00D645FA" w:rsidRPr="0024327D">
        <w:rPr>
          <w:color w:val="000000"/>
          <w:lang w:val="uk-UA" w:eastAsia="uk-UA"/>
        </w:rPr>
        <w:t>ними контрактами</w:t>
      </w:r>
      <w:r w:rsidR="00544AD5" w:rsidRPr="0024327D">
        <w:rPr>
          <w:color w:val="000000"/>
          <w:lang w:val="uk-UA" w:eastAsia="uk-UA"/>
        </w:rPr>
        <w:t>, і т.п.).</w:t>
      </w:r>
    </w:p>
    <w:p w14:paraId="4BEA1D64" w14:textId="32C26C5D" w:rsidR="008A10CA" w:rsidRPr="0024327D" w:rsidRDefault="008A10CA" w:rsidP="008A10CA">
      <w:pPr>
        <w:keepNext/>
        <w:rPr>
          <w:b/>
          <w:lang w:val="uk-UA"/>
        </w:rPr>
      </w:pPr>
      <w:r w:rsidRPr="0024327D">
        <w:rPr>
          <w:b/>
          <w:lang w:val="uk-UA"/>
        </w:rPr>
        <w:t>Оцін</w:t>
      </w:r>
      <w:r w:rsidR="001237BE" w:rsidRPr="0024327D">
        <w:rPr>
          <w:b/>
          <w:lang w:val="uk-UA"/>
        </w:rPr>
        <w:t>ка</w:t>
      </w:r>
    </w:p>
    <w:p w14:paraId="5A9EE8B5" w14:textId="00FA0684" w:rsidR="00D36B35" w:rsidRPr="0024327D" w:rsidRDefault="008A10CA" w:rsidP="008A10CA">
      <w:pPr>
        <w:rPr>
          <w:color w:val="000000"/>
          <w:lang w:val="uk-UA" w:eastAsia="uk-UA"/>
        </w:rPr>
      </w:pPr>
      <w:r w:rsidRPr="0024327D">
        <w:rPr>
          <w:color w:val="000000"/>
          <w:lang w:val="uk-UA" w:eastAsia="uk-UA"/>
        </w:rPr>
        <w:t>Активи, включені до пулу покриття, повинні належним чином оцінюватися згідно з відповідними правилами оцін</w:t>
      </w:r>
      <w:r w:rsidR="001237BE" w:rsidRPr="0024327D">
        <w:rPr>
          <w:color w:val="000000"/>
          <w:lang w:val="uk-UA" w:eastAsia="uk-UA"/>
        </w:rPr>
        <w:t>ки</w:t>
      </w:r>
      <w:r w:rsidRPr="0024327D">
        <w:rPr>
          <w:color w:val="000000"/>
          <w:lang w:val="uk-UA" w:eastAsia="uk-UA"/>
        </w:rPr>
        <w:t>. Так</w:t>
      </w:r>
      <w:r w:rsidR="001237BE" w:rsidRPr="0024327D">
        <w:rPr>
          <w:color w:val="000000"/>
          <w:lang w:val="uk-UA" w:eastAsia="uk-UA"/>
        </w:rPr>
        <w:t>у</w:t>
      </w:r>
      <w:r w:rsidRPr="0024327D">
        <w:rPr>
          <w:color w:val="000000"/>
          <w:lang w:val="uk-UA" w:eastAsia="uk-UA"/>
        </w:rPr>
        <w:t xml:space="preserve"> оцін</w:t>
      </w:r>
      <w:r w:rsidR="001237BE" w:rsidRPr="0024327D">
        <w:rPr>
          <w:color w:val="000000"/>
          <w:lang w:val="uk-UA" w:eastAsia="uk-UA"/>
        </w:rPr>
        <w:t>ку</w:t>
      </w:r>
      <w:r w:rsidRPr="0024327D">
        <w:rPr>
          <w:color w:val="000000"/>
          <w:lang w:val="uk-UA" w:eastAsia="uk-UA"/>
        </w:rPr>
        <w:t xml:space="preserve"> має проводити оцінювач, який </w:t>
      </w:r>
      <w:r w:rsidR="001237BE" w:rsidRPr="0024327D">
        <w:rPr>
          <w:color w:val="000000"/>
          <w:lang w:val="uk-UA" w:eastAsia="uk-UA"/>
        </w:rPr>
        <w:t>має</w:t>
      </w:r>
      <w:r w:rsidRPr="0024327D">
        <w:rPr>
          <w:color w:val="000000"/>
          <w:lang w:val="uk-UA" w:eastAsia="uk-UA"/>
        </w:rPr>
        <w:t xml:space="preserve"> необхідн</w:t>
      </w:r>
      <w:r w:rsidR="001237BE" w:rsidRPr="0024327D">
        <w:rPr>
          <w:color w:val="000000"/>
          <w:lang w:val="uk-UA" w:eastAsia="uk-UA"/>
        </w:rPr>
        <w:t>у</w:t>
      </w:r>
      <w:r w:rsidRPr="0024327D">
        <w:rPr>
          <w:color w:val="000000"/>
          <w:lang w:val="uk-UA" w:eastAsia="uk-UA"/>
        </w:rPr>
        <w:t xml:space="preserve"> кваліфікацію, здібност</w:t>
      </w:r>
      <w:r w:rsidR="001237BE" w:rsidRPr="0024327D">
        <w:rPr>
          <w:color w:val="000000"/>
          <w:lang w:val="uk-UA" w:eastAsia="uk-UA"/>
        </w:rPr>
        <w:t>і</w:t>
      </w:r>
      <w:r w:rsidRPr="0024327D">
        <w:rPr>
          <w:color w:val="000000"/>
          <w:lang w:val="uk-UA" w:eastAsia="uk-UA"/>
        </w:rPr>
        <w:t xml:space="preserve"> та досвід і є незалежним від процесу прийняття рішень</w:t>
      </w:r>
      <w:r w:rsidR="00261550" w:rsidRPr="0024327D">
        <w:rPr>
          <w:color w:val="000000"/>
          <w:lang w:val="uk-UA" w:eastAsia="uk-UA"/>
        </w:rPr>
        <w:t xml:space="preserve"> щодо</w:t>
      </w:r>
      <w:r w:rsidR="006E3526" w:rsidRPr="0024327D">
        <w:rPr>
          <w:color w:val="000000"/>
          <w:lang w:val="uk-UA" w:eastAsia="uk-UA"/>
        </w:rPr>
        <w:t xml:space="preserve"> кредитування</w:t>
      </w:r>
      <w:r w:rsidRPr="0024327D">
        <w:rPr>
          <w:color w:val="000000"/>
          <w:lang w:val="uk-UA" w:eastAsia="uk-UA"/>
        </w:rPr>
        <w:t>.</w:t>
      </w:r>
      <w:r w:rsidR="006E3526" w:rsidRPr="0024327D">
        <w:rPr>
          <w:rStyle w:val="af2"/>
          <w:color w:val="000000"/>
          <w:lang w:val="uk-UA" w:eastAsia="uk-UA"/>
        </w:rPr>
        <w:footnoteReference w:id="53"/>
      </w:r>
      <w:r w:rsidRPr="0024327D">
        <w:rPr>
          <w:color w:val="000000"/>
          <w:lang w:val="uk-UA" w:eastAsia="uk-UA"/>
        </w:rPr>
        <w:t xml:space="preserve"> Дотримання таких стандартів може вимагати ширшої реформи щодо оцін</w:t>
      </w:r>
      <w:r w:rsidR="001237BE" w:rsidRPr="0024327D">
        <w:rPr>
          <w:color w:val="000000"/>
          <w:lang w:val="uk-UA" w:eastAsia="uk-UA"/>
        </w:rPr>
        <w:t>ки</w:t>
      </w:r>
      <w:r w:rsidRPr="0024327D">
        <w:rPr>
          <w:color w:val="000000"/>
          <w:lang w:val="uk-UA" w:eastAsia="uk-UA"/>
        </w:rPr>
        <w:t xml:space="preserve">, яка виходить за рамки цієї </w:t>
      </w:r>
      <w:r w:rsidR="001251E5" w:rsidRPr="0024327D">
        <w:rPr>
          <w:color w:val="000000"/>
          <w:lang w:val="uk-UA" w:eastAsia="uk-UA"/>
        </w:rPr>
        <w:t>К</w:t>
      </w:r>
      <w:r w:rsidRPr="0024327D">
        <w:rPr>
          <w:color w:val="000000"/>
          <w:lang w:val="uk-UA" w:eastAsia="uk-UA"/>
        </w:rPr>
        <w:t xml:space="preserve">онцепції, і яка, серед іншого, забезпечить, щоб балансова вартість активів відображала їх поточну ринкову вартість або вартість </w:t>
      </w:r>
      <w:r w:rsidR="002A55E4" w:rsidRPr="0024327D">
        <w:rPr>
          <w:color w:val="000000"/>
          <w:lang w:val="uk-UA" w:eastAsia="uk-UA"/>
        </w:rPr>
        <w:t xml:space="preserve">для цілей </w:t>
      </w:r>
      <w:r w:rsidRPr="0024327D">
        <w:rPr>
          <w:color w:val="000000"/>
          <w:lang w:val="uk-UA" w:eastAsia="uk-UA"/>
        </w:rPr>
        <w:t>іпотечного кредитування.</w:t>
      </w:r>
    </w:p>
    <w:p w14:paraId="566009F1"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63" w:name="_Toc95481017"/>
      <w:r w:rsidRPr="0024327D">
        <w:rPr>
          <w:rFonts w:eastAsiaTheme="majorEastAsia" w:cstheme="majorBidi"/>
          <w:color w:val="2E74B5" w:themeColor="accent1" w:themeShade="BF"/>
          <w:sz w:val="28"/>
          <w:szCs w:val="28"/>
          <w:lang w:val="uk-UA"/>
        </w:rPr>
        <w:t>Режим контролю</w:t>
      </w:r>
      <w:bookmarkEnd w:id="163"/>
    </w:p>
    <w:p w14:paraId="3D6A4814" w14:textId="32F42EBF" w:rsidR="008E5688" w:rsidRPr="0024327D" w:rsidRDefault="008E5688" w:rsidP="008E5688">
      <w:pPr>
        <w:rPr>
          <w:lang w:val="uk-UA"/>
        </w:rPr>
      </w:pPr>
      <w:r w:rsidRPr="0024327D">
        <w:rPr>
          <w:lang w:val="uk-UA"/>
        </w:rPr>
        <w:t xml:space="preserve">Існування спеціального механізму контролю є однією з ключових визначальних ознак </w:t>
      </w:r>
      <w:r w:rsidR="00645A85" w:rsidRPr="0024327D">
        <w:rPr>
          <w:lang w:val="uk-UA"/>
        </w:rPr>
        <w:t>облігацій з покриттям</w:t>
      </w:r>
      <w:r w:rsidRPr="0024327D">
        <w:rPr>
          <w:lang w:val="uk-UA"/>
        </w:rPr>
        <w:t>.</w:t>
      </w:r>
    </w:p>
    <w:p w14:paraId="315C05D4" w14:textId="5CB233A6" w:rsidR="008E5688" w:rsidRPr="0024327D" w:rsidRDefault="008E5688" w:rsidP="008E5688">
      <w:pPr>
        <w:rPr>
          <w:lang w:val="uk-UA"/>
        </w:rPr>
      </w:pPr>
      <w:r w:rsidRPr="0024327D">
        <w:rPr>
          <w:lang w:val="uk-UA"/>
        </w:rPr>
        <w:t xml:space="preserve">Контроль за </w:t>
      </w:r>
      <w:r w:rsidR="00645A85" w:rsidRPr="0024327D">
        <w:rPr>
          <w:lang w:val="uk-UA"/>
        </w:rPr>
        <w:t>облігаціями з покриттям</w:t>
      </w:r>
      <w:r w:rsidRPr="0024327D">
        <w:rPr>
          <w:lang w:val="uk-UA"/>
        </w:rPr>
        <w:t xml:space="preserve"> повинен забезпечувати такі елементи:</w:t>
      </w:r>
    </w:p>
    <w:p w14:paraId="32585256" w14:textId="76D82332" w:rsidR="008E5688" w:rsidRPr="0024327D" w:rsidRDefault="008E5688" w:rsidP="008E5688">
      <w:pPr>
        <w:rPr>
          <w:lang w:val="uk-UA"/>
        </w:rPr>
      </w:pPr>
      <w:r w:rsidRPr="0024327D">
        <w:rPr>
          <w:lang w:val="uk-UA"/>
        </w:rPr>
        <w:t xml:space="preserve">1. Структура повинна включати спеціальний державний </w:t>
      </w:r>
      <w:r w:rsidR="00D23A06" w:rsidRPr="0024327D">
        <w:rPr>
          <w:lang w:val="uk-UA"/>
        </w:rPr>
        <w:t xml:space="preserve">нагляд </w:t>
      </w:r>
      <w:r w:rsidR="0098457C" w:rsidRPr="0024327D">
        <w:rPr>
          <w:lang w:val="uk-UA"/>
        </w:rPr>
        <w:t xml:space="preserve">зі сторони </w:t>
      </w:r>
      <w:r w:rsidRPr="0024327D">
        <w:rPr>
          <w:lang w:val="uk-UA"/>
        </w:rPr>
        <w:t xml:space="preserve">уповноваженого органу, відповідального за моніторинг </w:t>
      </w:r>
      <w:r w:rsidR="00645A85" w:rsidRPr="0024327D">
        <w:rPr>
          <w:lang w:val="uk-UA"/>
        </w:rPr>
        <w:t>облігацій з покриттям</w:t>
      </w:r>
      <w:r w:rsidR="00352A12" w:rsidRPr="0024327D">
        <w:rPr>
          <w:lang w:val="uk-UA"/>
        </w:rPr>
        <w:t xml:space="preserve"> (</w:t>
      </w:r>
      <w:r w:rsidR="00393468" w:rsidRPr="0024327D">
        <w:rPr>
          <w:lang w:val="uk-UA"/>
        </w:rPr>
        <w:t>НКЦПФР та/або НБУ)</w:t>
      </w:r>
      <w:r w:rsidRPr="0024327D">
        <w:rPr>
          <w:lang w:val="uk-UA"/>
        </w:rPr>
        <w:t xml:space="preserve"> для оцінки відповідності законодавству, відповідної реєстрації та документації. Уповноважений орган повинен мати необхідні повноваження та ресурси для здійснення цієї функції, включаючи права на отримання інформації від емітента та можливість застосовувати кор</w:t>
      </w:r>
      <w:r w:rsidR="00BB504F" w:rsidRPr="0024327D">
        <w:rPr>
          <w:lang w:val="uk-UA"/>
        </w:rPr>
        <w:t>игувальні</w:t>
      </w:r>
      <w:r w:rsidRPr="0024327D">
        <w:rPr>
          <w:lang w:val="uk-UA"/>
        </w:rPr>
        <w:t xml:space="preserve"> заходи та покарання за порушення. Відповідно до Директиви про </w:t>
      </w:r>
      <w:r w:rsidR="009916ED" w:rsidRPr="0024327D">
        <w:rPr>
          <w:lang w:val="uk-UA"/>
        </w:rPr>
        <w:t xml:space="preserve">облігації з покриттям </w:t>
      </w:r>
      <w:r w:rsidRPr="0024327D">
        <w:rPr>
          <w:lang w:val="uk-UA"/>
        </w:rPr>
        <w:t xml:space="preserve">державний контроль за </w:t>
      </w:r>
      <w:r w:rsidR="00645A85" w:rsidRPr="0024327D">
        <w:rPr>
          <w:lang w:val="uk-UA"/>
        </w:rPr>
        <w:t>облігаціями з покриттям</w:t>
      </w:r>
      <w:r w:rsidRPr="0024327D">
        <w:rPr>
          <w:lang w:val="uk-UA"/>
        </w:rPr>
        <w:t xml:space="preserve"> повинен відрізнятися від загального контролю за кредитними установами. Однак, необхідно забезпечити тісну співпрацю </w:t>
      </w:r>
      <w:r w:rsidR="000A10F5" w:rsidRPr="0024327D">
        <w:rPr>
          <w:lang w:val="uk-UA"/>
        </w:rPr>
        <w:t>НКЦПФР та НБУ.</w:t>
      </w:r>
      <w:r w:rsidR="000A10F5" w:rsidRPr="0024327D">
        <w:rPr>
          <w:rStyle w:val="af2"/>
          <w:lang w:val="uk-UA"/>
        </w:rPr>
        <w:footnoteReference w:id="54"/>
      </w:r>
      <w:r w:rsidR="000A678E" w:rsidRPr="0024327D">
        <w:rPr>
          <w:lang w:val="uk-UA"/>
        </w:rPr>
        <w:t xml:space="preserve"> Наприклад, закон міг би встановити дворівневу процедуру погодження випуску облігацій: спочатку</w:t>
      </w:r>
      <w:r w:rsidR="002A55E4" w:rsidRPr="0024327D">
        <w:rPr>
          <w:lang w:val="uk-UA"/>
        </w:rPr>
        <w:t xml:space="preserve"> з боку</w:t>
      </w:r>
      <w:r w:rsidR="000A678E" w:rsidRPr="0024327D">
        <w:rPr>
          <w:lang w:val="uk-UA"/>
        </w:rPr>
        <w:t xml:space="preserve"> НБУ (для перевірки нормативних вимог до пулу активів), а </w:t>
      </w:r>
      <w:r w:rsidR="002A55E4" w:rsidRPr="0024327D">
        <w:rPr>
          <w:lang w:val="uk-UA"/>
        </w:rPr>
        <w:t>далі</w:t>
      </w:r>
      <w:r w:rsidR="000A678E" w:rsidRPr="0024327D">
        <w:rPr>
          <w:lang w:val="uk-UA"/>
        </w:rPr>
        <w:t xml:space="preserve"> — НКЦПФР (для перевірки відповідності вимогам </w:t>
      </w:r>
      <w:r w:rsidR="002A55E4" w:rsidRPr="0024327D">
        <w:rPr>
          <w:lang w:val="uk-UA"/>
        </w:rPr>
        <w:t>що</w:t>
      </w:r>
      <w:r w:rsidR="000A678E" w:rsidRPr="0024327D">
        <w:rPr>
          <w:lang w:val="uk-UA"/>
        </w:rPr>
        <w:t xml:space="preserve">до </w:t>
      </w:r>
      <w:r w:rsidR="002A55E4" w:rsidRPr="0024327D">
        <w:rPr>
          <w:lang w:val="uk-UA"/>
        </w:rPr>
        <w:t>розкриття</w:t>
      </w:r>
      <w:r w:rsidR="000A678E" w:rsidRPr="0024327D">
        <w:rPr>
          <w:lang w:val="uk-UA"/>
        </w:rPr>
        <w:t>).</w:t>
      </w:r>
    </w:p>
    <w:p w14:paraId="015B6930" w14:textId="5CCB25EE" w:rsidR="008E5688" w:rsidRPr="0024327D" w:rsidRDefault="008E5688" w:rsidP="008E5688">
      <w:pPr>
        <w:rPr>
          <w:lang w:val="uk-UA"/>
        </w:rPr>
      </w:pPr>
      <w:r w:rsidRPr="0024327D">
        <w:rPr>
          <w:lang w:val="uk-UA"/>
        </w:rPr>
        <w:t xml:space="preserve">2. Процес контролю за програмою </w:t>
      </w:r>
      <w:r w:rsidR="00645A85" w:rsidRPr="0024327D">
        <w:rPr>
          <w:lang w:val="uk-UA"/>
        </w:rPr>
        <w:t>облігацій з покриттям</w:t>
      </w:r>
      <w:r w:rsidRPr="0024327D">
        <w:rPr>
          <w:lang w:val="uk-UA"/>
        </w:rPr>
        <w:t xml:space="preserve"> при</w:t>
      </w:r>
      <w:r w:rsidR="00827130" w:rsidRPr="0024327D">
        <w:rPr>
          <w:lang w:val="uk-UA"/>
        </w:rPr>
        <w:t xml:space="preserve"> тимчасовій адміністрації (ліквідації</w:t>
      </w:r>
      <w:r w:rsidRPr="0024327D">
        <w:rPr>
          <w:lang w:val="uk-UA"/>
        </w:rPr>
        <w:t>) кредитних установ. НКЦПФР повинна мати необхідні повноваження, щоб забезпечити збереження прав та інтересів інвесторів в облігації</w:t>
      </w:r>
      <w:r w:rsidR="009916ED" w:rsidRPr="0024327D">
        <w:rPr>
          <w:lang w:val="uk-UA"/>
        </w:rPr>
        <w:t xml:space="preserve"> з покриттям</w:t>
      </w:r>
      <w:r w:rsidRPr="0024327D">
        <w:rPr>
          <w:lang w:val="uk-UA"/>
        </w:rPr>
        <w:t xml:space="preserve">, в тому числі, принаймні, шляхом перевірки безперервного та надійного управління програмою </w:t>
      </w:r>
      <w:r w:rsidR="00645A85" w:rsidRPr="0024327D">
        <w:rPr>
          <w:lang w:val="uk-UA"/>
        </w:rPr>
        <w:t>облігацій з покриттям</w:t>
      </w:r>
      <w:r w:rsidRPr="0024327D">
        <w:rPr>
          <w:lang w:val="uk-UA"/>
        </w:rPr>
        <w:t xml:space="preserve"> протягом періоду</w:t>
      </w:r>
      <w:r w:rsidR="001C3321" w:rsidRPr="0024327D">
        <w:rPr>
          <w:lang w:val="uk-UA"/>
        </w:rPr>
        <w:t xml:space="preserve"> з</w:t>
      </w:r>
      <w:r w:rsidR="00E92CA4" w:rsidRPr="0024327D">
        <w:rPr>
          <w:lang w:val="uk-UA"/>
        </w:rPr>
        <w:t>дійснення тимчасової адміністрації</w:t>
      </w:r>
      <w:r w:rsidR="001D43A3" w:rsidRPr="0024327D">
        <w:rPr>
          <w:lang w:val="uk-UA"/>
        </w:rPr>
        <w:t xml:space="preserve"> (ліквідації)</w:t>
      </w:r>
      <w:r w:rsidRPr="0024327D">
        <w:rPr>
          <w:lang w:val="uk-UA"/>
        </w:rPr>
        <w:t>. Це включає, серед іншого, відповідні повноваження, що стосуються призначення та звільнення</w:t>
      </w:r>
      <w:r w:rsidR="0024720F" w:rsidRPr="0024327D">
        <w:rPr>
          <w:lang w:val="uk-UA"/>
        </w:rPr>
        <w:t>/ заміну</w:t>
      </w:r>
      <w:r w:rsidRPr="0024327D">
        <w:rPr>
          <w:lang w:val="uk-UA"/>
        </w:rPr>
        <w:t xml:space="preserve"> </w:t>
      </w:r>
      <w:r w:rsidR="00E92CA4" w:rsidRPr="0024327D">
        <w:rPr>
          <w:lang w:val="uk-UA"/>
        </w:rPr>
        <w:t>С</w:t>
      </w:r>
      <w:r w:rsidRPr="0024327D">
        <w:rPr>
          <w:lang w:val="uk-UA"/>
        </w:rPr>
        <w:t>пеціального адміністратора</w:t>
      </w:r>
      <w:r w:rsidR="003156EC" w:rsidRPr="0024327D">
        <w:rPr>
          <w:rStyle w:val="af2"/>
          <w:lang w:val="uk-UA"/>
        </w:rPr>
        <w:footnoteReference w:id="55"/>
      </w:r>
      <w:r w:rsidRPr="0024327D">
        <w:rPr>
          <w:lang w:val="uk-UA"/>
        </w:rPr>
        <w:t xml:space="preserve">, який керує програмою </w:t>
      </w:r>
      <w:r w:rsidR="00645A85" w:rsidRPr="0024327D">
        <w:rPr>
          <w:lang w:val="uk-UA"/>
        </w:rPr>
        <w:t>облігацій з покриттям</w:t>
      </w:r>
      <w:r w:rsidRPr="0024327D">
        <w:rPr>
          <w:lang w:val="uk-UA"/>
        </w:rPr>
        <w:t>. Слід встановити правила співпраці НКЦПФР та органу</w:t>
      </w:r>
      <w:r w:rsidR="0056544F" w:rsidRPr="0024327D">
        <w:rPr>
          <w:lang w:val="uk-UA"/>
        </w:rPr>
        <w:t xml:space="preserve"> (ФГВФО)</w:t>
      </w:r>
      <w:r w:rsidR="00E92CA4" w:rsidRPr="0024327D">
        <w:rPr>
          <w:lang w:val="uk-UA"/>
        </w:rPr>
        <w:t>, що здійснює тимчасову адміністрацію</w:t>
      </w:r>
      <w:r w:rsidR="00945061" w:rsidRPr="0024327D">
        <w:rPr>
          <w:lang w:val="uk-UA"/>
        </w:rPr>
        <w:t xml:space="preserve"> (ліквідацію)</w:t>
      </w:r>
      <w:r w:rsidRPr="0024327D">
        <w:rPr>
          <w:lang w:val="uk-UA"/>
        </w:rPr>
        <w:t>, включаючи правила щодо координації та обміну інформацією для цілей процесу</w:t>
      </w:r>
      <w:r w:rsidR="00E92CA4" w:rsidRPr="0024327D">
        <w:rPr>
          <w:lang w:val="uk-UA"/>
        </w:rPr>
        <w:t xml:space="preserve"> тимчасової адміністрації (ліквідації)</w:t>
      </w:r>
      <w:r w:rsidRPr="0024327D">
        <w:rPr>
          <w:lang w:val="uk-UA"/>
        </w:rPr>
        <w:t>).</w:t>
      </w:r>
    </w:p>
    <w:p w14:paraId="600C25CE" w14:textId="625AC432" w:rsidR="001964B4" w:rsidRPr="0024327D" w:rsidRDefault="001964B4" w:rsidP="008E5688">
      <w:pPr>
        <w:rPr>
          <w:lang w:val="uk-UA"/>
        </w:rPr>
      </w:pPr>
      <w:r w:rsidRPr="0024327D">
        <w:rPr>
          <w:lang w:val="uk-UA"/>
        </w:rPr>
        <w:t>Оскільки як облігації з покриттям, так і сек’юритизація – відносно нові</w:t>
      </w:r>
      <w:r w:rsidR="002A55E4" w:rsidRPr="0024327D">
        <w:rPr>
          <w:lang w:val="uk-UA"/>
        </w:rPr>
        <w:t xml:space="preserve"> для України</w:t>
      </w:r>
      <w:r w:rsidRPr="0024327D">
        <w:rPr>
          <w:lang w:val="uk-UA"/>
        </w:rPr>
        <w:t xml:space="preserve"> </w:t>
      </w:r>
      <w:r w:rsidR="002A55E4" w:rsidRPr="0024327D">
        <w:rPr>
          <w:lang w:val="uk-UA"/>
        </w:rPr>
        <w:t>концепції</w:t>
      </w:r>
      <w:r w:rsidRPr="0024327D">
        <w:rPr>
          <w:lang w:val="uk-UA"/>
        </w:rPr>
        <w:t>, було б доцільно забезпечити певний рівень нагляду не лише щодо облігацій з покриттям, а й щодо сек’юритизації.</w:t>
      </w:r>
    </w:p>
    <w:p w14:paraId="2ADF15E7"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64" w:name="_Toc95481018"/>
      <w:r w:rsidRPr="0024327D">
        <w:rPr>
          <w:rFonts w:eastAsiaTheme="majorEastAsia" w:cstheme="majorBidi"/>
          <w:color w:val="2E74B5" w:themeColor="accent1" w:themeShade="BF"/>
          <w:sz w:val="28"/>
          <w:szCs w:val="28"/>
          <w:lang w:val="uk-UA"/>
        </w:rPr>
        <w:lastRenderedPageBreak/>
        <w:t>Рейтинги та розподіл капіталу</w:t>
      </w:r>
      <w:bookmarkEnd w:id="164"/>
    </w:p>
    <w:p w14:paraId="4B5812FD" w14:textId="77777777" w:rsidR="008E5688" w:rsidRPr="0024327D" w:rsidRDefault="008E5688" w:rsidP="008E5688">
      <w:pPr>
        <w:keepNext/>
        <w:rPr>
          <w:b/>
          <w:lang w:val="uk-UA"/>
        </w:rPr>
      </w:pPr>
      <w:r w:rsidRPr="0024327D">
        <w:rPr>
          <w:b/>
          <w:lang w:val="uk-UA"/>
        </w:rPr>
        <w:t>Рейтинг ризиків сек'юритизації</w:t>
      </w:r>
    </w:p>
    <w:p w14:paraId="0CDD519D" w14:textId="1D8C0FB0" w:rsidR="008E5688" w:rsidRPr="0024327D" w:rsidRDefault="008E5688" w:rsidP="008E5688">
      <w:pPr>
        <w:rPr>
          <w:lang w:val="uk-UA"/>
        </w:rPr>
      </w:pPr>
      <w:r w:rsidRPr="0024327D">
        <w:rPr>
          <w:lang w:val="uk-UA"/>
        </w:rPr>
        <w:t>Інвестори незмінно вимагають зовнішньо</w:t>
      </w:r>
      <w:r w:rsidR="00190D1C" w:rsidRPr="0024327D">
        <w:rPr>
          <w:lang w:val="uk-UA"/>
        </w:rPr>
        <w:t>ї оцінки</w:t>
      </w:r>
      <w:r w:rsidRPr="0024327D">
        <w:rPr>
          <w:lang w:val="uk-UA"/>
        </w:rPr>
        <w:t xml:space="preserve"> кредитного рейтингу для облігацій, випущених у рамках сек'юритизації та </w:t>
      </w:r>
      <w:r w:rsidR="00645A85" w:rsidRPr="0024327D">
        <w:rPr>
          <w:lang w:val="uk-UA"/>
        </w:rPr>
        <w:t>облігацій з покриттям</w:t>
      </w:r>
      <w:r w:rsidRPr="0024327D">
        <w:rPr>
          <w:lang w:val="uk-UA"/>
        </w:rPr>
        <w:t xml:space="preserve">. </w:t>
      </w:r>
    </w:p>
    <w:p w14:paraId="219099CD" w14:textId="6918474A" w:rsidR="008E5688" w:rsidRPr="0024327D" w:rsidRDefault="008E5688" w:rsidP="008E5688">
      <w:pPr>
        <w:rPr>
          <w:lang w:val="uk-UA"/>
        </w:rPr>
      </w:pPr>
      <w:r w:rsidRPr="0024327D">
        <w:rPr>
          <w:lang w:val="uk-UA"/>
        </w:rPr>
        <w:t>Цей рейтинг має значення для оцінки кредитного ризику, дотримання інвестиційних правил та</w:t>
      </w:r>
      <w:r w:rsidR="00D27D22" w:rsidRPr="0024327D">
        <w:rPr>
          <w:lang w:val="uk-UA"/>
        </w:rPr>
        <w:t xml:space="preserve"> для регуляторних цілей</w:t>
      </w:r>
      <w:r w:rsidRPr="0024327D">
        <w:rPr>
          <w:lang w:val="uk-UA"/>
        </w:rPr>
        <w:t>.</w:t>
      </w:r>
    </w:p>
    <w:p w14:paraId="436915EE" w14:textId="77777777" w:rsidR="008E5688" w:rsidRPr="0024327D" w:rsidRDefault="008E5688" w:rsidP="008E5688">
      <w:pPr>
        <w:keepNext/>
        <w:rPr>
          <w:i/>
          <w:lang w:val="uk-UA"/>
        </w:rPr>
      </w:pPr>
      <w:r w:rsidRPr="0024327D">
        <w:rPr>
          <w:i/>
          <w:lang w:val="uk-UA"/>
        </w:rPr>
        <w:t xml:space="preserve">Оцінка кредитного ризику </w:t>
      </w:r>
    </w:p>
    <w:p w14:paraId="317B17BD" w14:textId="214293FA" w:rsidR="008E5688" w:rsidRPr="0024327D" w:rsidRDefault="008E5688" w:rsidP="008E5688">
      <w:pPr>
        <w:rPr>
          <w:lang w:val="uk-UA"/>
        </w:rPr>
      </w:pPr>
      <w:r w:rsidRPr="0024327D">
        <w:rPr>
          <w:lang w:val="uk-UA"/>
        </w:rPr>
        <w:t>Інвестори визнають, що рейтингові агентства можуть провести більш ретельний аналіз кредитних ризиків трансакції, ніж вони самі, і, зокрема, порівняти ступінь ризику і, як наслідок, вартість різних</w:t>
      </w:r>
      <w:r w:rsidR="00186502" w:rsidRPr="0024327D">
        <w:rPr>
          <w:lang w:val="uk-UA"/>
        </w:rPr>
        <w:t xml:space="preserve"> активів</w:t>
      </w:r>
      <w:r w:rsidRPr="0024327D">
        <w:rPr>
          <w:lang w:val="uk-UA"/>
        </w:rPr>
        <w:t>. Вони також</w:t>
      </w:r>
      <w:r w:rsidR="00E6042F" w:rsidRPr="0024327D">
        <w:rPr>
          <w:lang w:val="uk-UA"/>
        </w:rPr>
        <w:t xml:space="preserve"> розуміють</w:t>
      </w:r>
      <w:r w:rsidRPr="0024327D">
        <w:rPr>
          <w:lang w:val="uk-UA"/>
        </w:rPr>
        <w:t xml:space="preserve">, що </w:t>
      </w:r>
      <w:r w:rsidR="00E6042F" w:rsidRPr="0024327D">
        <w:rPr>
          <w:lang w:val="uk-UA"/>
        </w:rPr>
        <w:t xml:space="preserve">присвоєння </w:t>
      </w:r>
      <w:r w:rsidRPr="0024327D">
        <w:rPr>
          <w:lang w:val="uk-UA"/>
        </w:rPr>
        <w:t>рейтинг</w:t>
      </w:r>
      <w:r w:rsidR="00E6042F" w:rsidRPr="0024327D">
        <w:rPr>
          <w:lang w:val="uk-UA"/>
        </w:rPr>
        <w:t>у</w:t>
      </w:r>
      <w:r w:rsidRPr="0024327D">
        <w:rPr>
          <w:lang w:val="uk-UA"/>
        </w:rPr>
        <w:t xml:space="preserve"> опосередковано </w:t>
      </w:r>
      <w:r w:rsidR="00856372" w:rsidRPr="0024327D">
        <w:rPr>
          <w:lang w:val="uk-UA"/>
        </w:rPr>
        <w:t xml:space="preserve">означає </w:t>
      </w:r>
      <w:r w:rsidRPr="0024327D">
        <w:rPr>
          <w:lang w:val="uk-UA"/>
        </w:rPr>
        <w:t>також зобов'язання щодо постійного моніторингу активів</w:t>
      </w:r>
      <w:r w:rsidR="00856372" w:rsidRPr="0024327D">
        <w:rPr>
          <w:lang w:val="uk-UA"/>
        </w:rPr>
        <w:t>, включених до складу забезпечення,</w:t>
      </w:r>
      <w:r w:rsidRPr="0024327D">
        <w:rPr>
          <w:lang w:val="uk-UA"/>
        </w:rPr>
        <w:t xml:space="preserve"> протягом строку </w:t>
      </w:r>
      <w:r w:rsidR="00077F9A" w:rsidRPr="0024327D">
        <w:rPr>
          <w:lang w:val="uk-UA"/>
        </w:rPr>
        <w:t xml:space="preserve">обігу </w:t>
      </w:r>
      <w:r w:rsidRPr="0024327D">
        <w:rPr>
          <w:lang w:val="uk-UA"/>
        </w:rPr>
        <w:t>облігацій.</w:t>
      </w:r>
    </w:p>
    <w:p w14:paraId="5A4A840D" w14:textId="77777777" w:rsidR="008E5688" w:rsidRPr="0024327D" w:rsidRDefault="008E5688" w:rsidP="008E5688">
      <w:pPr>
        <w:keepNext/>
        <w:rPr>
          <w:i/>
          <w:lang w:val="uk-UA"/>
        </w:rPr>
      </w:pPr>
      <w:r w:rsidRPr="0024327D">
        <w:rPr>
          <w:i/>
          <w:lang w:val="uk-UA"/>
        </w:rPr>
        <w:t>Дотримання інвестиційних правил</w:t>
      </w:r>
    </w:p>
    <w:p w14:paraId="1356B316" w14:textId="1A33F1CE" w:rsidR="00AA7F89" w:rsidRPr="0024327D" w:rsidRDefault="008E5688" w:rsidP="008E5688">
      <w:pPr>
        <w:rPr>
          <w:lang w:val="uk-UA"/>
        </w:rPr>
      </w:pPr>
      <w:r w:rsidRPr="0024327D">
        <w:rPr>
          <w:lang w:val="uk-UA"/>
        </w:rPr>
        <w:t xml:space="preserve">Для багатьох інвесторів це також має </w:t>
      </w:r>
      <w:r w:rsidR="00AA7F89" w:rsidRPr="0024327D">
        <w:rPr>
          <w:lang w:val="uk-UA"/>
        </w:rPr>
        <w:t xml:space="preserve">значення </w:t>
      </w:r>
      <w:r w:rsidRPr="0024327D">
        <w:rPr>
          <w:lang w:val="uk-UA"/>
        </w:rPr>
        <w:t xml:space="preserve">для цілей </w:t>
      </w:r>
      <w:r w:rsidR="00AA7F89" w:rsidRPr="0024327D">
        <w:rPr>
          <w:lang w:val="uk-UA"/>
        </w:rPr>
        <w:t xml:space="preserve">дотримання </w:t>
      </w:r>
      <w:r w:rsidRPr="0024327D">
        <w:rPr>
          <w:lang w:val="uk-UA"/>
        </w:rPr>
        <w:t>інвестиційних правил</w:t>
      </w:r>
      <w:r w:rsidR="005F008E" w:rsidRPr="0024327D">
        <w:rPr>
          <w:lang w:val="uk-UA"/>
        </w:rPr>
        <w:t>,</w:t>
      </w:r>
      <w:r w:rsidRPr="0024327D">
        <w:rPr>
          <w:lang w:val="uk-UA"/>
        </w:rPr>
        <w:t xml:space="preserve"> </w:t>
      </w:r>
      <w:r w:rsidR="005F008E" w:rsidRPr="0024327D">
        <w:rPr>
          <w:lang w:val="uk-UA"/>
        </w:rPr>
        <w:t xml:space="preserve">як </w:t>
      </w:r>
      <w:r w:rsidR="00AA7F89" w:rsidRPr="0024327D">
        <w:rPr>
          <w:lang w:val="uk-UA"/>
        </w:rPr>
        <w:t>прямо</w:t>
      </w:r>
      <w:r w:rsidRPr="0024327D">
        <w:rPr>
          <w:lang w:val="uk-UA"/>
        </w:rPr>
        <w:t xml:space="preserve"> </w:t>
      </w:r>
      <w:r w:rsidR="00441256" w:rsidRPr="0024327D">
        <w:rPr>
          <w:lang w:val="uk-UA"/>
        </w:rPr>
        <w:t>–</w:t>
      </w:r>
      <w:r w:rsidR="00AA7F89" w:rsidRPr="0024327D">
        <w:rPr>
          <w:lang w:val="uk-UA"/>
        </w:rPr>
        <w:t xml:space="preserve"> оскільки</w:t>
      </w:r>
      <w:r w:rsidRPr="0024327D">
        <w:rPr>
          <w:lang w:val="uk-UA"/>
        </w:rPr>
        <w:t xml:space="preserve"> більшість фондів мають обмеження щодо </w:t>
      </w:r>
      <w:r w:rsidR="00D441FE" w:rsidRPr="0024327D">
        <w:rPr>
          <w:lang w:val="uk-UA"/>
        </w:rPr>
        <w:t>кредитного рейтингу активів</w:t>
      </w:r>
      <w:r w:rsidRPr="0024327D">
        <w:rPr>
          <w:lang w:val="uk-UA"/>
        </w:rPr>
        <w:t xml:space="preserve">, в </w:t>
      </w:r>
      <w:r w:rsidR="00D441FE" w:rsidRPr="0024327D">
        <w:rPr>
          <w:lang w:val="uk-UA"/>
        </w:rPr>
        <w:t>які</w:t>
      </w:r>
      <w:r w:rsidRPr="0024327D">
        <w:rPr>
          <w:lang w:val="uk-UA"/>
        </w:rPr>
        <w:t xml:space="preserve"> вони можуть інвестувати, </w:t>
      </w:r>
      <w:r w:rsidR="00F443ED" w:rsidRPr="0024327D">
        <w:rPr>
          <w:lang w:val="uk-UA"/>
        </w:rPr>
        <w:t>–</w:t>
      </w:r>
      <w:r w:rsidRPr="0024327D">
        <w:rPr>
          <w:lang w:val="uk-UA"/>
        </w:rPr>
        <w:t xml:space="preserve"> </w:t>
      </w:r>
      <w:r w:rsidR="001F2C04" w:rsidRPr="0024327D">
        <w:rPr>
          <w:lang w:val="uk-UA"/>
        </w:rPr>
        <w:t>так і</w:t>
      </w:r>
      <w:r w:rsidR="00373F95" w:rsidRPr="0024327D">
        <w:rPr>
          <w:lang w:val="uk-UA"/>
        </w:rPr>
        <w:t xml:space="preserve"> </w:t>
      </w:r>
      <w:r w:rsidRPr="0024327D">
        <w:rPr>
          <w:lang w:val="uk-UA"/>
        </w:rPr>
        <w:t>опосередковано</w:t>
      </w:r>
      <w:r w:rsidR="005F008E" w:rsidRPr="0024327D">
        <w:rPr>
          <w:lang w:val="uk-UA"/>
        </w:rPr>
        <w:t>:</w:t>
      </w:r>
      <w:r w:rsidRPr="0024327D">
        <w:rPr>
          <w:lang w:val="uk-UA"/>
        </w:rPr>
        <w:t xml:space="preserve"> </w:t>
      </w:r>
      <w:r w:rsidR="00AA7F89" w:rsidRPr="0024327D">
        <w:rPr>
          <w:lang w:val="uk-UA"/>
        </w:rPr>
        <w:t xml:space="preserve">успішність </w:t>
      </w:r>
      <w:r w:rsidRPr="0024327D">
        <w:rPr>
          <w:lang w:val="uk-UA"/>
        </w:rPr>
        <w:t>багат</w:t>
      </w:r>
      <w:r w:rsidR="00AA7F89" w:rsidRPr="0024327D">
        <w:rPr>
          <w:lang w:val="uk-UA"/>
        </w:rPr>
        <w:t>ьох</w:t>
      </w:r>
      <w:r w:rsidRPr="0024327D">
        <w:rPr>
          <w:lang w:val="uk-UA"/>
        </w:rPr>
        <w:t xml:space="preserve"> </w:t>
      </w:r>
      <w:r w:rsidR="00AD15F4" w:rsidRPr="0024327D">
        <w:rPr>
          <w:lang w:val="uk-UA"/>
        </w:rPr>
        <w:t xml:space="preserve">управителів </w:t>
      </w:r>
      <w:r w:rsidRPr="0024327D">
        <w:rPr>
          <w:lang w:val="uk-UA"/>
        </w:rPr>
        <w:t>активами оціню</w:t>
      </w:r>
      <w:r w:rsidR="00AA7F89" w:rsidRPr="0024327D">
        <w:rPr>
          <w:lang w:val="uk-UA"/>
        </w:rPr>
        <w:t>ється у порівнянні з індексами боргових цінних паперів, які формуються на основі кредитних рейтингів.</w:t>
      </w:r>
    </w:p>
    <w:p w14:paraId="083B6968" w14:textId="77777777" w:rsidR="008E5688" w:rsidRPr="0024327D" w:rsidRDefault="008E5688" w:rsidP="008E5688">
      <w:pPr>
        <w:keepNext/>
        <w:rPr>
          <w:i/>
          <w:lang w:val="uk-UA"/>
        </w:rPr>
      </w:pPr>
      <w:r w:rsidRPr="0024327D">
        <w:rPr>
          <w:i/>
          <w:lang w:val="uk-UA"/>
        </w:rPr>
        <w:t>Нормативні цілі</w:t>
      </w:r>
    </w:p>
    <w:p w14:paraId="6A4777D8" w14:textId="0A898631" w:rsidR="008E5688" w:rsidRPr="0024327D" w:rsidRDefault="008E5688" w:rsidP="008E5688">
      <w:pPr>
        <w:rPr>
          <w:lang w:val="uk-UA"/>
        </w:rPr>
      </w:pPr>
      <w:r w:rsidRPr="0024327D">
        <w:rPr>
          <w:lang w:val="uk-UA"/>
        </w:rPr>
        <w:t>Багато пруденційних норм</w:t>
      </w:r>
      <w:r w:rsidR="00283767" w:rsidRPr="0024327D">
        <w:rPr>
          <w:lang w:val="uk-UA"/>
        </w:rPr>
        <w:t>ативів</w:t>
      </w:r>
      <w:r w:rsidRPr="0024327D">
        <w:rPr>
          <w:lang w:val="uk-UA"/>
        </w:rPr>
        <w:t xml:space="preserve"> прямо посилаються на рейтинги облігацій, серед яких найважливішими є </w:t>
      </w:r>
      <w:r w:rsidR="00DA62C8" w:rsidRPr="0024327D">
        <w:rPr>
          <w:lang w:val="uk-UA"/>
        </w:rPr>
        <w:t xml:space="preserve">норми щодо </w:t>
      </w:r>
      <w:r w:rsidR="00FC702C" w:rsidRPr="0024327D">
        <w:rPr>
          <w:lang w:val="uk-UA"/>
        </w:rPr>
        <w:t xml:space="preserve">формування резервів капіталу </w:t>
      </w:r>
      <w:r w:rsidRPr="0024327D">
        <w:rPr>
          <w:lang w:val="uk-UA"/>
        </w:rPr>
        <w:t>банків інвесторів та критерії прийнятності для портфелів банківської ліквідності.</w:t>
      </w:r>
    </w:p>
    <w:p w14:paraId="52CD9B18" w14:textId="55D02617" w:rsidR="008E5688" w:rsidRPr="0024327D" w:rsidRDefault="008E5688" w:rsidP="008E5688">
      <w:pPr>
        <w:rPr>
          <w:lang w:val="uk-UA"/>
        </w:rPr>
      </w:pPr>
      <w:r w:rsidRPr="0024327D">
        <w:rPr>
          <w:lang w:val="uk-UA"/>
        </w:rPr>
        <w:t>Для того, щоб відповідати нормативним цілям (а на практиці також іншим цілям), кредитний рейтинг повинен присвоюватись рейтинговим агентством, що відповідає правилам Регламенту ЄС</w:t>
      </w:r>
      <w:r w:rsidR="00373F95" w:rsidRPr="0024327D">
        <w:rPr>
          <w:lang w:val="uk-UA"/>
        </w:rPr>
        <w:t xml:space="preserve"> </w:t>
      </w:r>
      <w:r w:rsidR="00077F9A" w:rsidRPr="0024327D">
        <w:rPr>
          <w:lang w:val="uk-UA"/>
        </w:rPr>
        <w:t xml:space="preserve">про кредитні рейтингові агентства </w:t>
      </w:r>
      <w:r w:rsidRPr="0024327D">
        <w:rPr>
          <w:lang w:val="uk-UA"/>
        </w:rPr>
        <w:t>(EC 1060/2009)</w:t>
      </w:r>
      <w:r w:rsidRPr="0024327D">
        <w:rPr>
          <w:vertAlign w:val="superscript"/>
          <w:lang w:val="uk-UA"/>
        </w:rPr>
        <w:footnoteReference w:id="56"/>
      </w:r>
      <w:r w:rsidRPr="0024327D">
        <w:rPr>
          <w:lang w:val="uk-UA"/>
        </w:rPr>
        <w:t xml:space="preserve"> і управля</w:t>
      </w:r>
      <w:r w:rsidR="00543E1D" w:rsidRPr="0024327D">
        <w:rPr>
          <w:lang w:val="uk-UA"/>
        </w:rPr>
        <w:t>є</w:t>
      </w:r>
      <w:r w:rsidRPr="0024327D">
        <w:rPr>
          <w:lang w:val="uk-UA"/>
        </w:rPr>
        <w:t>т</w:t>
      </w:r>
      <w:r w:rsidR="00543E1D" w:rsidRPr="0024327D">
        <w:rPr>
          <w:lang w:val="uk-UA"/>
        </w:rPr>
        <w:t>ь</w:t>
      </w:r>
      <w:r w:rsidRPr="0024327D">
        <w:rPr>
          <w:lang w:val="uk-UA"/>
        </w:rPr>
        <w:t>ся Європейським управлінням з цінних паперів та ринків</w:t>
      </w:r>
      <w:r w:rsidR="003F2636" w:rsidRPr="0024327D">
        <w:rPr>
          <w:lang w:val="uk-UA"/>
        </w:rPr>
        <w:t xml:space="preserve"> (ESMA)</w:t>
      </w:r>
      <w:r w:rsidRPr="0024327D">
        <w:rPr>
          <w:lang w:val="uk-UA"/>
        </w:rPr>
        <w:t>.</w:t>
      </w:r>
    </w:p>
    <w:p w14:paraId="6EC7BD5F" w14:textId="2D523608" w:rsidR="00C45F62" w:rsidRPr="0024327D" w:rsidRDefault="008E5688" w:rsidP="008E5688">
      <w:pPr>
        <w:rPr>
          <w:lang w:val="uk-UA"/>
        </w:rPr>
      </w:pPr>
      <w:r w:rsidRPr="0024327D">
        <w:rPr>
          <w:lang w:val="uk-UA"/>
        </w:rPr>
        <w:t>Три найбільших регламентованих рейтингових агентства</w:t>
      </w:r>
      <w:r w:rsidR="0025673E" w:rsidRPr="0024327D">
        <w:rPr>
          <w:lang w:val="uk-UA"/>
        </w:rPr>
        <w:t xml:space="preserve"> </w:t>
      </w:r>
      <w:r w:rsidR="0071293F" w:rsidRPr="0024327D">
        <w:rPr>
          <w:lang w:val="uk-UA"/>
        </w:rPr>
        <w:t>–</w:t>
      </w:r>
      <w:r w:rsidRPr="0024327D">
        <w:rPr>
          <w:lang w:val="uk-UA"/>
        </w:rPr>
        <w:t xml:space="preserve"> Moody’s Investor Service, S&amp;P Global Ratings та Fitch Ratings мають ринкову частку 91%, хоча існує ще 25 інших регламентованих агентств.</w:t>
      </w:r>
    </w:p>
    <w:p w14:paraId="34C3CAB3" w14:textId="45EFA1D4" w:rsidR="008E5688" w:rsidRPr="0024327D" w:rsidRDefault="00C45F62" w:rsidP="008E5688">
      <w:pPr>
        <w:rPr>
          <w:lang w:val="uk-UA"/>
        </w:rPr>
      </w:pPr>
      <w:r w:rsidRPr="0024327D">
        <w:rPr>
          <w:lang w:val="uk-UA"/>
        </w:rPr>
        <w:t>В Україні кредитні рейтинги можуть присвоюватися вітчизняними агентствами, які включені до спеціального державного реєстру, або міжнародн</w:t>
      </w:r>
      <w:r w:rsidR="002A55E4" w:rsidRPr="0024327D">
        <w:rPr>
          <w:lang w:val="uk-UA"/>
        </w:rPr>
        <w:t>ими</w:t>
      </w:r>
      <w:r w:rsidRPr="0024327D">
        <w:rPr>
          <w:lang w:val="uk-UA"/>
        </w:rPr>
        <w:t xml:space="preserve"> рейтингов</w:t>
      </w:r>
      <w:r w:rsidR="002A55E4" w:rsidRPr="0024327D">
        <w:rPr>
          <w:lang w:val="uk-UA"/>
        </w:rPr>
        <w:t>ими</w:t>
      </w:r>
      <w:r w:rsidRPr="0024327D">
        <w:rPr>
          <w:lang w:val="uk-UA"/>
        </w:rPr>
        <w:t xml:space="preserve"> агентства</w:t>
      </w:r>
      <w:r w:rsidR="008A526A" w:rsidRPr="0024327D">
        <w:rPr>
          <w:lang w:val="uk-UA"/>
        </w:rPr>
        <w:t>ми</w:t>
      </w:r>
      <w:r w:rsidRPr="0024327D">
        <w:rPr>
          <w:lang w:val="uk-UA"/>
        </w:rPr>
        <w:t xml:space="preserve">, якщо вони </w:t>
      </w:r>
      <w:r w:rsidR="002A55E4" w:rsidRPr="0024327D">
        <w:rPr>
          <w:lang w:val="uk-UA"/>
        </w:rPr>
        <w:t xml:space="preserve">були </w:t>
      </w:r>
      <w:r w:rsidRPr="0024327D">
        <w:rPr>
          <w:lang w:val="uk-UA"/>
        </w:rPr>
        <w:t xml:space="preserve">визнані НКЦПФР. Наразі визнані лише три згадані вище міжнародні агентства. </w:t>
      </w:r>
      <w:r w:rsidR="0055482F" w:rsidRPr="0024327D">
        <w:rPr>
          <w:lang w:val="uk-UA"/>
        </w:rPr>
        <w:t>Крім того, на розгляді Верховної Ради України перебуває законопро</w:t>
      </w:r>
      <w:r w:rsidR="003F49D9" w:rsidRPr="0024327D">
        <w:rPr>
          <w:lang w:val="uk-UA"/>
        </w:rPr>
        <w:t>є</w:t>
      </w:r>
      <w:r w:rsidR="0055482F" w:rsidRPr="0024327D">
        <w:rPr>
          <w:lang w:val="uk-UA"/>
        </w:rPr>
        <w:t xml:space="preserve">кт, метою якого є приведення </w:t>
      </w:r>
      <w:r w:rsidR="00C87979" w:rsidRPr="0024327D">
        <w:rPr>
          <w:lang w:val="uk-UA"/>
        </w:rPr>
        <w:t xml:space="preserve">українського законодавства </w:t>
      </w:r>
      <w:r w:rsidR="000D7748" w:rsidRPr="0024327D">
        <w:rPr>
          <w:lang w:val="uk-UA"/>
        </w:rPr>
        <w:t xml:space="preserve">щодо рейтингових </w:t>
      </w:r>
      <w:r w:rsidR="005A71B2" w:rsidRPr="0024327D">
        <w:rPr>
          <w:lang w:val="uk-UA"/>
        </w:rPr>
        <w:t xml:space="preserve">агентств </w:t>
      </w:r>
      <w:r w:rsidR="00C87979" w:rsidRPr="0024327D">
        <w:rPr>
          <w:lang w:val="uk-UA"/>
        </w:rPr>
        <w:t>у відповідність з вищевказаним регламентом ЄС</w:t>
      </w:r>
      <w:r w:rsidR="00814E85" w:rsidRPr="0024327D">
        <w:rPr>
          <w:lang w:val="uk-UA"/>
        </w:rPr>
        <w:t xml:space="preserve">, </w:t>
      </w:r>
      <w:r w:rsidR="006E51C9" w:rsidRPr="0024327D">
        <w:rPr>
          <w:lang w:val="uk-UA"/>
        </w:rPr>
        <w:t>включаючи вимоги до методологій</w:t>
      </w:r>
      <w:r w:rsidR="00205E0E" w:rsidRPr="0024327D">
        <w:rPr>
          <w:lang w:val="uk-UA"/>
        </w:rPr>
        <w:t xml:space="preserve"> </w:t>
      </w:r>
      <w:r w:rsidR="00205E0E" w:rsidRPr="0024327D">
        <w:rPr>
          <w:szCs w:val="28"/>
          <w:lang w:val="uk-UA"/>
        </w:rPr>
        <w:t>присвоєння, перегляду та відкликання</w:t>
      </w:r>
      <w:r w:rsidR="00F9234F" w:rsidRPr="0024327D">
        <w:rPr>
          <w:szCs w:val="28"/>
          <w:lang w:val="uk-UA"/>
        </w:rPr>
        <w:t xml:space="preserve"> кредитних</w:t>
      </w:r>
      <w:r w:rsidR="00205E0E" w:rsidRPr="0024327D">
        <w:rPr>
          <w:szCs w:val="28"/>
          <w:lang w:val="uk-UA"/>
        </w:rPr>
        <w:t xml:space="preserve"> рейтингів</w:t>
      </w:r>
      <w:r w:rsidR="00C87979" w:rsidRPr="0024327D">
        <w:rPr>
          <w:lang w:val="uk-UA"/>
        </w:rPr>
        <w:t xml:space="preserve">. </w:t>
      </w:r>
    </w:p>
    <w:p w14:paraId="56440CD8" w14:textId="661895DC" w:rsidR="008E5688" w:rsidRPr="0024327D" w:rsidRDefault="008E5688" w:rsidP="008E5688">
      <w:pPr>
        <w:rPr>
          <w:lang w:val="uk-UA"/>
        </w:rPr>
      </w:pPr>
      <w:r w:rsidRPr="0024327D">
        <w:rPr>
          <w:b/>
          <w:bCs/>
          <w:lang w:val="uk-UA"/>
        </w:rPr>
        <w:t xml:space="preserve">Рейтинги та </w:t>
      </w:r>
      <w:r w:rsidR="00D728C0" w:rsidRPr="0024327D">
        <w:rPr>
          <w:b/>
          <w:bCs/>
          <w:lang w:val="uk-UA"/>
        </w:rPr>
        <w:t>формування резервів</w:t>
      </w:r>
    </w:p>
    <w:p w14:paraId="0BAD8FD1" w14:textId="0EBD6955" w:rsidR="008E5688" w:rsidRPr="0024327D" w:rsidRDefault="001A3A73" w:rsidP="008E5688">
      <w:pPr>
        <w:rPr>
          <w:lang w:val="uk-UA"/>
        </w:rPr>
      </w:pPr>
      <w:r w:rsidRPr="0024327D">
        <w:rPr>
          <w:lang w:val="uk-UA"/>
        </w:rPr>
        <w:t xml:space="preserve">Формування резервів </w:t>
      </w:r>
      <w:r w:rsidR="00FD14C1" w:rsidRPr="0024327D">
        <w:rPr>
          <w:lang w:val="uk-UA"/>
        </w:rPr>
        <w:t xml:space="preserve">банків </w:t>
      </w:r>
      <w:r w:rsidRPr="0024327D">
        <w:rPr>
          <w:lang w:val="uk-UA"/>
        </w:rPr>
        <w:t>за активами</w:t>
      </w:r>
      <w:r w:rsidR="008E5688" w:rsidRPr="0024327D">
        <w:rPr>
          <w:lang w:val="uk-UA"/>
        </w:rPr>
        <w:t>, пов'язан</w:t>
      </w:r>
      <w:r w:rsidRPr="0024327D">
        <w:rPr>
          <w:lang w:val="uk-UA"/>
        </w:rPr>
        <w:t>ими</w:t>
      </w:r>
      <w:r w:rsidR="008E5688" w:rsidRPr="0024327D">
        <w:rPr>
          <w:lang w:val="uk-UA"/>
        </w:rPr>
        <w:t xml:space="preserve"> з сек'юритизацією, зазна</w:t>
      </w:r>
      <w:r w:rsidR="00CA7FC7" w:rsidRPr="0024327D">
        <w:rPr>
          <w:lang w:val="uk-UA"/>
        </w:rPr>
        <w:t>ло</w:t>
      </w:r>
      <w:r w:rsidR="008E5688" w:rsidRPr="0024327D">
        <w:rPr>
          <w:lang w:val="uk-UA"/>
        </w:rPr>
        <w:t xml:space="preserve"> істотних змін внаслідок світової фінансової кризи, і, зокрема, з огляду на те, що </w:t>
      </w:r>
      <w:r w:rsidR="00D728C0" w:rsidRPr="0024327D">
        <w:rPr>
          <w:lang w:val="uk-UA"/>
        </w:rPr>
        <w:t xml:space="preserve">резерви, сформовані під </w:t>
      </w:r>
      <w:r w:rsidR="008E5688" w:rsidRPr="0024327D">
        <w:rPr>
          <w:lang w:val="uk-UA"/>
        </w:rPr>
        <w:t>облігації</w:t>
      </w:r>
      <w:r w:rsidR="00E37532" w:rsidRPr="0024327D">
        <w:rPr>
          <w:lang w:val="uk-UA"/>
        </w:rPr>
        <w:t>, випущені в ході сек’юритизації</w:t>
      </w:r>
      <w:r w:rsidR="008E5688" w:rsidRPr="0024327D">
        <w:rPr>
          <w:lang w:val="uk-UA"/>
        </w:rPr>
        <w:t xml:space="preserve"> з високим рейтингом, </w:t>
      </w:r>
      <w:r w:rsidR="001A63C0" w:rsidRPr="0024327D">
        <w:rPr>
          <w:lang w:val="uk-UA"/>
        </w:rPr>
        <w:t>ви</w:t>
      </w:r>
      <w:r w:rsidR="00DC71A4" w:rsidRPr="0024327D">
        <w:rPr>
          <w:lang w:val="uk-UA"/>
        </w:rPr>
        <w:t>я</w:t>
      </w:r>
      <w:r w:rsidR="001A63C0" w:rsidRPr="0024327D">
        <w:rPr>
          <w:lang w:val="uk-UA"/>
        </w:rPr>
        <w:t>в</w:t>
      </w:r>
      <w:r w:rsidR="00DC71A4" w:rsidRPr="0024327D">
        <w:rPr>
          <w:lang w:val="uk-UA"/>
        </w:rPr>
        <w:t>и</w:t>
      </w:r>
      <w:r w:rsidR="001A63C0" w:rsidRPr="0024327D">
        <w:rPr>
          <w:lang w:val="uk-UA"/>
        </w:rPr>
        <w:t>л</w:t>
      </w:r>
      <w:r w:rsidR="00DC71A4" w:rsidRPr="0024327D">
        <w:rPr>
          <w:lang w:val="uk-UA"/>
        </w:rPr>
        <w:t>и</w:t>
      </w:r>
      <w:r w:rsidR="001A63C0" w:rsidRPr="0024327D">
        <w:rPr>
          <w:lang w:val="uk-UA"/>
        </w:rPr>
        <w:t>сь недостатніми</w:t>
      </w:r>
      <w:r w:rsidR="008E5688" w:rsidRPr="0024327D">
        <w:rPr>
          <w:lang w:val="uk-UA"/>
        </w:rPr>
        <w:t xml:space="preserve">, а також з урахуванням надмірної </w:t>
      </w:r>
      <w:r w:rsidR="00E37532" w:rsidRPr="0024327D">
        <w:rPr>
          <w:lang w:val="uk-UA"/>
        </w:rPr>
        <w:t>довіри до</w:t>
      </w:r>
      <w:r w:rsidR="00373F95" w:rsidRPr="0024327D">
        <w:rPr>
          <w:lang w:val="uk-UA"/>
        </w:rPr>
        <w:t xml:space="preserve"> </w:t>
      </w:r>
      <w:r w:rsidR="008E5688" w:rsidRPr="0024327D">
        <w:rPr>
          <w:lang w:val="uk-UA"/>
        </w:rPr>
        <w:t xml:space="preserve">рейтингів. Крім того, у багатьох юрисдикціях, зокрема у </w:t>
      </w:r>
      <w:r w:rsidR="008E5688" w:rsidRPr="0024327D">
        <w:rPr>
          <w:lang w:val="uk-UA"/>
        </w:rPr>
        <w:lastRenderedPageBreak/>
        <w:t>Європейському Союзі, який запровадив правила STS, було визначено</w:t>
      </w:r>
      <w:r w:rsidR="00394330" w:rsidRPr="0024327D">
        <w:rPr>
          <w:lang w:val="uk-UA"/>
        </w:rPr>
        <w:t xml:space="preserve"> високий</w:t>
      </w:r>
      <w:r w:rsidR="008E5688" w:rsidRPr="0024327D">
        <w:rPr>
          <w:lang w:val="uk-UA"/>
        </w:rPr>
        <w:t xml:space="preserve"> стандарт якості для сек'юритизації. </w:t>
      </w:r>
    </w:p>
    <w:p w14:paraId="1C72F422" w14:textId="792C21A0" w:rsidR="008E5688" w:rsidRPr="0024327D" w:rsidRDefault="008E5688" w:rsidP="008E5688">
      <w:pPr>
        <w:rPr>
          <w:lang w:val="uk-UA"/>
        </w:rPr>
      </w:pPr>
      <w:r w:rsidRPr="0024327D">
        <w:rPr>
          <w:lang w:val="uk-UA"/>
        </w:rPr>
        <w:t xml:space="preserve">Наразі </w:t>
      </w:r>
      <w:r w:rsidR="001A3A73" w:rsidRPr="0024327D">
        <w:rPr>
          <w:lang w:val="uk-UA"/>
        </w:rPr>
        <w:t xml:space="preserve">формування резервів </w:t>
      </w:r>
      <w:r w:rsidR="00ED089C" w:rsidRPr="0024327D">
        <w:rPr>
          <w:lang w:val="uk-UA"/>
        </w:rPr>
        <w:t>відбува</w:t>
      </w:r>
      <w:r w:rsidR="001A3A73" w:rsidRPr="0024327D">
        <w:rPr>
          <w:lang w:val="uk-UA"/>
        </w:rPr>
        <w:t>є</w:t>
      </w:r>
      <w:r w:rsidR="00ED089C" w:rsidRPr="0024327D">
        <w:rPr>
          <w:lang w:val="uk-UA"/>
        </w:rPr>
        <w:t xml:space="preserve">ться </w:t>
      </w:r>
      <w:r w:rsidRPr="0024327D">
        <w:rPr>
          <w:lang w:val="uk-UA"/>
        </w:rPr>
        <w:t>за однією з трьох різних методологій, коротко описаних нижче, при</w:t>
      </w:r>
      <w:r w:rsidR="00ED089C" w:rsidRPr="0024327D">
        <w:rPr>
          <w:lang w:val="uk-UA"/>
        </w:rPr>
        <w:t xml:space="preserve"> </w:t>
      </w:r>
      <w:r w:rsidRPr="0024327D">
        <w:rPr>
          <w:lang w:val="uk-UA"/>
        </w:rPr>
        <w:t>чому перша є оптимальною методологією, яка потребує здатності точно моделювати активи</w:t>
      </w:r>
      <w:r w:rsidR="0021033A" w:rsidRPr="0024327D">
        <w:rPr>
          <w:lang w:val="uk-UA"/>
        </w:rPr>
        <w:t>, включені до складу забезпечення</w:t>
      </w:r>
      <w:r w:rsidRPr="0024327D">
        <w:rPr>
          <w:lang w:val="uk-UA"/>
        </w:rPr>
        <w:t xml:space="preserve">. </w:t>
      </w:r>
    </w:p>
    <w:p w14:paraId="010C8077" w14:textId="2D12F262" w:rsidR="008E5688" w:rsidRPr="0024327D" w:rsidRDefault="008E5688" w:rsidP="008E5688">
      <w:pPr>
        <w:keepNext/>
        <w:rPr>
          <w:i/>
          <w:lang w:val="uk-UA"/>
        </w:rPr>
      </w:pPr>
      <w:r w:rsidRPr="0024327D">
        <w:rPr>
          <w:i/>
          <w:lang w:val="uk-UA"/>
        </w:rPr>
        <w:t xml:space="preserve">1. Метод, що базується на внутрішніх </w:t>
      </w:r>
      <w:r w:rsidR="00DC71A4" w:rsidRPr="0024327D">
        <w:rPr>
          <w:i/>
          <w:lang w:val="uk-UA"/>
        </w:rPr>
        <w:t xml:space="preserve">оцінках </w:t>
      </w:r>
      <w:r w:rsidR="009D23C1" w:rsidRPr="0024327D">
        <w:rPr>
          <w:i/>
          <w:lang w:val="uk-UA"/>
        </w:rPr>
        <w:t>сек’юритизації</w:t>
      </w:r>
      <w:r w:rsidRPr="0024327D">
        <w:rPr>
          <w:i/>
          <w:lang w:val="uk-UA"/>
        </w:rPr>
        <w:t xml:space="preserve"> (метод SEC-IRBA)</w:t>
      </w:r>
    </w:p>
    <w:p w14:paraId="57A90CFA" w14:textId="7CAA146B" w:rsidR="008E5688" w:rsidRPr="0024327D" w:rsidRDefault="008E5688" w:rsidP="008E5688">
      <w:pPr>
        <w:rPr>
          <w:lang w:val="uk-UA"/>
        </w:rPr>
      </w:pPr>
      <w:r w:rsidRPr="0024327D">
        <w:rPr>
          <w:lang w:val="uk-UA"/>
        </w:rPr>
        <w:t xml:space="preserve">Якщо банк, який </w:t>
      </w:r>
      <w:r w:rsidR="00886104" w:rsidRPr="0024327D">
        <w:rPr>
          <w:lang w:val="uk-UA"/>
        </w:rPr>
        <w:t xml:space="preserve">інвестує в актив, пов’язаний з </w:t>
      </w:r>
      <w:r w:rsidRPr="0024327D">
        <w:rPr>
          <w:lang w:val="uk-UA"/>
        </w:rPr>
        <w:t>сек'юритизаці</w:t>
      </w:r>
      <w:r w:rsidR="00886104" w:rsidRPr="0024327D">
        <w:rPr>
          <w:lang w:val="uk-UA"/>
        </w:rPr>
        <w:t>єю</w:t>
      </w:r>
      <w:r w:rsidRPr="0024327D">
        <w:rPr>
          <w:lang w:val="uk-UA"/>
        </w:rPr>
        <w:t xml:space="preserve">, </w:t>
      </w:r>
      <w:r w:rsidR="00886104" w:rsidRPr="0024327D">
        <w:rPr>
          <w:lang w:val="uk-UA"/>
        </w:rPr>
        <w:t>може</w:t>
      </w:r>
      <w:r w:rsidR="000063B2" w:rsidRPr="0024327D">
        <w:rPr>
          <w:lang w:val="uk-UA"/>
        </w:rPr>
        <w:t xml:space="preserve"> </w:t>
      </w:r>
      <w:r w:rsidRPr="0024327D">
        <w:rPr>
          <w:lang w:val="uk-UA"/>
        </w:rPr>
        <w:t>застосувати метод, що базується на внутрішніх</w:t>
      </w:r>
      <w:r w:rsidR="00DC71A4" w:rsidRPr="0024327D">
        <w:rPr>
          <w:lang w:val="uk-UA"/>
        </w:rPr>
        <w:t xml:space="preserve"> оцінках</w:t>
      </w:r>
      <w:r w:rsidRPr="0024327D">
        <w:rPr>
          <w:lang w:val="uk-UA"/>
        </w:rPr>
        <w:t xml:space="preserve">, до </w:t>
      </w:r>
      <w:r w:rsidR="00DC71A4" w:rsidRPr="0024327D">
        <w:rPr>
          <w:lang w:val="uk-UA"/>
        </w:rPr>
        <w:t xml:space="preserve">формування резервів за </w:t>
      </w:r>
      <w:r w:rsidRPr="0024327D">
        <w:rPr>
          <w:lang w:val="uk-UA"/>
        </w:rPr>
        <w:t xml:space="preserve">принаймні 95% активів у пулі сек'юритизації, то </w:t>
      </w:r>
      <w:r w:rsidR="00D43778" w:rsidRPr="0024327D">
        <w:rPr>
          <w:lang w:val="uk-UA"/>
        </w:rPr>
        <w:t xml:space="preserve">він </w:t>
      </w:r>
      <w:r w:rsidRPr="0024327D">
        <w:rPr>
          <w:lang w:val="uk-UA"/>
        </w:rPr>
        <w:t>мож</w:t>
      </w:r>
      <w:r w:rsidR="00D43778" w:rsidRPr="0024327D">
        <w:rPr>
          <w:lang w:val="uk-UA"/>
        </w:rPr>
        <w:t>е</w:t>
      </w:r>
      <w:r w:rsidRPr="0024327D">
        <w:rPr>
          <w:lang w:val="uk-UA"/>
        </w:rPr>
        <w:t xml:space="preserve">, за умови отримання дозволу регуляторних органів, використовувати метод SEC-IRBA. Такий метод дозволяє </w:t>
      </w:r>
      <w:r w:rsidR="00E02E95" w:rsidRPr="0024327D">
        <w:rPr>
          <w:lang w:val="uk-UA"/>
        </w:rPr>
        <w:t xml:space="preserve">визначати розмір резерву на підставі оцінки </w:t>
      </w:r>
      <w:r w:rsidRPr="0024327D">
        <w:rPr>
          <w:lang w:val="uk-UA"/>
        </w:rPr>
        <w:t>активів</w:t>
      </w:r>
      <w:r w:rsidR="00D43778" w:rsidRPr="0024327D">
        <w:rPr>
          <w:lang w:val="uk-UA"/>
        </w:rPr>
        <w:t xml:space="preserve">, включених до пулу </w:t>
      </w:r>
      <w:r w:rsidR="00C93CE0" w:rsidRPr="0024327D">
        <w:rPr>
          <w:lang w:val="uk-UA"/>
        </w:rPr>
        <w:t xml:space="preserve">покриття </w:t>
      </w:r>
      <w:r w:rsidR="00D43778" w:rsidRPr="0024327D">
        <w:rPr>
          <w:lang w:val="uk-UA"/>
        </w:rPr>
        <w:t>за сек’юритизацією,</w:t>
      </w:r>
      <w:r w:rsidRPr="0024327D">
        <w:rPr>
          <w:lang w:val="uk-UA"/>
        </w:rPr>
        <w:t xml:space="preserve"> та певни</w:t>
      </w:r>
      <w:r w:rsidR="00E02E95" w:rsidRPr="0024327D">
        <w:rPr>
          <w:lang w:val="uk-UA"/>
        </w:rPr>
        <w:t>х</w:t>
      </w:r>
      <w:r w:rsidRPr="0024327D">
        <w:rPr>
          <w:lang w:val="uk-UA"/>
        </w:rPr>
        <w:t xml:space="preserve"> структурни</w:t>
      </w:r>
      <w:r w:rsidR="00E02E95" w:rsidRPr="0024327D">
        <w:rPr>
          <w:lang w:val="uk-UA"/>
        </w:rPr>
        <w:t>х</w:t>
      </w:r>
      <w:r w:rsidRPr="0024327D">
        <w:rPr>
          <w:lang w:val="uk-UA"/>
        </w:rPr>
        <w:t xml:space="preserve"> особливост</w:t>
      </w:r>
      <w:r w:rsidR="00E02E95" w:rsidRPr="0024327D">
        <w:rPr>
          <w:lang w:val="uk-UA"/>
        </w:rPr>
        <w:t>ей</w:t>
      </w:r>
      <w:r w:rsidRPr="0024327D">
        <w:rPr>
          <w:lang w:val="uk-UA"/>
        </w:rPr>
        <w:t xml:space="preserve"> сек'юритизації - наприклад, де в ієрархії платежів </w:t>
      </w:r>
      <w:r w:rsidR="001C4E16" w:rsidRPr="0024327D">
        <w:rPr>
          <w:lang w:val="uk-UA"/>
        </w:rPr>
        <w:t xml:space="preserve">знаходиться актив </w:t>
      </w:r>
      <w:r w:rsidRPr="0024327D">
        <w:rPr>
          <w:lang w:val="uk-UA"/>
        </w:rPr>
        <w:t xml:space="preserve">- і, в більшості випадків, є </w:t>
      </w:r>
      <w:r w:rsidR="00981551" w:rsidRPr="0024327D">
        <w:rPr>
          <w:lang w:val="uk-UA"/>
        </w:rPr>
        <w:t xml:space="preserve">найкращим </w:t>
      </w:r>
      <w:r w:rsidRPr="0024327D">
        <w:rPr>
          <w:lang w:val="uk-UA"/>
        </w:rPr>
        <w:t xml:space="preserve">способом розрахунку </w:t>
      </w:r>
      <w:r w:rsidR="00E02E95" w:rsidRPr="0024327D">
        <w:rPr>
          <w:lang w:val="uk-UA"/>
        </w:rPr>
        <w:t xml:space="preserve">розміру резервів, який найменше тисне на </w:t>
      </w:r>
      <w:r w:rsidRPr="0024327D">
        <w:rPr>
          <w:lang w:val="uk-UA"/>
        </w:rPr>
        <w:t xml:space="preserve">капітал. </w:t>
      </w:r>
    </w:p>
    <w:p w14:paraId="0B63B20F" w14:textId="656E6212" w:rsidR="008E5688" w:rsidRPr="0024327D" w:rsidRDefault="008E5688" w:rsidP="008E5688">
      <w:pPr>
        <w:keepNext/>
        <w:rPr>
          <w:i/>
          <w:lang w:val="uk-UA"/>
        </w:rPr>
      </w:pPr>
      <w:r w:rsidRPr="0024327D">
        <w:rPr>
          <w:i/>
          <w:lang w:val="uk-UA"/>
        </w:rPr>
        <w:t>2. Стандартизований підхід</w:t>
      </w:r>
      <w:r w:rsidR="00F70E43" w:rsidRPr="0024327D">
        <w:rPr>
          <w:i/>
          <w:lang w:val="uk-UA"/>
        </w:rPr>
        <w:t xml:space="preserve"> до сек’юритизації</w:t>
      </w:r>
      <w:r w:rsidRPr="0024327D">
        <w:rPr>
          <w:i/>
          <w:lang w:val="uk-UA"/>
        </w:rPr>
        <w:t xml:space="preserve"> (метод SEC-SA)</w:t>
      </w:r>
    </w:p>
    <w:p w14:paraId="0AB2A339" w14:textId="30B5560B" w:rsidR="008E5688" w:rsidRPr="0024327D" w:rsidRDefault="008E5688" w:rsidP="008E5688">
      <w:pPr>
        <w:rPr>
          <w:lang w:val="uk-UA"/>
        </w:rPr>
      </w:pPr>
      <w:r w:rsidRPr="0024327D">
        <w:rPr>
          <w:lang w:val="uk-UA"/>
        </w:rPr>
        <w:t xml:space="preserve">Метод SEC SA є другим </w:t>
      </w:r>
      <w:r w:rsidR="0024793D" w:rsidRPr="0024327D">
        <w:rPr>
          <w:lang w:val="uk-UA"/>
        </w:rPr>
        <w:t xml:space="preserve">кращим </w:t>
      </w:r>
      <w:r w:rsidRPr="0024327D">
        <w:rPr>
          <w:lang w:val="uk-UA"/>
        </w:rPr>
        <w:t>підходом до</w:t>
      </w:r>
      <w:r w:rsidR="0024793D" w:rsidRPr="0024327D">
        <w:rPr>
          <w:lang w:val="uk-UA"/>
        </w:rPr>
        <w:t xml:space="preserve"> </w:t>
      </w:r>
      <w:r w:rsidR="00687D48" w:rsidRPr="0024327D">
        <w:rPr>
          <w:lang w:val="uk-UA"/>
        </w:rPr>
        <w:t>розрахунку розміру резервів</w:t>
      </w:r>
      <w:r w:rsidRPr="0024327D">
        <w:rPr>
          <w:lang w:val="uk-UA"/>
        </w:rPr>
        <w:t xml:space="preserve">, який застосовується, коли активи, що є </w:t>
      </w:r>
      <w:r w:rsidR="00E757EF" w:rsidRPr="0024327D">
        <w:rPr>
          <w:lang w:val="uk-UA"/>
        </w:rPr>
        <w:t xml:space="preserve">забезпеченням в програмі </w:t>
      </w:r>
      <w:r w:rsidRPr="0024327D">
        <w:rPr>
          <w:lang w:val="uk-UA"/>
        </w:rPr>
        <w:t>сек'юритизації, неможливо в достатній мірі оцінити за підходом, що ґрунтується на внутрішні</w:t>
      </w:r>
      <w:r w:rsidR="00687D48" w:rsidRPr="0024327D">
        <w:rPr>
          <w:lang w:val="uk-UA"/>
        </w:rPr>
        <w:t>й оцінці</w:t>
      </w:r>
      <w:r w:rsidRPr="0024327D">
        <w:rPr>
          <w:lang w:val="uk-UA"/>
        </w:rPr>
        <w:t>. Знову ж таки, формула визначає точний</w:t>
      </w:r>
      <w:r w:rsidR="004770E4" w:rsidRPr="0024327D">
        <w:rPr>
          <w:lang w:val="uk-UA"/>
        </w:rPr>
        <w:t xml:space="preserve"> розмір </w:t>
      </w:r>
      <w:r w:rsidR="00687D48" w:rsidRPr="0024327D">
        <w:rPr>
          <w:lang w:val="uk-UA"/>
        </w:rPr>
        <w:t>резерву за активом</w:t>
      </w:r>
      <w:r w:rsidRPr="0024327D">
        <w:rPr>
          <w:lang w:val="uk-UA"/>
        </w:rPr>
        <w:t xml:space="preserve">, але одним з основних вхідних </w:t>
      </w:r>
      <w:r w:rsidR="00CD6286" w:rsidRPr="0024327D">
        <w:rPr>
          <w:lang w:val="uk-UA"/>
        </w:rPr>
        <w:t xml:space="preserve">показників </w:t>
      </w:r>
      <w:r w:rsidRPr="0024327D">
        <w:rPr>
          <w:lang w:val="uk-UA"/>
        </w:rPr>
        <w:t>є</w:t>
      </w:r>
      <w:r w:rsidR="002F3BF2" w:rsidRPr="0024327D">
        <w:rPr>
          <w:lang w:val="uk-UA"/>
        </w:rPr>
        <w:t xml:space="preserve"> резерви</w:t>
      </w:r>
      <w:r w:rsidRPr="0024327D">
        <w:rPr>
          <w:lang w:val="uk-UA"/>
        </w:rPr>
        <w:t xml:space="preserve">, </w:t>
      </w:r>
      <w:r w:rsidR="002F3BF2" w:rsidRPr="0024327D">
        <w:rPr>
          <w:lang w:val="uk-UA"/>
        </w:rPr>
        <w:t>які повинні були б бути створені за активами</w:t>
      </w:r>
      <w:r w:rsidR="00D629AB" w:rsidRPr="0024327D">
        <w:rPr>
          <w:lang w:val="uk-UA"/>
        </w:rPr>
        <w:t>, включени</w:t>
      </w:r>
      <w:r w:rsidR="002F3BF2" w:rsidRPr="0024327D">
        <w:rPr>
          <w:lang w:val="uk-UA"/>
        </w:rPr>
        <w:t>ми</w:t>
      </w:r>
      <w:r w:rsidR="00D629AB" w:rsidRPr="0024327D">
        <w:rPr>
          <w:lang w:val="uk-UA"/>
        </w:rPr>
        <w:t xml:space="preserve"> до забезпечення</w:t>
      </w:r>
      <w:r w:rsidR="002F3BF2" w:rsidRPr="0024327D">
        <w:rPr>
          <w:lang w:val="uk-UA"/>
        </w:rPr>
        <w:t xml:space="preserve"> </w:t>
      </w:r>
      <w:r w:rsidR="001C0DB4" w:rsidRPr="0024327D">
        <w:rPr>
          <w:lang w:val="uk-UA"/>
        </w:rPr>
        <w:t>за сек’юритизацією</w:t>
      </w:r>
      <w:r w:rsidR="00D629AB" w:rsidRPr="0024327D">
        <w:rPr>
          <w:lang w:val="uk-UA"/>
        </w:rPr>
        <w:t>,</w:t>
      </w:r>
      <w:r w:rsidRPr="0024327D">
        <w:rPr>
          <w:lang w:val="uk-UA"/>
        </w:rPr>
        <w:t xml:space="preserve"> за більш спрощеним "стандартизованим підходом" до </w:t>
      </w:r>
      <w:r w:rsidR="001C0DB4" w:rsidRPr="0024327D">
        <w:rPr>
          <w:lang w:val="uk-UA"/>
        </w:rPr>
        <w:t xml:space="preserve">розрахунку резервів </w:t>
      </w:r>
      <w:r w:rsidRPr="0024327D">
        <w:rPr>
          <w:lang w:val="uk-UA"/>
        </w:rPr>
        <w:t xml:space="preserve">банками. Це незмінно призведе до того, що </w:t>
      </w:r>
      <w:r w:rsidR="001C0DB4" w:rsidRPr="0024327D">
        <w:rPr>
          <w:lang w:val="uk-UA"/>
        </w:rPr>
        <w:t>під</w:t>
      </w:r>
      <w:r w:rsidRPr="0024327D">
        <w:rPr>
          <w:lang w:val="uk-UA"/>
        </w:rPr>
        <w:t xml:space="preserve"> </w:t>
      </w:r>
      <w:r w:rsidR="00D447D7" w:rsidRPr="0024327D">
        <w:rPr>
          <w:lang w:val="uk-UA"/>
        </w:rPr>
        <w:t xml:space="preserve">актив </w:t>
      </w:r>
      <w:r w:rsidRPr="0024327D">
        <w:rPr>
          <w:lang w:val="uk-UA"/>
        </w:rPr>
        <w:t>буде</w:t>
      </w:r>
      <w:r w:rsidR="001C0DB4" w:rsidRPr="0024327D">
        <w:rPr>
          <w:lang w:val="uk-UA"/>
        </w:rPr>
        <w:t xml:space="preserve"> створено більший резерв</w:t>
      </w:r>
      <w:r w:rsidRPr="0024327D">
        <w:rPr>
          <w:lang w:val="uk-UA"/>
        </w:rPr>
        <w:t>, ніж за методологією SEC-IRBA.</w:t>
      </w:r>
    </w:p>
    <w:p w14:paraId="022C76E9" w14:textId="37B2B598" w:rsidR="008E5688" w:rsidRPr="0024327D" w:rsidRDefault="008E5688" w:rsidP="008E5688">
      <w:pPr>
        <w:keepNext/>
        <w:rPr>
          <w:i/>
          <w:lang w:val="uk-UA"/>
        </w:rPr>
      </w:pPr>
      <w:r w:rsidRPr="0024327D">
        <w:rPr>
          <w:i/>
          <w:lang w:val="uk-UA"/>
        </w:rPr>
        <w:t xml:space="preserve">3. Метод, що базується на зовнішніх </w:t>
      </w:r>
      <w:r w:rsidR="001C0DB4" w:rsidRPr="0024327D">
        <w:rPr>
          <w:i/>
          <w:lang w:val="uk-UA"/>
        </w:rPr>
        <w:t xml:space="preserve">оцінках </w:t>
      </w:r>
      <w:r w:rsidRPr="0024327D">
        <w:rPr>
          <w:i/>
          <w:lang w:val="uk-UA"/>
        </w:rPr>
        <w:t>(метод SEC-ERBA)</w:t>
      </w:r>
    </w:p>
    <w:p w14:paraId="7EDA7AC5" w14:textId="2591AA7A" w:rsidR="008E5688" w:rsidRPr="0024327D" w:rsidRDefault="008E5688" w:rsidP="008E5688">
      <w:pPr>
        <w:rPr>
          <w:lang w:val="uk-UA"/>
        </w:rPr>
      </w:pPr>
      <w:r w:rsidRPr="0024327D">
        <w:rPr>
          <w:lang w:val="uk-UA"/>
        </w:rPr>
        <w:t xml:space="preserve">Третій варіант полягає у </w:t>
      </w:r>
      <w:r w:rsidR="001C0DB4" w:rsidRPr="0024327D">
        <w:rPr>
          <w:lang w:val="uk-UA"/>
        </w:rPr>
        <w:t xml:space="preserve">формуванні резервів </w:t>
      </w:r>
      <w:r w:rsidRPr="0024327D">
        <w:rPr>
          <w:lang w:val="uk-UA"/>
        </w:rPr>
        <w:t xml:space="preserve">на підставі зовнішнього рейтингу облігацій, присвоєного авторитетним рейтинговим агентством. Цей підхід поєднує рейтинг та інші змінні - наприклад, </w:t>
      </w:r>
      <w:r w:rsidR="00AD6945" w:rsidRPr="0024327D">
        <w:rPr>
          <w:lang w:val="uk-UA"/>
        </w:rPr>
        <w:t xml:space="preserve">строк погашення активу </w:t>
      </w:r>
      <w:r w:rsidRPr="0024327D">
        <w:rPr>
          <w:lang w:val="uk-UA"/>
        </w:rPr>
        <w:t xml:space="preserve">- у відносно спрощеній таблиці, щоб отримати </w:t>
      </w:r>
      <w:r w:rsidR="00FC702C" w:rsidRPr="0024327D">
        <w:rPr>
          <w:lang w:val="uk-UA"/>
        </w:rPr>
        <w:t xml:space="preserve">резерв </w:t>
      </w:r>
      <w:r w:rsidRPr="0024327D">
        <w:rPr>
          <w:lang w:val="uk-UA"/>
        </w:rPr>
        <w:t xml:space="preserve">капіталу для покриття ризику. </w:t>
      </w:r>
    </w:p>
    <w:p w14:paraId="1EA4C544" w14:textId="6045D9F8" w:rsidR="008E5688" w:rsidRPr="0024327D" w:rsidRDefault="008E5688" w:rsidP="008E5688">
      <w:pPr>
        <w:keepNext/>
        <w:rPr>
          <w:i/>
          <w:lang w:val="uk-UA"/>
        </w:rPr>
      </w:pPr>
      <w:r w:rsidRPr="0024327D">
        <w:rPr>
          <w:i/>
          <w:lang w:val="uk-UA"/>
        </w:rPr>
        <w:t xml:space="preserve">4. </w:t>
      </w:r>
      <w:r w:rsidR="00CF0B18" w:rsidRPr="0024327D">
        <w:rPr>
          <w:i/>
          <w:lang w:val="uk-UA"/>
        </w:rPr>
        <w:t>Запасний варіант</w:t>
      </w:r>
    </w:p>
    <w:p w14:paraId="32308943" w14:textId="77777777" w:rsidR="008E5688" w:rsidRPr="0024327D" w:rsidRDefault="008E5688" w:rsidP="008E5688">
      <w:pPr>
        <w:rPr>
          <w:lang w:val="uk-UA"/>
        </w:rPr>
      </w:pPr>
      <w:r w:rsidRPr="0024327D">
        <w:rPr>
          <w:lang w:val="uk-UA"/>
        </w:rPr>
        <w:t>Якщо не застосовується жоден з трьох вищезазначених варіантів, будь-який ризик повинен бути безпосередньо вирахуваний із регулятивного капіталу банку.</w:t>
      </w:r>
    </w:p>
    <w:p w14:paraId="6435A1BF" w14:textId="77777777" w:rsidR="00311506" w:rsidRPr="0024327D" w:rsidRDefault="00311506" w:rsidP="00311506">
      <w:pPr>
        <w:rPr>
          <w:b/>
          <w:bCs/>
          <w:lang w:val="uk-UA"/>
        </w:rPr>
      </w:pPr>
      <w:r w:rsidRPr="0024327D">
        <w:rPr>
          <w:b/>
          <w:bCs/>
          <w:lang w:val="uk-UA"/>
        </w:rPr>
        <w:t>Рейтинги та формування резервів (облігації з покриттям)</w:t>
      </w:r>
    </w:p>
    <w:p w14:paraId="492579F4" w14:textId="5088A6E8" w:rsidR="00311506" w:rsidRPr="0024327D" w:rsidRDefault="00311506" w:rsidP="00311506">
      <w:pPr>
        <w:rPr>
          <w:lang w:val="uk-UA"/>
        </w:rPr>
      </w:pPr>
      <w:r w:rsidRPr="0024327D">
        <w:rPr>
          <w:lang w:val="uk-UA"/>
        </w:rPr>
        <w:t>Відповідно до регламентів ЄС, банки</w:t>
      </w:r>
      <w:r w:rsidR="00F23065" w:rsidRPr="0024327D">
        <w:rPr>
          <w:lang w:val="uk-UA"/>
        </w:rPr>
        <w:t>,</w:t>
      </w:r>
      <w:r w:rsidR="00BF7229" w:rsidRPr="0024327D">
        <w:rPr>
          <w:lang w:val="uk-UA"/>
        </w:rPr>
        <w:t xml:space="preserve"> </w:t>
      </w:r>
      <w:r w:rsidR="00F23065" w:rsidRPr="0024327D">
        <w:rPr>
          <w:lang w:val="uk-UA"/>
        </w:rPr>
        <w:t xml:space="preserve">що є </w:t>
      </w:r>
      <w:r w:rsidRPr="0024327D">
        <w:rPr>
          <w:lang w:val="uk-UA"/>
        </w:rPr>
        <w:t>інвестор</w:t>
      </w:r>
      <w:r w:rsidR="00F23065" w:rsidRPr="0024327D">
        <w:rPr>
          <w:lang w:val="uk-UA"/>
        </w:rPr>
        <w:t>ами</w:t>
      </w:r>
      <w:r w:rsidRPr="0024327D">
        <w:rPr>
          <w:lang w:val="uk-UA"/>
        </w:rPr>
        <w:t xml:space="preserve"> в облігації з покриттям</w:t>
      </w:r>
      <w:r w:rsidR="00F23065" w:rsidRPr="0024327D">
        <w:rPr>
          <w:lang w:val="uk-UA"/>
        </w:rPr>
        <w:t>,</w:t>
      </w:r>
      <w:r w:rsidRPr="0024327D">
        <w:rPr>
          <w:lang w:val="uk-UA"/>
        </w:rPr>
        <w:t xml:space="preserve"> </w:t>
      </w:r>
      <w:r w:rsidR="00F23065" w:rsidRPr="0024327D">
        <w:rPr>
          <w:lang w:val="uk-UA"/>
        </w:rPr>
        <w:t>користуються</w:t>
      </w:r>
      <w:r w:rsidRPr="0024327D">
        <w:rPr>
          <w:lang w:val="uk-UA"/>
        </w:rPr>
        <w:t xml:space="preserve"> більш сприятливи</w:t>
      </w:r>
      <w:r w:rsidR="00F23065" w:rsidRPr="0024327D">
        <w:rPr>
          <w:lang w:val="uk-UA"/>
        </w:rPr>
        <w:t>м</w:t>
      </w:r>
      <w:r w:rsidRPr="0024327D">
        <w:rPr>
          <w:lang w:val="uk-UA"/>
        </w:rPr>
        <w:t xml:space="preserve"> режим</w:t>
      </w:r>
      <w:r w:rsidR="00F23065" w:rsidRPr="0024327D">
        <w:rPr>
          <w:lang w:val="uk-UA"/>
        </w:rPr>
        <w:t>ом</w:t>
      </w:r>
      <w:r w:rsidRPr="0024327D">
        <w:rPr>
          <w:lang w:val="uk-UA"/>
        </w:rPr>
        <w:t xml:space="preserve"> </w:t>
      </w:r>
      <w:r w:rsidR="00BF7229" w:rsidRPr="0024327D">
        <w:rPr>
          <w:lang w:val="uk-UA"/>
        </w:rPr>
        <w:t>стосовно</w:t>
      </w:r>
      <w:r w:rsidRPr="0024327D">
        <w:rPr>
          <w:lang w:val="uk-UA"/>
        </w:rPr>
        <w:t xml:space="preserve"> </w:t>
      </w:r>
      <w:r w:rsidR="00F23065" w:rsidRPr="0024327D">
        <w:rPr>
          <w:lang w:val="uk-UA"/>
        </w:rPr>
        <w:t xml:space="preserve">вказаних </w:t>
      </w:r>
      <w:r w:rsidRPr="0024327D">
        <w:rPr>
          <w:lang w:val="uk-UA"/>
        </w:rPr>
        <w:t xml:space="preserve">облігацій, </w:t>
      </w:r>
      <w:r w:rsidR="00B57345" w:rsidRPr="0024327D">
        <w:rPr>
          <w:lang w:val="uk-UA"/>
        </w:rPr>
        <w:t>які</w:t>
      </w:r>
      <w:r w:rsidRPr="0024327D">
        <w:rPr>
          <w:lang w:val="uk-UA"/>
        </w:rPr>
        <w:t xml:space="preserve"> відповідають Директиві про облігації з покриттям та Регламенту про вимоги до капіталу (стаття 129). Зокрема, </w:t>
      </w:r>
      <w:r w:rsidR="00D05EE3" w:rsidRPr="0024327D">
        <w:rPr>
          <w:lang w:val="uk-UA"/>
        </w:rPr>
        <w:t>у випадку</w:t>
      </w:r>
      <w:r w:rsidRPr="0024327D">
        <w:rPr>
          <w:lang w:val="uk-UA"/>
        </w:rPr>
        <w:t xml:space="preserve"> банків, які використовують стандартний підхід до формування резерв</w:t>
      </w:r>
      <w:r w:rsidR="00F23065" w:rsidRPr="0024327D">
        <w:rPr>
          <w:lang w:val="uk-UA"/>
        </w:rPr>
        <w:t>ів</w:t>
      </w:r>
      <w:r w:rsidRPr="0024327D">
        <w:rPr>
          <w:lang w:val="uk-UA"/>
        </w:rPr>
        <w:t>, облігаці</w:t>
      </w:r>
      <w:r w:rsidR="00D05EE3" w:rsidRPr="0024327D">
        <w:rPr>
          <w:lang w:val="uk-UA"/>
        </w:rPr>
        <w:t>ям</w:t>
      </w:r>
      <w:r w:rsidRPr="0024327D">
        <w:rPr>
          <w:lang w:val="uk-UA"/>
        </w:rPr>
        <w:t xml:space="preserve"> з покриттям </w:t>
      </w:r>
      <w:r w:rsidR="00D05EE3" w:rsidRPr="0024327D">
        <w:rPr>
          <w:lang w:val="uk-UA"/>
        </w:rPr>
        <w:t xml:space="preserve">буде </w:t>
      </w:r>
      <w:r w:rsidR="00F23065" w:rsidRPr="0024327D">
        <w:rPr>
          <w:lang w:val="uk-UA"/>
        </w:rPr>
        <w:t>присво</w:t>
      </w:r>
      <w:r w:rsidR="00D05EE3" w:rsidRPr="0024327D">
        <w:rPr>
          <w:lang w:val="uk-UA"/>
        </w:rPr>
        <w:t>єн</w:t>
      </w:r>
      <w:r w:rsidR="003B05EF" w:rsidRPr="0024327D">
        <w:rPr>
          <w:lang w:val="uk-UA"/>
        </w:rPr>
        <w:t>о</w:t>
      </w:r>
      <w:r w:rsidRPr="0024327D">
        <w:rPr>
          <w:lang w:val="uk-UA"/>
        </w:rPr>
        <w:t xml:space="preserve"> коефіцієнт резерву </w:t>
      </w:r>
      <w:r w:rsidR="00F23065" w:rsidRPr="0024327D">
        <w:rPr>
          <w:lang w:val="uk-UA"/>
        </w:rPr>
        <w:t xml:space="preserve">відповідно до </w:t>
      </w:r>
      <w:r w:rsidRPr="0024327D">
        <w:rPr>
          <w:lang w:val="uk-UA"/>
        </w:rPr>
        <w:t>кредитного рейтингу</w:t>
      </w:r>
      <w:r w:rsidR="00F23065" w:rsidRPr="0024327D">
        <w:rPr>
          <w:lang w:val="uk-UA"/>
        </w:rPr>
        <w:t xml:space="preserve"> таких банків (а не </w:t>
      </w:r>
      <w:r w:rsidR="00D05EE3" w:rsidRPr="0024327D">
        <w:rPr>
          <w:lang w:val="uk-UA"/>
        </w:rPr>
        <w:t>емітента)</w:t>
      </w:r>
      <w:r w:rsidRPr="0024327D">
        <w:rPr>
          <w:lang w:val="uk-UA"/>
        </w:rPr>
        <w:t xml:space="preserve"> та </w:t>
      </w:r>
      <w:r w:rsidR="00BF7229" w:rsidRPr="0024327D">
        <w:rPr>
          <w:lang w:val="uk-UA"/>
        </w:rPr>
        <w:t>виходячи з</w:t>
      </w:r>
      <w:r w:rsidRPr="0024327D">
        <w:rPr>
          <w:lang w:val="uk-UA"/>
        </w:rPr>
        <w:t xml:space="preserve"> </w:t>
      </w:r>
      <w:r w:rsidR="007B7755" w:rsidRPr="0024327D">
        <w:rPr>
          <w:lang w:val="uk-UA"/>
        </w:rPr>
        <w:t>“</w:t>
      </w:r>
      <w:r w:rsidRPr="0024327D">
        <w:rPr>
          <w:lang w:val="uk-UA"/>
        </w:rPr>
        <w:t xml:space="preserve">наступного </w:t>
      </w:r>
      <w:r w:rsidR="00D05EE3" w:rsidRPr="0024327D">
        <w:rPr>
          <w:lang w:val="uk-UA"/>
        </w:rPr>
        <w:t xml:space="preserve">за </w:t>
      </w:r>
      <w:r w:rsidRPr="0024327D">
        <w:rPr>
          <w:lang w:val="uk-UA"/>
        </w:rPr>
        <w:t>крок</w:t>
      </w:r>
      <w:r w:rsidR="00D05EE3" w:rsidRPr="0024327D">
        <w:rPr>
          <w:lang w:val="uk-UA"/>
        </w:rPr>
        <w:t>ом</w:t>
      </w:r>
      <w:r w:rsidR="007B7755" w:rsidRPr="0024327D">
        <w:rPr>
          <w:lang w:val="uk-UA"/>
        </w:rPr>
        <w:t>”</w:t>
      </w:r>
      <w:r w:rsidRPr="0024327D">
        <w:rPr>
          <w:lang w:val="uk-UA"/>
        </w:rPr>
        <w:t xml:space="preserve"> коефіцієнт</w:t>
      </w:r>
      <w:r w:rsidR="00BF7229" w:rsidRPr="0024327D">
        <w:rPr>
          <w:lang w:val="uk-UA"/>
        </w:rPr>
        <w:t>у</w:t>
      </w:r>
      <w:r w:rsidRPr="0024327D">
        <w:rPr>
          <w:lang w:val="uk-UA"/>
        </w:rPr>
        <w:t xml:space="preserve"> ризику резерву. Наприклад, для однієї незабезпеченої облігації з рейтингом А буде </w:t>
      </w:r>
      <w:r w:rsidR="00BF7229" w:rsidRPr="0024327D">
        <w:rPr>
          <w:lang w:val="uk-UA"/>
        </w:rPr>
        <w:t xml:space="preserve">застосовуватися </w:t>
      </w:r>
      <w:r w:rsidRPr="0024327D">
        <w:rPr>
          <w:lang w:val="uk-UA"/>
        </w:rPr>
        <w:t xml:space="preserve">ризик з коефіцієнтом 50%, </w:t>
      </w:r>
      <w:r w:rsidR="00BF7229" w:rsidRPr="0024327D">
        <w:rPr>
          <w:lang w:val="uk-UA"/>
        </w:rPr>
        <w:t>у той час</w:t>
      </w:r>
      <w:r w:rsidRPr="0024327D">
        <w:rPr>
          <w:lang w:val="uk-UA"/>
        </w:rPr>
        <w:t xml:space="preserve"> як для облігації з покриттям, що має такий самий рейтинг, </w:t>
      </w:r>
      <w:r w:rsidR="00BF7229" w:rsidRPr="0024327D">
        <w:rPr>
          <w:lang w:val="uk-UA"/>
        </w:rPr>
        <w:t>такий</w:t>
      </w:r>
      <w:r w:rsidRPr="0024327D">
        <w:rPr>
          <w:lang w:val="uk-UA"/>
        </w:rPr>
        <w:t xml:space="preserve"> коефіцієнт </w:t>
      </w:r>
      <w:r w:rsidR="00BF7229" w:rsidRPr="0024327D">
        <w:rPr>
          <w:lang w:val="uk-UA"/>
        </w:rPr>
        <w:t>становив</w:t>
      </w:r>
      <w:r w:rsidRPr="0024327D">
        <w:rPr>
          <w:lang w:val="uk-UA"/>
        </w:rPr>
        <w:t xml:space="preserve"> би 20%. </w:t>
      </w:r>
      <w:r w:rsidR="00175551" w:rsidRPr="0024327D">
        <w:rPr>
          <w:lang w:val="uk-UA"/>
        </w:rPr>
        <w:t>У випадку</w:t>
      </w:r>
      <w:r w:rsidRPr="0024327D">
        <w:rPr>
          <w:lang w:val="uk-UA"/>
        </w:rPr>
        <w:t xml:space="preserve"> банків, які використовують</w:t>
      </w:r>
      <w:r w:rsidR="00175551" w:rsidRPr="0024327D">
        <w:rPr>
          <w:lang w:val="uk-UA"/>
        </w:rPr>
        <w:t xml:space="preserve"> для формування резервів</w:t>
      </w:r>
      <w:r w:rsidRPr="0024327D">
        <w:rPr>
          <w:lang w:val="uk-UA"/>
        </w:rPr>
        <w:t xml:space="preserve"> метод IRB (</w:t>
      </w:r>
      <w:r w:rsidRPr="0024327D">
        <w:rPr>
          <w:i/>
          <w:iCs/>
          <w:lang w:val="uk-UA"/>
        </w:rPr>
        <w:t>метод, що базується на внутрішніх оцінках</w:t>
      </w:r>
      <w:r w:rsidRPr="0024327D">
        <w:rPr>
          <w:lang w:val="uk-UA"/>
        </w:rPr>
        <w:t xml:space="preserve">), </w:t>
      </w:r>
      <w:r w:rsidR="00175551" w:rsidRPr="0024327D">
        <w:rPr>
          <w:lang w:val="uk-UA"/>
        </w:rPr>
        <w:t xml:space="preserve">для </w:t>
      </w:r>
      <w:r w:rsidRPr="0024327D">
        <w:rPr>
          <w:lang w:val="uk-UA"/>
        </w:rPr>
        <w:t>облігаці</w:t>
      </w:r>
      <w:r w:rsidR="00175551" w:rsidRPr="0024327D">
        <w:rPr>
          <w:lang w:val="uk-UA"/>
        </w:rPr>
        <w:t>й</w:t>
      </w:r>
      <w:r w:rsidRPr="0024327D">
        <w:rPr>
          <w:lang w:val="uk-UA"/>
        </w:rPr>
        <w:t xml:space="preserve"> з покриттям </w:t>
      </w:r>
      <w:r w:rsidR="00175551" w:rsidRPr="0024327D">
        <w:rPr>
          <w:lang w:val="uk-UA"/>
        </w:rPr>
        <w:t>діє припущення щодо збитків</w:t>
      </w:r>
      <w:r w:rsidRPr="0024327D">
        <w:rPr>
          <w:lang w:val="uk-UA"/>
        </w:rPr>
        <w:t xml:space="preserve"> у разі дефолту в</w:t>
      </w:r>
      <w:r w:rsidR="00175551" w:rsidRPr="0024327D">
        <w:rPr>
          <w:lang w:val="uk-UA"/>
        </w:rPr>
        <w:t xml:space="preserve"> розмірі</w:t>
      </w:r>
      <w:r w:rsidRPr="0024327D">
        <w:rPr>
          <w:lang w:val="uk-UA"/>
        </w:rPr>
        <w:t xml:space="preserve"> 11,25%</w:t>
      </w:r>
      <w:r w:rsidR="00175551" w:rsidRPr="0024327D">
        <w:rPr>
          <w:lang w:val="uk-UA"/>
        </w:rPr>
        <w:t>,</w:t>
      </w:r>
      <w:r w:rsidRPr="0024327D">
        <w:rPr>
          <w:lang w:val="uk-UA"/>
        </w:rPr>
        <w:t xml:space="preserve"> </w:t>
      </w:r>
      <w:r w:rsidR="00175551" w:rsidRPr="0024327D">
        <w:rPr>
          <w:lang w:val="uk-UA"/>
        </w:rPr>
        <w:t>а</w:t>
      </w:r>
      <w:r w:rsidRPr="0024327D">
        <w:rPr>
          <w:lang w:val="uk-UA"/>
        </w:rPr>
        <w:t xml:space="preserve"> </w:t>
      </w:r>
      <w:r w:rsidR="00175551" w:rsidRPr="0024327D">
        <w:rPr>
          <w:lang w:val="uk-UA"/>
        </w:rPr>
        <w:t>вірогідність</w:t>
      </w:r>
      <w:r w:rsidRPr="0024327D">
        <w:rPr>
          <w:lang w:val="uk-UA"/>
        </w:rPr>
        <w:t xml:space="preserve"> дефолту визначається</w:t>
      </w:r>
      <w:r w:rsidR="003B05EF" w:rsidRPr="0024327D">
        <w:rPr>
          <w:lang w:val="uk-UA"/>
        </w:rPr>
        <w:t xml:space="preserve"> відповідно до</w:t>
      </w:r>
      <w:r w:rsidRPr="0024327D">
        <w:rPr>
          <w:lang w:val="uk-UA"/>
        </w:rPr>
        <w:t xml:space="preserve"> кредитн</w:t>
      </w:r>
      <w:r w:rsidR="003B05EF" w:rsidRPr="0024327D">
        <w:rPr>
          <w:lang w:val="uk-UA"/>
        </w:rPr>
        <w:t>ого</w:t>
      </w:r>
      <w:r w:rsidRPr="0024327D">
        <w:rPr>
          <w:lang w:val="uk-UA"/>
        </w:rPr>
        <w:t xml:space="preserve"> рейтинг</w:t>
      </w:r>
      <w:r w:rsidR="003B05EF" w:rsidRPr="0024327D">
        <w:rPr>
          <w:lang w:val="uk-UA"/>
        </w:rPr>
        <w:t>у</w:t>
      </w:r>
      <w:r w:rsidR="00175551" w:rsidRPr="0024327D">
        <w:rPr>
          <w:lang w:val="uk-UA"/>
        </w:rPr>
        <w:t xml:space="preserve"> таких банків</w:t>
      </w:r>
      <w:r w:rsidRPr="0024327D">
        <w:rPr>
          <w:lang w:val="uk-UA"/>
        </w:rPr>
        <w:t>.</w:t>
      </w:r>
    </w:p>
    <w:p w14:paraId="0B0E94BA" w14:textId="77777777" w:rsidR="008E5688" w:rsidRPr="0024327D" w:rsidRDefault="008E5688" w:rsidP="001A3C33">
      <w:pPr>
        <w:keepNext/>
        <w:keepLines/>
        <w:numPr>
          <w:ilvl w:val="1"/>
          <w:numId w:val="20"/>
        </w:numPr>
        <w:spacing w:before="360" w:line="240" w:lineRule="auto"/>
        <w:outlineLvl w:val="1"/>
        <w:rPr>
          <w:rFonts w:eastAsiaTheme="majorEastAsia" w:cstheme="majorBidi"/>
          <w:color w:val="2E74B5" w:themeColor="accent1" w:themeShade="BF"/>
          <w:sz w:val="32"/>
          <w:szCs w:val="32"/>
          <w:lang w:val="uk-UA"/>
        </w:rPr>
      </w:pPr>
      <w:bookmarkStart w:id="165" w:name="_Toc95481019"/>
      <w:r w:rsidRPr="0024327D">
        <w:rPr>
          <w:rFonts w:eastAsiaTheme="majorEastAsia" w:cstheme="majorBidi"/>
          <w:color w:val="2E74B5" w:themeColor="accent1" w:themeShade="BF"/>
          <w:sz w:val="32"/>
          <w:szCs w:val="32"/>
          <w:lang w:val="uk-UA"/>
        </w:rPr>
        <w:lastRenderedPageBreak/>
        <w:t>Використання інструментів</w:t>
      </w:r>
      <w:bookmarkEnd w:id="165"/>
    </w:p>
    <w:p w14:paraId="496C5EB0" w14:textId="6CA48ECB"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66" w:name="_Toc27153474"/>
      <w:bookmarkStart w:id="167" w:name="_Toc32498754"/>
      <w:bookmarkStart w:id="168" w:name="_Toc95481020"/>
      <w:r w:rsidRPr="0024327D">
        <w:rPr>
          <w:rFonts w:eastAsiaTheme="majorEastAsia" w:cstheme="majorBidi"/>
          <w:color w:val="2E74B5" w:themeColor="accent1" w:themeShade="BF"/>
          <w:sz w:val="28"/>
          <w:szCs w:val="28"/>
          <w:lang w:val="uk-UA"/>
        </w:rPr>
        <w:t>Прийнятні активи –</w:t>
      </w:r>
      <w:bookmarkEnd w:id="166"/>
      <w:bookmarkEnd w:id="167"/>
      <w:r w:rsidR="00981551" w:rsidRPr="0024327D">
        <w:rPr>
          <w:rFonts w:eastAsiaTheme="majorEastAsia" w:cstheme="majorBidi"/>
          <w:color w:val="2E74B5" w:themeColor="accent1" w:themeShade="BF"/>
          <w:sz w:val="28"/>
          <w:szCs w:val="28"/>
          <w:lang w:val="uk-UA"/>
        </w:rPr>
        <w:t xml:space="preserve"> </w:t>
      </w:r>
      <w:r w:rsidRPr="0024327D">
        <w:rPr>
          <w:rFonts w:eastAsiaTheme="majorEastAsia" w:cstheme="majorBidi"/>
          <w:color w:val="2E74B5" w:themeColor="accent1" w:themeShade="BF"/>
          <w:sz w:val="28"/>
          <w:szCs w:val="28"/>
          <w:lang w:val="uk-UA"/>
        </w:rPr>
        <w:t>облігації</w:t>
      </w:r>
      <w:r w:rsidR="009916ED" w:rsidRPr="0024327D">
        <w:rPr>
          <w:rFonts w:eastAsiaTheme="majorEastAsia" w:cstheme="majorBidi"/>
          <w:color w:val="2E74B5" w:themeColor="accent1" w:themeShade="BF"/>
          <w:sz w:val="28"/>
          <w:szCs w:val="28"/>
          <w:lang w:val="uk-UA"/>
        </w:rPr>
        <w:t xml:space="preserve"> з покриттям</w:t>
      </w:r>
      <w:bookmarkEnd w:id="168"/>
    </w:p>
    <w:p w14:paraId="5D796BD7" w14:textId="35176386" w:rsidR="008E5688" w:rsidRPr="0024327D" w:rsidRDefault="008E5688" w:rsidP="008E5688">
      <w:pPr>
        <w:spacing w:line="240" w:lineRule="auto"/>
        <w:rPr>
          <w:rFonts w:cs="Arial"/>
          <w:lang w:val="uk-UA"/>
        </w:rPr>
      </w:pPr>
      <w:r w:rsidRPr="0024327D">
        <w:rPr>
          <w:rFonts w:cs="Arial"/>
          <w:lang w:val="uk-UA"/>
        </w:rPr>
        <w:t xml:space="preserve">Відповідно до регламентів ЄС та загальноприйнятої практики на ринку </w:t>
      </w:r>
      <w:r w:rsidR="00645A85" w:rsidRPr="0024327D">
        <w:rPr>
          <w:rFonts w:cs="Arial"/>
          <w:lang w:val="uk-UA"/>
        </w:rPr>
        <w:t>облігацій з покриттям</w:t>
      </w:r>
      <w:r w:rsidR="00E75C16" w:rsidRPr="0024327D">
        <w:rPr>
          <w:rFonts w:cs="Arial"/>
          <w:lang w:val="uk-UA"/>
        </w:rPr>
        <w:t>,</w:t>
      </w:r>
      <w:r w:rsidRPr="0024327D">
        <w:rPr>
          <w:rFonts w:cs="Arial"/>
          <w:lang w:val="uk-UA"/>
        </w:rPr>
        <w:t xml:space="preserve"> прийнятн</w:t>
      </w:r>
      <w:r w:rsidR="00E75C16" w:rsidRPr="0024327D">
        <w:rPr>
          <w:rFonts w:cs="Arial"/>
          <w:lang w:val="uk-UA"/>
        </w:rPr>
        <w:t>і</w:t>
      </w:r>
      <w:r w:rsidRPr="0024327D">
        <w:rPr>
          <w:rFonts w:cs="Arial"/>
          <w:lang w:val="uk-UA"/>
        </w:rPr>
        <w:t xml:space="preserve"> активи для </w:t>
      </w:r>
      <w:r w:rsidR="00E75C16" w:rsidRPr="0024327D">
        <w:rPr>
          <w:rFonts w:cs="Arial"/>
          <w:lang w:val="uk-UA"/>
        </w:rPr>
        <w:t xml:space="preserve">використання в якості забезпечення за </w:t>
      </w:r>
      <w:r w:rsidRPr="0024327D">
        <w:rPr>
          <w:rFonts w:cs="Arial"/>
          <w:lang w:val="uk-UA"/>
        </w:rPr>
        <w:t>програм</w:t>
      </w:r>
      <w:r w:rsidR="00E75C16" w:rsidRPr="0024327D">
        <w:rPr>
          <w:rFonts w:cs="Arial"/>
          <w:lang w:val="uk-UA"/>
        </w:rPr>
        <w:t>ами</w:t>
      </w:r>
      <w:r w:rsidRPr="0024327D">
        <w:rPr>
          <w:rFonts w:cs="Arial"/>
          <w:lang w:val="uk-UA"/>
        </w:rPr>
        <w:t xml:space="preserve"> визначені статтею 129 </w:t>
      </w:r>
      <w:r w:rsidR="008F64D8" w:rsidRPr="0024327D">
        <w:rPr>
          <w:rFonts w:cs="Arial"/>
          <w:lang w:val="uk-UA"/>
        </w:rPr>
        <w:t xml:space="preserve"> Регламенту </w:t>
      </w:r>
      <w:r w:rsidRPr="0024327D">
        <w:rPr>
          <w:rFonts w:cs="Arial"/>
          <w:lang w:val="uk-UA"/>
        </w:rPr>
        <w:t xml:space="preserve">про вимоги до капіталу, зокрема, житлова іпотека, комерційна іпотека, дебіторська заборгованість суб'єктів </w:t>
      </w:r>
      <w:r w:rsidR="007C3551" w:rsidRPr="0024327D">
        <w:rPr>
          <w:rFonts w:cs="Arial"/>
          <w:lang w:val="uk-UA"/>
        </w:rPr>
        <w:t xml:space="preserve">публічного </w:t>
      </w:r>
      <w:r w:rsidRPr="0024327D">
        <w:rPr>
          <w:rFonts w:cs="Arial"/>
          <w:lang w:val="uk-UA"/>
        </w:rPr>
        <w:t>сектору та іпотека суден.</w:t>
      </w:r>
      <w:r w:rsidRPr="0024327D">
        <w:rPr>
          <w:rFonts w:cs="Arial"/>
          <w:vertAlign w:val="superscript"/>
          <w:lang w:val="uk-UA"/>
        </w:rPr>
        <w:footnoteReference w:id="57"/>
      </w:r>
      <w:r w:rsidRPr="0024327D">
        <w:rPr>
          <w:rFonts w:cs="Arial"/>
          <w:lang w:val="uk-UA"/>
        </w:rPr>
        <w:t xml:space="preserve"> На </w:t>
      </w:r>
      <w:r w:rsidR="004407A0" w:rsidRPr="0024327D">
        <w:rPr>
          <w:rFonts w:cs="Arial"/>
          <w:lang w:val="uk-UA"/>
        </w:rPr>
        <w:t xml:space="preserve">всі ці активи </w:t>
      </w:r>
      <w:r w:rsidR="00874871" w:rsidRPr="0024327D">
        <w:rPr>
          <w:rFonts w:cs="Arial"/>
          <w:lang w:val="uk-UA"/>
        </w:rPr>
        <w:t>п</w:t>
      </w:r>
      <w:r w:rsidRPr="0024327D">
        <w:rPr>
          <w:rFonts w:cs="Arial"/>
          <w:lang w:val="uk-UA"/>
        </w:rPr>
        <w:t xml:space="preserve">оширюються критерії, визначені у вищезазначеній статті, для забезпечення мінімального </w:t>
      </w:r>
      <w:r w:rsidR="004407A0" w:rsidRPr="0024327D">
        <w:rPr>
          <w:rFonts w:cs="Arial"/>
          <w:lang w:val="uk-UA"/>
        </w:rPr>
        <w:t xml:space="preserve">рівня якості активів </w:t>
      </w:r>
      <w:r w:rsidRPr="0024327D">
        <w:rPr>
          <w:rFonts w:cs="Arial"/>
          <w:lang w:val="uk-UA"/>
        </w:rPr>
        <w:t xml:space="preserve">(наприклад, обмеження </w:t>
      </w:r>
      <w:r w:rsidR="004407A0" w:rsidRPr="0024327D">
        <w:rPr>
          <w:rFonts w:cs="Arial"/>
          <w:lang w:val="uk-UA"/>
        </w:rPr>
        <w:t xml:space="preserve">щодо співвідношення </w:t>
      </w:r>
      <w:r w:rsidRPr="0024327D">
        <w:rPr>
          <w:rFonts w:cs="Arial"/>
          <w:lang w:val="uk-UA"/>
        </w:rPr>
        <w:t xml:space="preserve">розміру позики </w:t>
      </w:r>
      <w:r w:rsidR="004407A0" w:rsidRPr="0024327D">
        <w:rPr>
          <w:rFonts w:cs="Arial"/>
          <w:lang w:val="uk-UA"/>
        </w:rPr>
        <w:t xml:space="preserve">до </w:t>
      </w:r>
      <w:r w:rsidRPr="0024327D">
        <w:rPr>
          <w:rFonts w:cs="Arial"/>
          <w:lang w:val="uk-UA"/>
        </w:rPr>
        <w:t xml:space="preserve">вартості майна, яке її забезпечує). Крім того, існують певні активи технічного характеру, які можуть бути включені до пулу </w:t>
      </w:r>
      <w:r w:rsidR="00953F17" w:rsidRPr="0024327D">
        <w:rPr>
          <w:rFonts w:cs="Arial"/>
          <w:lang w:val="uk-UA"/>
        </w:rPr>
        <w:t xml:space="preserve"> покриття </w:t>
      </w:r>
      <w:r w:rsidR="00E10D6C" w:rsidRPr="0024327D">
        <w:rPr>
          <w:rFonts w:cs="Arial"/>
          <w:lang w:val="uk-UA"/>
        </w:rPr>
        <w:t>–</w:t>
      </w:r>
      <w:r w:rsidRPr="0024327D">
        <w:rPr>
          <w:rFonts w:cs="Arial"/>
          <w:lang w:val="uk-UA"/>
        </w:rPr>
        <w:t xml:space="preserve"> наприклад, дериватив</w:t>
      </w:r>
      <w:r w:rsidR="00953F17" w:rsidRPr="0024327D">
        <w:rPr>
          <w:rFonts w:cs="Arial"/>
          <w:lang w:val="uk-UA"/>
        </w:rPr>
        <w:t xml:space="preserve">ні </w:t>
      </w:r>
      <w:r w:rsidR="001846F5" w:rsidRPr="0024327D">
        <w:rPr>
          <w:rFonts w:cs="Arial"/>
          <w:lang w:val="uk-UA"/>
        </w:rPr>
        <w:t xml:space="preserve">фінансові інструменти </w:t>
      </w:r>
      <w:r w:rsidRPr="0024327D">
        <w:rPr>
          <w:rFonts w:cs="Arial"/>
          <w:lang w:val="uk-UA"/>
        </w:rPr>
        <w:t xml:space="preserve">та активи </w:t>
      </w:r>
      <w:r w:rsidR="00366946" w:rsidRPr="0024327D">
        <w:rPr>
          <w:rFonts w:cs="Arial"/>
          <w:lang w:val="uk-UA"/>
        </w:rPr>
        <w:t xml:space="preserve">для підтримки </w:t>
      </w:r>
      <w:r w:rsidRPr="0024327D">
        <w:rPr>
          <w:rFonts w:cs="Arial"/>
          <w:lang w:val="uk-UA"/>
        </w:rPr>
        <w:t xml:space="preserve">ліквідності, - але вони є допоміжними до первинних активів, для </w:t>
      </w:r>
      <w:r w:rsidR="00F0639F" w:rsidRPr="0024327D">
        <w:rPr>
          <w:rFonts w:cs="Arial"/>
          <w:lang w:val="uk-UA"/>
        </w:rPr>
        <w:t>ре</w:t>
      </w:r>
      <w:r w:rsidRPr="0024327D">
        <w:rPr>
          <w:rFonts w:cs="Arial"/>
          <w:lang w:val="uk-UA"/>
        </w:rPr>
        <w:t xml:space="preserve">фінансування яких створена програма </w:t>
      </w:r>
      <w:r w:rsidR="00645A85" w:rsidRPr="0024327D">
        <w:rPr>
          <w:rFonts w:cs="Arial"/>
          <w:lang w:val="uk-UA"/>
        </w:rPr>
        <w:t>облігацій з покриттям</w:t>
      </w:r>
      <w:r w:rsidRPr="0024327D">
        <w:rPr>
          <w:rFonts w:cs="Arial"/>
          <w:lang w:val="uk-UA"/>
        </w:rPr>
        <w:t>.</w:t>
      </w:r>
    </w:p>
    <w:p w14:paraId="162AF225" w14:textId="073D625A" w:rsidR="008E5688" w:rsidRPr="0024327D" w:rsidRDefault="008E5688" w:rsidP="008E5688">
      <w:pPr>
        <w:spacing w:line="240" w:lineRule="auto"/>
        <w:rPr>
          <w:rFonts w:cs="Arial"/>
          <w:lang w:val="uk-UA"/>
        </w:rPr>
      </w:pPr>
      <w:r w:rsidRPr="0024327D">
        <w:rPr>
          <w:rFonts w:cs="Arial"/>
          <w:lang w:val="uk-UA"/>
        </w:rPr>
        <w:t xml:space="preserve">В обмежених випадках національне законодавство дозволяє включати інші активи, але такі облігації не підпадають під пільговий режим за законодавством ЄС, і якби такі активи були дозволені законодавством України, інвестори навряд чи зможуть розглядати облігації, забезпечені ними як </w:t>
      </w:r>
      <w:r w:rsidR="00064891" w:rsidRPr="0024327D">
        <w:rPr>
          <w:lang w:val="uk-UA"/>
        </w:rPr>
        <w:t>“</w:t>
      </w:r>
      <w:r w:rsidR="00064891" w:rsidRPr="0024327D">
        <w:rPr>
          <w:color w:val="000000"/>
          <w:lang w:val="uk-UA" w:eastAsia="uk-UA"/>
        </w:rPr>
        <w:t>облігації</w:t>
      </w:r>
      <w:r w:rsidR="00D55C54" w:rsidRPr="0024327D">
        <w:rPr>
          <w:color w:val="000000"/>
          <w:lang w:val="uk-UA" w:eastAsia="uk-UA"/>
        </w:rPr>
        <w:t xml:space="preserve"> з покриттям</w:t>
      </w:r>
      <w:r w:rsidR="00064891" w:rsidRPr="0024327D">
        <w:rPr>
          <w:lang w:val="uk-UA"/>
        </w:rPr>
        <w:t>”</w:t>
      </w:r>
      <w:r w:rsidR="00D55C54" w:rsidRPr="0024327D">
        <w:rPr>
          <w:lang w:val="uk-UA"/>
        </w:rPr>
        <w:t xml:space="preserve"> (covered bonds)</w:t>
      </w:r>
      <w:r w:rsidRPr="0024327D">
        <w:rPr>
          <w:rFonts w:cs="Arial"/>
          <w:lang w:val="uk-UA"/>
        </w:rPr>
        <w:t>.</w:t>
      </w:r>
    </w:p>
    <w:p w14:paraId="08984385" w14:textId="6D97FAEA" w:rsidR="008E5688" w:rsidRPr="0024327D" w:rsidRDefault="008E5688" w:rsidP="008E5688">
      <w:pPr>
        <w:spacing w:line="240" w:lineRule="auto"/>
        <w:rPr>
          <w:rFonts w:cs="Arial"/>
          <w:lang w:val="uk-UA"/>
        </w:rPr>
      </w:pPr>
      <w:r w:rsidRPr="0024327D">
        <w:rPr>
          <w:rFonts w:cs="Arial"/>
          <w:lang w:val="uk-UA"/>
        </w:rPr>
        <w:t>Нарешті, в Європейському Союзі ведеться дискусія щодо введення обмежених додаткових активів до цього визначення, зокрема позик малим та середнім підприємствам, позик для</w:t>
      </w:r>
      <w:r w:rsidR="002745EE" w:rsidRPr="0024327D">
        <w:rPr>
          <w:rFonts w:cs="Arial"/>
          <w:lang w:val="uk-UA"/>
        </w:rPr>
        <w:t xml:space="preserve"> інфраструктурни</w:t>
      </w:r>
      <w:r w:rsidR="0052188E" w:rsidRPr="0024327D">
        <w:rPr>
          <w:rFonts w:cs="Arial"/>
          <w:lang w:val="uk-UA"/>
        </w:rPr>
        <w:t>х</w:t>
      </w:r>
      <w:r w:rsidR="002745EE" w:rsidRPr="0024327D">
        <w:rPr>
          <w:rFonts w:cs="Arial"/>
          <w:lang w:val="uk-UA"/>
        </w:rPr>
        <w:t xml:space="preserve"> про</w:t>
      </w:r>
      <w:r w:rsidR="005312A7" w:rsidRPr="0024327D">
        <w:rPr>
          <w:rFonts w:cs="Arial"/>
          <w:lang w:val="uk-UA"/>
        </w:rPr>
        <w:t>є</w:t>
      </w:r>
      <w:r w:rsidR="002745EE" w:rsidRPr="0024327D">
        <w:rPr>
          <w:rFonts w:cs="Arial"/>
          <w:lang w:val="uk-UA"/>
        </w:rPr>
        <w:t>ктів та про</w:t>
      </w:r>
      <w:r w:rsidR="005312A7" w:rsidRPr="0024327D">
        <w:rPr>
          <w:rFonts w:cs="Arial"/>
          <w:lang w:val="uk-UA"/>
        </w:rPr>
        <w:t>є</w:t>
      </w:r>
      <w:r w:rsidR="002745EE" w:rsidRPr="0024327D">
        <w:rPr>
          <w:rFonts w:cs="Arial"/>
          <w:lang w:val="uk-UA"/>
        </w:rPr>
        <w:t>ктів екологічного спрямування</w:t>
      </w:r>
      <w:r w:rsidRPr="0024327D">
        <w:rPr>
          <w:rFonts w:cs="Arial"/>
          <w:vertAlign w:val="superscript"/>
          <w:lang w:val="uk-UA"/>
        </w:rPr>
        <w:footnoteReference w:id="58"/>
      </w:r>
      <w:r w:rsidR="00953F17" w:rsidRPr="0024327D">
        <w:rPr>
          <w:rFonts w:cs="Arial"/>
          <w:lang w:val="uk-UA"/>
        </w:rPr>
        <w:t>.</w:t>
      </w:r>
      <w:r w:rsidRPr="0024327D">
        <w:rPr>
          <w:rFonts w:cs="Arial"/>
          <w:lang w:val="uk-UA"/>
        </w:rPr>
        <w:t xml:space="preserve"> Такі обговорення знаходяться на початковому етапі. </w:t>
      </w:r>
    </w:p>
    <w:p w14:paraId="54630322" w14:textId="29A62E32"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69" w:name="_Toc27153475"/>
      <w:bookmarkStart w:id="170" w:name="_Toc32498755"/>
      <w:bookmarkStart w:id="171" w:name="_Toc95481021"/>
      <w:r w:rsidRPr="0024327D">
        <w:rPr>
          <w:rFonts w:eastAsiaTheme="majorEastAsia" w:cstheme="majorBidi"/>
          <w:color w:val="2E74B5" w:themeColor="accent1" w:themeShade="BF"/>
          <w:sz w:val="28"/>
          <w:szCs w:val="28"/>
          <w:lang w:val="uk-UA"/>
        </w:rPr>
        <w:t>Прийнятні емітенти –</w:t>
      </w:r>
      <w:bookmarkEnd w:id="169"/>
      <w:bookmarkEnd w:id="170"/>
      <w:r w:rsidR="00953F17" w:rsidRPr="0024327D">
        <w:rPr>
          <w:rFonts w:eastAsiaTheme="majorEastAsia" w:cstheme="majorBidi"/>
          <w:color w:val="2E74B5" w:themeColor="accent1" w:themeShade="BF"/>
          <w:sz w:val="28"/>
          <w:szCs w:val="28"/>
          <w:lang w:val="uk-UA"/>
        </w:rPr>
        <w:t xml:space="preserve"> </w:t>
      </w:r>
      <w:r w:rsidRPr="0024327D">
        <w:rPr>
          <w:rFonts w:eastAsiaTheme="majorEastAsia" w:cstheme="majorBidi"/>
          <w:color w:val="2E74B5" w:themeColor="accent1" w:themeShade="BF"/>
          <w:sz w:val="28"/>
          <w:szCs w:val="28"/>
          <w:lang w:val="uk-UA"/>
        </w:rPr>
        <w:t>облігації</w:t>
      </w:r>
      <w:r w:rsidR="00D55C54" w:rsidRPr="0024327D">
        <w:rPr>
          <w:rFonts w:eastAsiaTheme="majorEastAsia" w:cstheme="majorBidi"/>
          <w:color w:val="2E74B5" w:themeColor="accent1" w:themeShade="BF"/>
          <w:sz w:val="28"/>
          <w:szCs w:val="28"/>
          <w:lang w:val="uk-UA"/>
        </w:rPr>
        <w:t xml:space="preserve"> з покриттям</w:t>
      </w:r>
      <w:bookmarkEnd w:id="171"/>
    </w:p>
    <w:p w14:paraId="09374A06" w14:textId="6609A315" w:rsidR="00EF4A39" w:rsidRPr="0024327D" w:rsidRDefault="003114C1" w:rsidP="008E5688">
      <w:pPr>
        <w:spacing w:line="240" w:lineRule="auto"/>
        <w:rPr>
          <w:rFonts w:cs="Arial"/>
          <w:lang w:val="uk-UA"/>
        </w:rPr>
      </w:pPr>
      <w:r w:rsidRPr="0024327D">
        <w:rPr>
          <w:rFonts w:cs="Arial"/>
          <w:lang w:val="uk-UA"/>
        </w:rPr>
        <w:t>В ЄС л</w:t>
      </w:r>
      <w:r w:rsidR="008E5688" w:rsidRPr="0024327D">
        <w:rPr>
          <w:rFonts w:cs="Arial"/>
          <w:lang w:val="uk-UA"/>
        </w:rPr>
        <w:t xml:space="preserve">ише </w:t>
      </w:r>
      <w:r w:rsidRPr="0024327D">
        <w:rPr>
          <w:rFonts w:cs="Arial"/>
          <w:lang w:val="uk-UA"/>
        </w:rPr>
        <w:t>кредитні</w:t>
      </w:r>
      <w:r w:rsidR="008E5688" w:rsidRPr="0024327D">
        <w:rPr>
          <w:rFonts w:cs="Arial"/>
          <w:lang w:val="uk-UA"/>
        </w:rPr>
        <w:t xml:space="preserve"> установи можуть випускати облігації</w:t>
      </w:r>
      <w:r w:rsidR="00D55C54" w:rsidRPr="0024327D">
        <w:rPr>
          <w:rFonts w:cs="Arial"/>
          <w:lang w:val="uk-UA"/>
        </w:rPr>
        <w:t xml:space="preserve"> з покриттям</w:t>
      </w:r>
      <w:r w:rsidR="008E5688" w:rsidRPr="0024327D">
        <w:rPr>
          <w:rFonts w:cs="Arial"/>
          <w:vertAlign w:val="superscript"/>
          <w:lang w:val="uk-UA"/>
        </w:rPr>
        <w:footnoteReference w:id="59"/>
      </w:r>
      <w:r w:rsidR="008E5688" w:rsidRPr="0024327D">
        <w:rPr>
          <w:rFonts w:cs="Arial"/>
          <w:lang w:val="uk-UA"/>
        </w:rPr>
        <w:t xml:space="preserve">, в першу чергу завдяки тому, що більшість </w:t>
      </w:r>
      <w:r w:rsidR="0052188E" w:rsidRPr="0024327D">
        <w:rPr>
          <w:rFonts w:cs="Arial"/>
          <w:lang w:val="uk-UA"/>
        </w:rPr>
        <w:t xml:space="preserve">юридичних механізмів та механізмів нагляду, що застосовуються до </w:t>
      </w:r>
      <w:r w:rsidR="00645A85" w:rsidRPr="0024327D">
        <w:rPr>
          <w:rFonts w:cs="Arial"/>
          <w:lang w:val="uk-UA"/>
        </w:rPr>
        <w:t>облігацій з покриттям</w:t>
      </w:r>
      <w:r w:rsidR="008E5688" w:rsidRPr="0024327D">
        <w:rPr>
          <w:rFonts w:cs="Arial"/>
          <w:lang w:val="uk-UA"/>
        </w:rPr>
        <w:t xml:space="preserve">, </w:t>
      </w:r>
      <w:r w:rsidR="007229A3" w:rsidRPr="0024327D">
        <w:rPr>
          <w:rFonts w:cs="Arial"/>
          <w:lang w:val="uk-UA"/>
        </w:rPr>
        <w:t xml:space="preserve">базуються на </w:t>
      </w:r>
      <w:r w:rsidR="00DE3CC1" w:rsidRPr="0024327D">
        <w:rPr>
          <w:rFonts w:cs="Arial"/>
          <w:lang w:val="uk-UA"/>
        </w:rPr>
        <w:t xml:space="preserve">наявних </w:t>
      </w:r>
      <w:r w:rsidR="008E5688" w:rsidRPr="0024327D">
        <w:rPr>
          <w:rFonts w:cs="Arial"/>
          <w:lang w:val="uk-UA"/>
        </w:rPr>
        <w:t>правила</w:t>
      </w:r>
      <w:r w:rsidR="007229A3" w:rsidRPr="0024327D">
        <w:rPr>
          <w:rFonts w:cs="Arial"/>
          <w:lang w:val="uk-UA"/>
        </w:rPr>
        <w:t>х</w:t>
      </w:r>
      <w:r w:rsidR="008E5688" w:rsidRPr="0024327D">
        <w:rPr>
          <w:rFonts w:cs="Arial"/>
          <w:lang w:val="uk-UA"/>
        </w:rPr>
        <w:t xml:space="preserve">, що регулюють діяльність </w:t>
      </w:r>
      <w:r w:rsidR="00E10D6C" w:rsidRPr="0024327D">
        <w:rPr>
          <w:rFonts w:cs="Arial"/>
          <w:lang w:val="uk-UA"/>
        </w:rPr>
        <w:t xml:space="preserve">таких </w:t>
      </w:r>
      <w:r w:rsidR="008E5688" w:rsidRPr="0024327D">
        <w:rPr>
          <w:rFonts w:cs="Arial"/>
          <w:lang w:val="uk-UA"/>
        </w:rPr>
        <w:t xml:space="preserve">емітентів. </w:t>
      </w:r>
      <w:r w:rsidR="00EF4A39" w:rsidRPr="0024327D">
        <w:rPr>
          <w:rFonts w:cs="Arial"/>
          <w:lang w:val="uk-UA"/>
        </w:rPr>
        <w:t>Загалом в</w:t>
      </w:r>
      <w:r w:rsidR="00B2076A" w:rsidRPr="0024327D">
        <w:rPr>
          <w:rFonts w:cs="Arial"/>
          <w:lang w:val="uk-UA"/>
        </w:rPr>
        <w:t>в</w:t>
      </w:r>
      <w:r w:rsidR="00EF4A39" w:rsidRPr="0024327D">
        <w:rPr>
          <w:rFonts w:cs="Arial"/>
          <w:lang w:val="uk-UA"/>
        </w:rPr>
        <w:t xml:space="preserve">ажається, що кредитні установи мають кращий доступ до </w:t>
      </w:r>
      <w:r w:rsidR="00C03EB8" w:rsidRPr="0024327D">
        <w:rPr>
          <w:rFonts w:cs="Arial"/>
          <w:lang w:val="uk-UA"/>
        </w:rPr>
        <w:t>інструментів</w:t>
      </w:r>
      <w:r w:rsidR="00EF4A39" w:rsidRPr="0024327D">
        <w:rPr>
          <w:rFonts w:cs="Arial"/>
          <w:lang w:val="uk-UA"/>
        </w:rPr>
        <w:t xml:space="preserve"> рефінансування, включаючи, як правило, доступ до фінансування від центрального банку в стрес</w:t>
      </w:r>
      <w:r w:rsidR="00C03EB8" w:rsidRPr="0024327D">
        <w:rPr>
          <w:rFonts w:cs="Arial"/>
          <w:lang w:val="uk-UA"/>
        </w:rPr>
        <w:t>ових</w:t>
      </w:r>
      <w:r w:rsidR="00EF4A39" w:rsidRPr="0024327D">
        <w:rPr>
          <w:rFonts w:cs="Arial"/>
          <w:lang w:val="uk-UA"/>
        </w:rPr>
        <w:t xml:space="preserve"> для всієї системи</w:t>
      </w:r>
      <w:r w:rsidR="00C03EB8" w:rsidRPr="0024327D">
        <w:rPr>
          <w:rFonts w:cs="Arial"/>
          <w:lang w:val="uk-UA"/>
        </w:rPr>
        <w:t xml:space="preserve"> умовах</w:t>
      </w:r>
      <w:r w:rsidR="00EF4A39" w:rsidRPr="0024327D">
        <w:rPr>
          <w:rFonts w:cs="Arial"/>
          <w:lang w:val="uk-UA"/>
        </w:rPr>
        <w:t>. Рефінансування має особливе значення для облігацій з покриттям (у порівнянні, наприклад, із сек</w:t>
      </w:r>
      <w:r w:rsidR="00C03EB8" w:rsidRPr="0024327D">
        <w:rPr>
          <w:rFonts w:cs="Arial"/>
          <w:lang w:val="uk-UA"/>
        </w:rPr>
        <w:t>’</w:t>
      </w:r>
      <w:r w:rsidR="00EF4A39" w:rsidRPr="0024327D">
        <w:rPr>
          <w:rFonts w:cs="Arial"/>
          <w:lang w:val="uk-UA"/>
        </w:rPr>
        <w:t>юритизацією) через невідповідність між строками існування активу і зобов</w:t>
      </w:r>
      <w:r w:rsidR="00C03EB8" w:rsidRPr="0024327D">
        <w:rPr>
          <w:rFonts w:cs="Arial"/>
          <w:lang w:val="uk-UA"/>
        </w:rPr>
        <w:t>’</w:t>
      </w:r>
      <w:r w:rsidR="00EF4A39" w:rsidRPr="0024327D">
        <w:rPr>
          <w:rFonts w:cs="Arial"/>
          <w:lang w:val="uk-UA"/>
        </w:rPr>
        <w:t xml:space="preserve">язання, зокрема, короткострокові облігації, забезпечені довгостроковими активами, повинні мати можливість покладатися на </w:t>
      </w:r>
      <w:r w:rsidR="00C03EB8" w:rsidRPr="0024327D">
        <w:rPr>
          <w:rFonts w:cs="Arial"/>
          <w:lang w:val="uk-UA"/>
        </w:rPr>
        <w:t>можливість</w:t>
      </w:r>
      <w:r w:rsidR="00EF4A39" w:rsidRPr="0024327D">
        <w:rPr>
          <w:rFonts w:cs="Arial"/>
          <w:lang w:val="uk-UA"/>
        </w:rPr>
        <w:t xml:space="preserve"> рефінансування цих активів навіть у стресових ринкових умовах.</w:t>
      </w:r>
    </w:p>
    <w:p w14:paraId="75BC8496" w14:textId="709585FE" w:rsidR="00695515" w:rsidRPr="0024327D" w:rsidRDefault="00DE3CC1" w:rsidP="008E5688">
      <w:pPr>
        <w:spacing w:line="240" w:lineRule="auto"/>
        <w:rPr>
          <w:rFonts w:cs="Arial"/>
          <w:lang w:val="uk-UA"/>
        </w:rPr>
      </w:pPr>
      <w:r w:rsidRPr="0024327D">
        <w:rPr>
          <w:rFonts w:cs="Arial"/>
          <w:lang w:val="uk-UA"/>
        </w:rPr>
        <w:t xml:space="preserve">За правом ЄС, кредитні установи включають </w:t>
      </w:r>
      <w:r w:rsidR="00A84EB1" w:rsidRPr="0024327D">
        <w:rPr>
          <w:rFonts w:cs="Arial"/>
          <w:lang w:val="uk-UA"/>
        </w:rPr>
        <w:t xml:space="preserve">спеціалізовані іпотечні кредитні установи, тобто кредитні установи, які фінансують кредити лише або в основному за рахунок </w:t>
      </w:r>
      <w:r w:rsidR="00E27584" w:rsidRPr="0024327D">
        <w:rPr>
          <w:rFonts w:cs="Arial"/>
          <w:lang w:val="uk-UA"/>
        </w:rPr>
        <w:t xml:space="preserve">випуску облігацій з покриттям, яким законодавчо дозволено провадити </w:t>
      </w:r>
      <w:r w:rsidR="007874B0" w:rsidRPr="0024327D">
        <w:rPr>
          <w:rFonts w:cs="Arial"/>
          <w:lang w:val="uk-UA"/>
        </w:rPr>
        <w:t xml:space="preserve">виключно </w:t>
      </w:r>
      <w:r w:rsidR="00E27584" w:rsidRPr="0024327D">
        <w:rPr>
          <w:rFonts w:cs="Arial"/>
          <w:lang w:val="uk-UA"/>
        </w:rPr>
        <w:t xml:space="preserve">діяльність </w:t>
      </w:r>
      <w:r w:rsidR="00C42AB0" w:rsidRPr="0024327D">
        <w:rPr>
          <w:rFonts w:cs="Arial"/>
          <w:lang w:val="uk-UA"/>
        </w:rPr>
        <w:t xml:space="preserve">з іпотечного кредитування та кредитування </w:t>
      </w:r>
      <w:r w:rsidR="003D0DA8" w:rsidRPr="0024327D">
        <w:rPr>
          <w:rFonts w:cs="Arial"/>
          <w:lang w:val="uk-UA"/>
        </w:rPr>
        <w:t>публічного</w:t>
      </w:r>
      <w:r w:rsidR="00C42AB0" w:rsidRPr="0024327D">
        <w:rPr>
          <w:rFonts w:cs="Arial"/>
          <w:lang w:val="uk-UA"/>
        </w:rPr>
        <w:t xml:space="preserve"> сектору економіки</w:t>
      </w:r>
      <w:r w:rsidR="007874B0" w:rsidRPr="0024327D">
        <w:rPr>
          <w:rFonts w:cs="Arial"/>
          <w:lang w:val="uk-UA"/>
        </w:rPr>
        <w:t xml:space="preserve">, </w:t>
      </w:r>
      <w:r w:rsidR="00834094" w:rsidRPr="0024327D">
        <w:rPr>
          <w:rFonts w:cs="Arial"/>
          <w:lang w:val="uk-UA"/>
        </w:rPr>
        <w:t xml:space="preserve">та яким заборонено залучати депозити, </w:t>
      </w:r>
      <w:r w:rsidR="005E185B" w:rsidRPr="0024327D">
        <w:rPr>
          <w:rFonts w:cs="Arial"/>
          <w:lang w:val="uk-UA"/>
        </w:rPr>
        <w:t xml:space="preserve">але які можуть залучати інші кошти від широкого загалу на умовах їх повернення. </w:t>
      </w:r>
      <w:r w:rsidR="00823195" w:rsidRPr="0024327D">
        <w:rPr>
          <w:rFonts w:cs="Arial"/>
          <w:lang w:val="uk-UA"/>
        </w:rPr>
        <w:t>Наразі в Україні немає таких кредитних установ</w:t>
      </w:r>
      <w:r w:rsidR="00366284" w:rsidRPr="0024327D">
        <w:rPr>
          <w:rFonts w:cs="Arial"/>
          <w:lang w:val="uk-UA"/>
        </w:rPr>
        <w:t xml:space="preserve">, але </w:t>
      </w:r>
      <w:r w:rsidR="00C006AB" w:rsidRPr="0024327D">
        <w:rPr>
          <w:rFonts w:cs="Arial"/>
          <w:lang w:val="uk-UA"/>
        </w:rPr>
        <w:t xml:space="preserve">в майбутньому </w:t>
      </w:r>
      <w:r w:rsidR="00DF3B5D" w:rsidRPr="0024327D">
        <w:rPr>
          <w:rFonts w:cs="Arial"/>
          <w:lang w:val="uk-UA"/>
        </w:rPr>
        <w:t>деякі з існуючих фінансових установ мо</w:t>
      </w:r>
      <w:r w:rsidR="00DB6225" w:rsidRPr="0024327D">
        <w:rPr>
          <w:rFonts w:cs="Arial"/>
          <w:lang w:val="uk-UA"/>
        </w:rPr>
        <w:t xml:space="preserve">жуть тяжіти до цього </w:t>
      </w:r>
      <w:r w:rsidR="00DB6225" w:rsidRPr="0024327D">
        <w:rPr>
          <w:rFonts w:cs="Arial"/>
          <w:i/>
          <w:iCs/>
          <w:lang w:val="en-US"/>
        </w:rPr>
        <w:t>modus</w:t>
      </w:r>
      <w:r w:rsidR="00DB6225" w:rsidRPr="0024327D">
        <w:rPr>
          <w:rFonts w:cs="Arial"/>
          <w:i/>
          <w:iCs/>
          <w:lang w:val="uk-UA"/>
        </w:rPr>
        <w:t xml:space="preserve"> </w:t>
      </w:r>
      <w:r w:rsidR="00DB6225" w:rsidRPr="0024327D">
        <w:rPr>
          <w:rFonts w:cs="Arial"/>
          <w:i/>
          <w:iCs/>
          <w:lang w:val="en-US"/>
        </w:rPr>
        <w:t>operandi</w:t>
      </w:r>
      <w:r w:rsidR="00DB6225" w:rsidRPr="0024327D">
        <w:rPr>
          <w:rFonts w:cs="Arial"/>
          <w:lang w:val="uk-UA"/>
        </w:rPr>
        <w:t>.</w:t>
      </w:r>
    </w:p>
    <w:p w14:paraId="6795EAB9" w14:textId="0A867772" w:rsidR="00647E47" w:rsidRPr="0024327D" w:rsidRDefault="00455423" w:rsidP="00647E47">
      <w:pPr>
        <w:spacing w:line="240" w:lineRule="auto"/>
        <w:rPr>
          <w:rFonts w:cs="Arial"/>
          <w:lang w:val="uk-UA"/>
        </w:rPr>
      </w:pPr>
      <w:r w:rsidRPr="0024327D">
        <w:rPr>
          <w:rFonts w:cs="Arial"/>
          <w:lang w:val="uk-UA"/>
        </w:rPr>
        <w:t xml:space="preserve">Крім того, емітент повинен відповідати всім застосовним вимогам законодавства (включаючи, наприклад, щодо протидії відмиванню </w:t>
      </w:r>
      <w:r w:rsidR="00457047" w:rsidRPr="0024327D">
        <w:rPr>
          <w:rFonts w:cs="Arial"/>
          <w:lang w:val="uk-UA"/>
        </w:rPr>
        <w:t>доходів</w:t>
      </w:r>
      <w:r w:rsidRPr="0024327D">
        <w:rPr>
          <w:rFonts w:cs="Arial"/>
          <w:lang w:val="uk-UA"/>
        </w:rPr>
        <w:t xml:space="preserve">), а також коефіцієнтам та іншим пруденційним </w:t>
      </w:r>
      <w:r w:rsidRPr="0024327D">
        <w:rPr>
          <w:rFonts w:cs="Arial"/>
          <w:lang w:val="uk-UA"/>
        </w:rPr>
        <w:lastRenderedPageBreak/>
        <w:t>нормативам (</w:t>
      </w:r>
      <w:r w:rsidR="008E2024" w:rsidRPr="0024327D">
        <w:rPr>
          <w:rFonts w:cs="Arial"/>
          <w:lang w:val="uk-UA"/>
        </w:rPr>
        <w:t>для забезпечення того</w:t>
      </w:r>
      <w:r w:rsidRPr="0024327D">
        <w:rPr>
          <w:rFonts w:cs="Arial"/>
          <w:lang w:val="uk-UA"/>
        </w:rPr>
        <w:t>, що відповідна особа не є неплатоспроможною, а трансакція не використовується для виведення активів із ліквідаційної маси).</w:t>
      </w:r>
    </w:p>
    <w:p w14:paraId="31A1D82C"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72" w:name="_Toc27153476"/>
      <w:bookmarkStart w:id="173" w:name="_Toc32498756"/>
      <w:bookmarkStart w:id="174" w:name="_Toc95481022"/>
      <w:r w:rsidRPr="0024327D">
        <w:rPr>
          <w:rFonts w:eastAsiaTheme="majorEastAsia" w:cstheme="majorBidi"/>
          <w:color w:val="2E74B5" w:themeColor="accent1" w:themeShade="BF"/>
          <w:sz w:val="28"/>
          <w:szCs w:val="28"/>
          <w:lang w:val="uk-UA"/>
        </w:rPr>
        <w:t xml:space="preserve">Прийнятні активи – </w:t>
      </w:r>
      <w:bookmarkEnd w:id="172"/>
      <w:bookmarkEnd w:id="173"/>
      <w:r w:rsidRPr="0024327D">
        <w:rPr>
          <w:rFonts w:eastAsiaTheme="majorEastAsia" w:cstheme="majorBidi"/>
          <w:color w:val="2E74B5" w:themeColor="accent1" w:themeShade="BF"/>
          <w:sz w:val="28"/>
          <w:szCs w:val="28"/>
          <w:lang w:val="uk-UA"/>
        </w:rPr>
        <w:t>сек'юритизація</w:t>
      </w:r>
      <w:bookmarkEnd w:id="174"/>
      <w:r w:rsidRPr="0024327D">
        <w:rPr>
          <w:rFonts w:eastAsiaTheme="majorEastAsia" w:cstheme="majorBidi"/>
          <w:color w:val="2E74B5" w:themeColor="accent1" w:themeShade="BF"/>
          <w:sz w:val="28"/>
          <w:szCs w:val="28"/>
          <w:lang w:val="uk-UA"/>
        </w:rPr>
        <w:t xml:space="preserve"> </w:t>
      </w:r>
    </w:p>
    <w:p w14:paraId="28EEEBA0" w14:textId="50438BD8" w:rsidR="008E5688" w:rsidRPr="0024327D" w:rsidRDefault="008E5688" w:rsidP="008E5688">
      <w:pPr>
        <w:spacing w:line="240" w:lineRule="auto"/>
        <w:rPr>
          <w:rFonts w:cs="Arial"/>
          <w:lang w:val="uk-UA"/>
        </w:rPr>
      </w:pPr>
      <w:r w:rsidRPr="0024327D">
        <w:rPr>
          <w:rFonts w:cs="Arial"/>
          <w:lang w:val="uk-UA"/>
        </w:rPr>
        <w:t>Історично склалося, що сек'юритизація забезпечувалася широким розмаїттям активів, головним фактором, що визначає прийнятність, було те, чи готові рейтингові агентства та інвестори надавати достатню цінність грошовому потоку від активів,</w:t>
      </w:r>
      <w:r w:rsidR="005079F5" w:rsidRPr="0024327D">
        <w:rPr>
          <w:rFonts w:cs="Arial"/>
          <w:lang w:val="uk-UA"/>
        </w:rPr>
        <w:t xml:space="preserve"> включених до забезпечення,</w:t>
      </w:r>
      <w:r w:rsidRPr="0024327D">
        <w:rPr>
          <w:rFonts w:cs="Arial"/>
          <w:lang w:val="uk-UA"/>
        </w:rPr>
        <w:t xml:space="preserve"> щоб забезпечити кредитоспроможні</w:t>
      </w:r>
      <w:r w:rsidR="008F64D8" w:rsidRPr="0024327D">
        <w:rPr>
          <w:rFonts w:cs="Arial"/>
          <w:lang w:val="uk-UA"/>
        </w:rPr>
        <w:t>сть</w:t>
      </w:r>
      <w:r w:rsidRPr="0024327D">
        <w:rPr>
          <w:rFonts w:cs="Arial"/>
          <w:lang w:val="uk-UA"/>
        </w:rPr>
        <w:t xml:space="preserve"> облігацій. Тоді як найпоширеніші форми сек'юритизації базуються на іпотеці, дебіторській заборгованості за кредитними картками, автокредитах, студентських позиках</w:t>
      </w:r>
      <w:r w:rsidR="00460150" w:rsidRPr="0024327D">
        <w:rPr>
          <w:rFonts w:cs="Arial"/>
          <w:lang w:val="uk-UA"/>
        </w:rPr>
        <w:t>,</w:t>
      </w:r>
      <w:r w:rsidRPr="0024327D">
        <w:rPr>
          <w:rFonts w:cs="Arial"/>
          <w:lang w:val="uk-UA"/>
        </w:rPr>
        <w:t xml:space="preserve"> торгов</w:t>
      </w:r>
      <w:r w:rsidR="00496521" w:rsidRPr="0024327D">
        <w:rPr>
          <w:rFonts w:cs="Arial"/>
          <w:lang w:val="uk-UA"/>
        </w:rPr>
        <w:t>ельн</w:t>
      </w:r>
      <w:r w:rsidRPr="0024327D">
        <w:rPr>
          <w:rFonts w:cs="Arial"/>
          <w:lang w:val="uk-UA"/>
        </w:rPr>
        <w:t xml:space="preserve">ій дебіторській заборгованості, </w:t>
      </w:r>
      <w:r w:rsidR="00460150" w:rsidRPr="0024327D">
        <w:rPr>
          <w:rFonts w:cs="Arial"/>
          <w:lang w:val="uk-UA"/>
        </w:rPr>
        <w:t xml:space="preserve">заборгованість за надходженнями в </w:t>
      </w:r>
      <w:r w:rsidR="00BD47CA" w:rsidRPr="0024327D">
        <w:rPr>
          <w:rFonts w:cs="Arial"/>
          <w:lang w:val="uk-UA"/>
        </w:rPr>
        <w:t xml:space="preserve">галузі аграрної діяльності, </w:t>
      </w:r>
      <w:r w:rsidRPr="0024327D">
        <w:rPr>
          <w:rFonts w:cs="Arial"/>
          <w:lang w:val="uk-UA"/>
        </w:rPr>
        <w:t xml:space="preserve">також використовуються інші більш </w:t>
      </w:r>
      <w:r w:rsidR="00EE2623" w:rsidRPr="0024327D">
        <w:rPr>
          <w:rFonts w:cs="Arial"/>
          <w:lang w:val="uk-UA"/>
        </w:rPr>
        <w:t xml:space="preserve">екзотичні </w:t>
      </w:r>
      <w:r w:rsidRPr="0024327D">
        <w:rPr>
          <w:rFonts w:cs="Arial"/>
          <w:lang w:val="uk-UA"/>
        </w:rPr>
        <w:t xml:space="preserve">активи, такі як </w:t>
      </w:r>
      <w:r w:rsidR="00EE2623" w:rsidRPr="0024327D">
        <w:rPr>
          <w:rFonts w:cs="Arial"/>
          <w:lang w:val="uk-UA"/>
        </w:rPr>
        <w:t xml:space="preserve">права </w:t>
      </w:r>
      <w:r w:rsidRPr="0024327D">
        <w:rPr>
          <w:rFonts w:cs="Arial"/>
          <w:lang w:val="uk-UA"/>
        </w:rPr>
        <w:t>інтелектуальн</w:t>
      </w:r>
      <w:r w:rsidR="00EE2623" w:rsidRPr="0024327D">
        <w:rPr>
          <w:rFonts w:cs="Arial"/>
          <w:lang w:val="uk-UA"/>
        </w:rPr>
        <w:t>ої</w:t>
      </w:r>
      <w:r w:rsidRPr="0024327D">
        <w:rPr>
          <w:rFonts w:cs="Arial"/>
          <w:lang w:val="uk-UA"/>
        </w:rPr>
        <w:t xml:space="preserve"> власн</w:t>
      </w:r>
      <w:r w:rsidR="00EE2623" w:rsidRPr="0024327D">
        <w:rPr>
          <w:rFonts w:cs="Arial"/>
          <w:lang w:val="uk-UA"/>
        </w:rPr>
        <w:t>ості</w:t>
      </w:r>
      <w:r w:rsidRPr="0024327D">
        <w:rPr>
          <w:rFonts w:cs="Arial"/>
          <w:lang w:val="uk-UA"/>
        </w:rPr>
        <w:t xml:space="preserve"> та регульовані тарифи на комунальні послуги. </w:t>
      </w:r>
    </w:p>
    <w:p w14:paraId="70D21238" w14:textId="16E051CE" w:rsidR="008E5688" w:rsidRPr="0024327D" w:rsidRDefault="008E5688" w:rsidP="008E5688">
      <w:pPr>
        <w:spacing w:line="240" w:lineRule="auto"/>
        <w:rPr>
          <w:rFonts w:cs="Arial"/>
          <w:lang w:val="uk-UA"/>
        </w:rPr>
      </w:pPr>
      <w:r w:rsidRPr="0024327D">
        <w:rPr>
          <w:rFonts w:cs="Arial"/>
          <w:lang w:val="uk-UA"/>
        </w:rPr>
        <w:t xml:space="preserve">Правила Європейського Союзу щодо сек'юритизації STS встановлюють певні обмеження щодо активів, які забезпечують сек'юритизацію, і які </w:t>
      </w:r>
      <w:r w:rsidR="00F10B02" w:rsidRPr="0024327D">
        <w:rPr>
          <w:rFonts w:cs="Arial"/>
          <w:lang w:val="uk-UA"/>
        </w:rPr>
        <w:t xml:space="preserve">можуть отримати характеристику </w:t>
      </w:r>
      <w:r w:rsidRPr="0024327D">
        <w:rPr>
          <w:rFonts w:cs="Arial"/>
          <w:lang w:val="uk-UA"/>
        </w:rPr>
        <w:t xml:space="preserve">STS, </w:t>
      </w:r>
      <w:r w:rsidR="00F10B02" w:rsidRPr="0024327D">
        <w:rPr>
          <w:rFonts w:cs="Arial"/>
          <w:lang w:val="uk-UA"/>
        </w:rPr>
        <w:t xml:space="preserve">зокрема до забезпечення не можуть включатися </w:t>
      </w:r>
      <w:r w:rsidRPr="0024327D">
        <w:rPr>
          <w:rFonts w:cs="Arial"/>
          <w:lang w:val="uk-UA"/>
        </w:rPr>
        <w:t>іпотечні кредити, які не відповідають певним стандартам якості (наприклад, недостатня документація або попереднє невиконання</w:t>
      </w:r>
      <w:r w:rsidR="00F10B02" w:rsidRPr="0024327D">
        <w:rPr>
          <w:rFonts w:cs="Arial"/>
          <w:lang w:val="uk-UA"/>
        </w:rPr>
        <w:t xml:space="preserve"> зобов’язань</w:t>
      </w:r>
      <w:r w:rsidRPr="0024327D">
        <w:rPr>
          <w:rFonts w:cs="Arial"/>
          <w:lang w:val="uk-UA"/>
        </w:rPr>
        <w:t>), комерційні іпотечні кредити,</w:t>
      </w:r>
      <w:r w:rsidR="00907F99" w:rsidRPr="0024327D">
        <w:rPr>
          <w:rFonts w:cs="Arial"/>
          <w:lang w:val="uk-UA"/>
        </w:rPr>
        <w:t xml:space="preserve"> а також забороняється</w:t>
      </w:r>
      <w:r w:rsidRPr="0024327D">
        <w:rPr>
          <w:rFonts w:cs="Arial"/>
          <w:lang w:val="uk-UA"/>
        </w:rPr>
        <w:t xml:space="preserve"> сек'юритизаці</w:t>
      </w:r>
      <w:r w:rsidR="00907F99" w:rsidRPr="0024327D">
        <w:rPr>
          <w:rFonts w:cs="Arial"/>
          <w:lang w:val="uk-UA"/>
        </w:rPr>
        <w:t>я</w:t>
      </w:r>
      <w:r w:rsidRPr="0024327D">
        <w:rPr>
          <w:rFonts w:cs="Arial"/>
          <w:lang w:val="uk-UA"/>
        </w:rPr>
        <w:t xml:space="preserve"> сек'юритизованих облігацій та непрацююч</w:t>
      </w:r>
      <w:r w:rsidR="00907F99" w:rsidRPr="0024327D">
        <w:rPr>
          <w:rFonts w:cs="Arial"/>
          <w:lang w:val="uk-UA"/>
        </w:rPr>
        <w:t>их</w:t>
      </w:r>
      <w:r w:rsidRPr="0024327D">
        <w:rPr>
          <w:rFonts w:cs="Arial"/>
          <w:lang w:val="uk-UA"/>
        </w:rPr>
        <w:t xml:space="preserve"> кредит</w:t>
      </w:r>
      <w:r w:rsidR="00907F99" w:rsidRPr="0024327D">
        <w:rPr>
          <w:rFonts w:cs="Arial"/>
          <w:lang w:val="uk-UA"/>
        </w:rPr>
        <w:t>ів</w:t>
      </w:r>
      <w:r w:rsidRPr="0024327D">
        <w:rPr>
          <w:rFonts w:cs="Arial"/>
          <w:lang w:val="uk-UA"/>
        </w:rPr>
        <w:t>.</w:t>
      </w:r>
      <w:r w:rsidRPr="0024327D">
        <w:rPr>
          <w:rFonts w:cs="Arial"/>
          <w:vertAlign w:val="superscript"/>
          <w:lang w:val="uk-UA"/>
        </w:rPr>
        <w:footnoteReference w:id="60"/>
      </w:r>
      <w:r w:rsidRPr="0024327D">
        <w:rPr>
          <w:rFonts w:cs="Arial"/>
          <w:lang w:val="uk-UA"/>
        </w:rPr>
        <w:t xml:space="preserve"> </w:t>
      </w:r>
    </w:p>
    <w:p w14:paraId="4611D7EB" w14:textId="025AB144"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75" w:name="_Toc95481023"/>
      <w:r w:rsidRPr="0024327D">
        <w:rPr>
          <w:rFonts w:eastAsiaTheme="majorEastAsia" w:cstheme="majorBidi"/>
          <w:color w:val="2E74B5" w:themeColor="accent1" w:themeShade="BF"/>
          <w:sz w:val="28"/>
          <w:szCs w:val="28"/>
          <w:lang w:val="uk-UA"/>
        </w:rPr>
        <w:t>Очікування щодо випуску в Україні</w:t>
      </w:r>
      <w:r w:rsidR="001E7451" w:rsidRPr="0024327D">
        <w:rPr>
          <w:rFonts w:eastAsiaTheme="majorEastAsia" w:cstheme="majorBidi"/>
          <w:color w:val="2E74B5" w:themeColor="accent1" w:themeShade="BF"/>
          <w:sz w:val="28"/>
          <w:szCs w:val="28"/>
          <w:lang w:val="uk-UA"/>
        </w:rPr>
        <w:t xml:space="preserve"> облігацій з покриттям та здійснення сек’юритизації</w:t>
      </w:r>
      <w:bookmarkEnd w:id="175"/>
    </w:p>
    <w:p w14:paraId="359529AA" w14:textId="6F686CB4" w:rsidR="008E5688" w:rsidRPr="0024327D" w:rsidRDefault="008F64D8" w:rsidP="008E5688">
      <w:pPr>
        <w:spacing w:line="240" w:lineRule="auto"/>
        <w:rPr>
          <w:rFonts w:cs="Arial"/>
          <w:lang w:val="uk-UA"/>
        </w:rPr>
      </w:pPr>
      <w:r w:rsidRPr="0024327D">
        <w:rPr>
          <w:rFonts w:cs="Arial"/>
          <w:lang w:val="uk-UA"/>
        </w:rPr>
        <w:t>Б</w:t>
      </w:r>
      <w:r w:rsidR="008E5688" w:rsidRPr="0024327D">
        <w:rPr>
          <w:rFonts w:cs="Arial"/>
          <w:lang w:val="uk-UA"/>
        </w:rPr>
        <w:t xml:space="preserve">еручи до уваги активи, які можуть потребувати </w:t>
      </w:r>
      <w:r w:rsidR="00DB2ABB" w:rsidRPr="0024327D">
        <w:rPr>
          <w:rFonts w:cs="Arial"/>
          <w:lang w:val="uk-UA"/>
        </w:rPr>
        <w:t>ре</w:t>
      </w:r>
      <w:r w:rsidR="008E5688" w:rsidRPr="0024327D">
        <w:rPr>
          <w:rFonts w:cs="Arial"/>
          <w:lang w:val="uk-UA"/>
        </w:rPr>
        <w:t xml:space="preserve">фінансування в Україні, і вищезазначені коментарі щодо прийнятності (і, як наслідок, ставлення більшості традиційних інвесторів до прийнятності активів), </w:t>
      </w:r>
      <w:r w:rsidR="00FB118B" w:rsidRPr="0024327D">
        <w:rPr>
          <w:rFonts w:cs="Arial"/>
          <w:lang w:val="uk-UA"/>
        </w:rPr>
        <w:t>облігації з покриттям</w:t>
      </w:r>
      <w:r w:rsidR="008E5688" w:rsidRPr="0024327D">
        <w:rPr>
          <w:rFonts w:cs="Arial"/>
          <w:lang w:val="uk-UA"/>
        </w:rPr>
        <w:t xml:space="preserve"> застосовуватимуться переважно до високоякісних житлових іпотек, виданих банками. У переважній більшості «нових» юрисдикцій, які прийняли відповідні законодавчі акти, що регулюють </w:t>
      </w:r>
      <w:r w:rsidR="00FB118B" w:rsidRPr="0024327D">
        <w:rPr>
          <w:rFonts w:cs="Arial"/>
          <w:lang w:val="uk-UA"/>
        </w:rPr>
        <w:t>облігації з покриттям</w:t>
      </w:r>
      <w:r w:rsidR="008E5688" w:rsidRPr="0024327D">
        <w:rPr>
          <w:rFonts w:cs="Arial"/>
          <w:lang w:val="uk-UA"/>
        </w:rPr>
        <w:t xml:space="preserve"> (наприклад, Канада, Румунія чи Естонія), житлова іпотека є єдиним активом, який застосовувався на практиці. </w:t>
      </w:r>
      <w:r w:rsidR="00FB798D" w:rsidRPr="0024327D">
        <w:rPr>
          <w:rFonts w:cs="Arial"/>
          <w:lang w:val="uk-UA"/>
        </w:rPr>
        <w:t xml:space="preserve">У </w:t>
      </w:r>
      <w:r w:rsidR="008E5688" w:rsidRPr="0024327D">
        <w:rPr>
          <w:rFonts w:cs="Arial"/>
          <w:lang w:val="uk-UA"/>
        </w:rPr>
        <w:t xml:space="preserve">країнах з нижчим кредитним рейтингом для дебіторської заборгованості уряду чи інших державних установ, </w:t>
      </w:r>
      <w:r w:rsidR="00E663A3" w:rsidRPr="0024327D">
        <w:rPr>
          <w:rFonts w:cs="Arial"/>
          <w:lang w:val="uk-UA"/>
        </w:rPr>
        <w:t>інвестори надають перевагу іпотечним облігаціям, забезпеченим житловими іпотечними кредитами</w:t>
      </w:r>
      <w:r w:rsidR="008E5688" w:rsidRPr="0024327D">
        <w:rPr>
          <w:rFonts w:cs="Arial"/>
          <w:lang w:val="uk-UA"/>
        </w:rPr>
        <w:t>.</w:t>
      </w:r>
    </w:p>
    <w:p w14:paraId="366C29B0" w14:textId="175BF5B4" w:rsidR="008E5688" w:rsidRPr="0024327D" w:rsidRDefault="008E5688" w:rsidP="008E5688">
      <w:pPr>
        <w:spacing w:line="240" w:lineRule="auto"/>
        <w:rPr>
          <w:rFonts w:cs="Arial"/>
          <w:lang w:val="uk-UA"/>
        </w:rPr>
      </w:pPr>
      <w:r w:rsidRPr="0024327D">
        <w:rPr>
          <w:rFonts w:cs="Arial"/>
          <w:lang w:val="uk-UA"/>
        </w:rPr>
        <w:t xml:space="preserve">Неіпотечні активи та іпотечні кредити, видані небанківськими організаціями, частіше </w:t>
      </w:r>
      <w:r w:rsidR="00213ED6" w:rsidRPr="0024327D">
        <w:rPr>
          <w:rFonts w:cs="Arial"/>
          <w:lang w:val="uk-UA"/>
        </w:rPr>
        <w:t>ре</w:t>
      </w:r>
      <w:r w:rsidRPr="0024327D">
        <w:rPr>
          <w:rFonts w:cs="Arial"/>
          <w:lang w:val="uk-UA"/>
        </w:rPr>
        <w:t>фінансуються шляхом сек'юритизації.</w:t>
      </w:r>
    </w:p>
    <w:p w14:paraId="6E8810FD" w14:textId="7A81E262" w:rsidR="008E5688" w:rsidRPr="0024327D" w:rsidRDefault="001812D8" w:rsidP="008E5688">
      <w:pPr>
        <w:spacing w:line="240" w:lineRule="auto"/>
        <w:rPr>
          <w:rFonts w:cs="Arial"/>
          <w:bCs/>
          <w:lang w:val="uk-UA"/>
        </w:rPr>
      </w:pPr>
      <w:r w:rsidRPr="0024327D">
        <w:rPr>
          <w:rFonts w:cs="Arial"/>
          <w:bCs/>
          <w:lang w:val="uk-UA"/>
        </w:rPr>
        <w:t xml:space="preserve">Вимоги до активів, </w:t>
      </w:r>
      <w:r w:rsidR="008E2024" w:rsidRPr="0024327D">
        <w:rPr>
          <w:rFonts w:cs="Arial"/>
          <w:bCs/>
          <w:lang w:val="uk-UA"/>
        </w:rPr>
        <w:t xml:space="preserve">що є </w:t>
      </w:r>
      <w:r w:rsidRPr="0024327D">
        <w:rPr>
          <w:rFonts w:cs="Arial"/>
          <w:bCs/>
          <w:lang w:val="uk-UA"/>
        </w:rPr>
        <w:t>прийнятни</w:t>
      </w:r>
      <w:r w:rsidR="008E2024" w:rsidRPr="0024327D">
        <w:rPr>
          <w:rFonts w:cs="Arial"/>
          <w:bCs/>
          <w:lang w:val="uk-UA"/>
        </w:rPr>
        <w:t>ми</w:t>
      </w:r>
      <w:r w:rsidRPr="0024327D">
        <w:rPr>
          <w:rFonts w:cs="Arial"/>
          <w:bCs/>
          <w:lang w:val="uk-UA"/>
        </w:rPr>
        <w:t xml:space="preserve"> для сек’юритизації, спочатку можуть бути аналогічними вимогам, що застосовуються для отримання характеристики STS, </w:t>
      </w:r>
      <w:r w:rsidR="008E2024" w:rsidRPr="0024327D">
        <w:rPr>
          <w:rFonts w:cs="Arial"/>
          <w:bCs/>
          <w:lang w:val="uk-UA"/>
        </w:rPr>
        <w:t>у той час як</w:t>
      </w:r>
      <w:r w:rsidRPr="0024327D">
        <w:rPr>
          <w:rFonts w:cs="Arial"/>
          <w:bCs/>
          <w:lang w:val="uk-UA"/>
        </w:rPr>
        <w:t xml:space="preserve"> додаткові активи можуть </w:t>
      </w:r>
      <w:r w:rsidR="008E2024" w:rsidRPr="0024327D">
        <w:rPr>
          <w:rFonts w:cs="Arial"/>
          <w:bCs/>
          <w:lang w:val="uk-UA"/>
        </w:rPr>
        <w:t>додаватися</w:t>
      </w:r>
      <w:r w:rsidRPr="0024327D">
        <w:rPr>
          <w:rFonts w:cs="Arial"/>
          <w:bCs/>
          <w:lang w:val="uk-UA"/>
        </w:rPr>
        <w:t xml:space="preserve"> до </w:t>
      </w:r>
      <w:r w:rsidR="008E2024" w:rsidRPr="0024327D">
        <w:rPr>
          <w:rFonts w:cs="Arial"/>
          <w:bCs/>
          <w:lang w:val="uk-UA"/>
        </w:rPr>
        <w:t xml:space="preserve">відповідного </w:t>
      </w:r>
      <w:r w:rsidRPr="0024327D">
        <w:rPr>
          <w:rFonts w:cs="Arial"/>
          <w:bCs/>
          <w:lang w:val="uk-UA"/>
        </w:rPr>
        <w:t>переліку в міру розвитку українського ринку</w:t>
      </w:r>
      <w:r w:rsidR="008E2024" w:rsidRPr="0024327D">
        <w:rPr>
          <w:rFonts w:cs="Arial"/>
          <w:bCs/>
          <w:lang w:val="uk-UA"/>
        </w:rPr>
        <w:t xml:space="preserve"> -</w:t>
      </w:r>
      <w:r w:rsidRPr="0024327D">
        <w:rPr>
          <w:rFonts w:cs="Arial"/>
          <w:bCs/>
          <w:lang w:val="uk-UA"/>
        </w:rPr>
        <w:t xml:space="preserve"> шляхом внесення змін до закону або підзаконних нормативно-правових актів. Крім того, </w:t>
      </w:r>
      <w:r w:rsidR="004C6D70" w:rsidRPr="0024327D">
        <w:rPr>
          <w:rFonts w:cs="Arial"/>
          <w:bCs/>
          <w:lang w:val="uk-UA"/>
        </w:rPr>
        <w:t>н</w:t>
      </w:r>
      <w:r w:rsidR="008E5688" w:rsidRPr="0024327D">
        <w:rPr>
          <w:rFonts w:cs="Arial"/>
          <w:bCs/>
          <w:lang w:val="uk-UA"/>
        </w:rPr>
        <w:t>а підставі поточних обговорень</w:t>
      </w:r>
      <w:r w:rsidR="00953F17" w:rsidRPr="0024327D">
        <w:rPr>
          <w:rFonts w:cs="Arial"/>
          <w:bCs/>
          <w:lang w:val="uk-UA"/>
        </w:rPr>
        <w:t xml:space="preserve"> пропонує</w:t>
      </w:r>
      <w:r w:rsidR="006045A5" w:rsidRPr="0024327D">
        <w:rPr>
          <w:rFonts w:cs="Arial"/>
          <w:bCs/>
          <w:lang w:val="uk-UA"/>
        </w:rPr>
        <w:t>ться</w:t>
      </w:r>
      <w:r w:rsidR="00953F17" w:rsidRPr="0024327D">
        <w:rPr>
          <w:rFonts w:cs="Arial"/>
          <w:bCs/>
          <w:lang w:val="uk-UA"/>
        </w:rPr>
        <w:t xml:space="preserve"> передбачити</w:t>
      </w:r>
      <w:r w:rsidR="008E5688" w:rsidRPr="0024327D">
        <w:rPr>
          <w:rFonts w:cs="Arial"/>
          <w:bCs/>
          <w:lang w:val="uk-UA"/>
        </w:rPr>
        <w:t xml:space="preserve"> можливість сек'юритизації для </w:t>
      </w:r>
      <w:r w:rsidR="00213ED6" w:rsidRPr="0024327D">
        <w:rPr>
          <w:rFonts w:cs="Arial"/>
          <w:bCs/>
          <w:lang w:val="uk-UA"/>
        </w:rPr>
        <w:t>ре</w:t>
      </w:r>
      <w:r w:rsidR="008E5688" w:rsidRPr="0024327D">
        <w:rPr>
          <w:rFonts w:cs="Arial"/>
          <w:bCs/>
          <w:lang w:val="uk-UA"/>
        </w:rPr>
        <w:t>фінансування</w:t>
      </w:r>
      <w:r w:rsidR="006F1BD5" w:rsidRPr="0024327D">
        <w:rPr>
          <w:rFonts w:cs="Arial"/>
          <w:bCs/>
          <w:lang w:val="uk-UA"/>
        </w:rPr>
        <w:t xml:space="preserve"> </w:t>
      </w:r>
      <w:r w:rsidR="00281A4E" w:rsidRPr="0024327D">
        <w:rPr>
          <w:rFonts w:cs="Arial"/>
          <w:bCs/>
          <w:lang w:val="uk-UA"/>
        </w:rPr>
        <w:t xml:space="preserve">надходжень </w:t>
      </w:r>
      <w:r w:rsidR="00281A4E" w:rsidRPr="0024327D">
        <w:rPr>
          <w:rFonts w:cs="Arial"/>
          <w:lang w:val="uk-UA"/>
        </w:rPr>
        <w:t>в галузі аграрної діяльності</w:t>
      </w:r>
      <w:r w:rsidR="00281A4E" w:rsidRPr="0024327D">
        <w:rPr>
          <w:rFonts w:cs="Arial"/>
          <w:bCs/>
          <w:lang w:val="uk-UA"/>
        </w:rPr>
        <w:t xml:space="preserve"> (зокрема за </w:t>
      </w:r>
      <w:r w:rsidR="006F1BD5" w:rsidRPr="0024327D">
        <w:rPr>
          <w:rFonts w:cs="Arial"/>
          <w:bCs/>
          <w:lang w:val="uk-UA"/>
        </w:rPr>
        <w:t>аграрни</w:t>
      </w:r>
      <w:r w:rsidR="00281A4E" w:rsidRPr="0024327D">
        <w:rPr>
          <w:rFonts w:cs="Arial"/>
          <w:bCs/>
          <w:lang w:val="uk-UA"/>
        </w:rPr>
        <w:t>ми</w:t>
      </w:r>
      <w:r w:rsidR="006F1BD5" w:rsidRPr="0024327D">
        <w:rPr>
          <w:rFonts w:cs="Arial"/>
          <w:bCs/>
          <w:lang w:val="uk-UA"/>
        </w:rPr>
        <w:t xml:space="preserve"> розпис</w:t>
      </w:r>
      <w:r w:rsidR="00281A4E" w:rsidRPr="0024327D">
        <w:rPr>
          <w:rFonts w:cs="Arial"/>
          <w:bCs/>
          <w:lang w:val="uk-UA"/>
        </w:rPr>
        <w:t>ками)</w:t>
      </w:r>
      <w:r w:rsidR="008E5688" w:rsidRPr="0024327D">
        <w:rPr>
          <w:rFonts w:cs="Arial"/>
          <w:bCs/>
          <w:lang w:val="uk-UA"/>
        </w:rPr>
        <w:t>, тарифів на комунальні послуги та дебіторської заборгованості за договорами оренди</w:t>
      </w:r>
      <w:r w:rsidR="00953F17" w:rsidRPr="0024327D">
        <w:rPr>
          <w:rFonts w:cs="Arial"/>
          <w:bCs/>
          <w:lang w:val="uk-UA"/>
        </w:rPr>
        <w:t xml:space="preserve">. Зазначена позиція підлягатиме подальшому обговоренню та можливому перегляду або розширенню </w:t>
      </w:r>
      <w:r w:rsidR="008E5688" w:rsidRPr="0024327D">
        <w:rPr>
          <w:rFonts w:cs="Arial"/>
          <w:bCs/>
          <w:lang w:val="uk-UA"/>
        </w:rPr>
        <w:t>щодо інших можливих класів активів.</w:t>
      </w:r>
    </w:p>
    <w:p w14:paraId="7500A1C2" w14:textId="24675EF9" w:rsidR="008E5688" w:rsidRPr="0024327D" w:rsidRDefault="008E5688" w:rsidP="001A3C33">
      <w:pPr>
        <w:keepNext/>
        <w:keepLines/>
        <w:pageBreakBefore/>
        <w:numPr>
          <w:ilvl w:val="0"/>
          <w:numId w:val="20"/>
        </w:numPr>
        <w:spacing w:before="360" w:after="240" w:line="240" w:lineRule="auto"/>
        <w:outlineLvl w:val="0"/>
        <w:rPr>
          <w:rFonts w:eastAsiaTheme="majorEastAsia" w:cstheme="majorBidi"/>
          <w:color w:val="1F4E79" w:themeColor="accent1" w:themeShade="80"/>
          <w:sz w:val="36"/>
          <w:szCs w:val="32"/>
          <w:lang w:val="uk-UA"/>
        </w:rPr>
      </w:pPr>
      <w:bookmarkStart w:id="176" w:name="_Toc8065616"/>
      <w:bookmarkStart w:id="177" w:name="_Toc8065685"/>
      <w:bookmarkStart w:id="178" w:name="_Toc8065752"/>
      <w:bookmarkStart w:id="179" w:name="_Toc8065819"/>
      <w:bookmarkStart w:id="180" w:name="_Toc95481024"/>
      <w:bookmarkEnd w:id="176"/>
      <w:bookmarkEnd w:id="177"/>
      <w:bookmarkEnd w:id="178"/>
      <w:bookmarkEnd w:id="179"/>
      <w:r w:rsidRPr="0024327D">
        <w:rPr>
          <w:rFonts w:eastAsiaTheme="majorEastAsia" w:cstheme="majorBidi"/>
          <w:color w:val="1F4E79" w:themeColor="accent1" w:themeShade="80"/>
          <w:sz w:val="36"/>
          <w:szCs w:val="32"/>
          <w:lang w:val="uk-UA"/>
        </w:rPr>
        <w:lastRenderedPageBreak/>
        <w:t xml:space="preserve">Наступні кроки та перспективи сек'юритизації та </w:t>
      </w:r>
      <w:r w:rsidR="00645A85" w:rsidRPr="0024327D">
        <w:rPr>
          <w:rFonts w:eastAsiaTheme="majorEastAsia" w:cstheme="majorBidi"/>
          <w:color w:val="1F4E79" w:themeColor="accent1" w:themeShade="80"/>
          <w:sz w:val="36"/>
          <w:szCs w:val="32"/>
          <w:lang w:val="uk-UA"/>
        </w:rPr>
        <w:t>облігацій з покриттям</w:t>
      </w:r>
      <w:r w:rsidRPr="0024327D">
        <w:rPr>
          <w:rFonts w:eastAsiaTheme="majorEastAsia" w:cstheme="majorBidi"/>
          <w:color w:val="1F4E79" w:themeColor="accent1" w:themeShade="80"/>
          <w:sz w:val="36"/>
          <w:szCs w:val="32"/>
          <w:lang w:val="uk-UA"/>
        </w:rPr>
        <w:t xml:space="preserve"> в Україні</w:t>
      </w:r>
      <w:bookmarkEnd w:id="180"/>
    </w:p>
    <w:p w14:paraId="344A8664" w14:textId="77777777"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81" w:name="_Toc95481025"/>
      <w:r w:rsidRPr="0024327D">
        <w:rPr>
          <w:rFonts w:eastAsiaTheme="majorEastAsia" w:cstheme="majorBidi"/>
          <w:color w:val="2E74B5" w:themeColor="accent1" w:themeShade="BF"/>
          <w:sz w:val="28"/>
          <w:szCs w:val="28"/>
          <w:lang w:val="uk-UA"/>
        </w:rPr>
        <w:t>Розвиток в інших країнах</w:t>
      </w:r>
      <w:bookmarkEnd w:id="181"/>
    </w:p>
    <w:p w14:paraId="2A1267FF" w14:textId="3AC59EF5" w:rsidR="008E5688" w:rsidRPr="0024327D" w:rsidRDefault="008E5688" w:rsidP="008E5688">
      <w:pPr>
        <w:rPr>
          <w:lang w:val="uk-UA"/>
        </w:rPr>
      </w:pPr>
      <w:r w:rsidRPr="0024327D">
        <w:rPr>
          <w:lang w:val="uk-UA"/>
        </w:rPr>
        <w:t xml:space="preserve">ЄБРР запровадив або запроваджує подібні реформи в інших країнах. З цього приводу варто </w:t>
      </w:r>
      <w:r w:rsidR="00F61A14" w:rsidRPr="0024327D">
        <w:rPr>
          <w:lang w:val="uk-UA"/>
        </w:rPr>
        <w:t xml:space="preserve">наголосити на </w:t>
      </w:r>
      <w:r w:rsidRPr="0024327D">
        <w:rPr>
          <w:lang w:val="uk-UA"/>
        </w:rPr>
        <w:t>певн</w:t>
      </w:r>
      <w:r w:rsidR="00F61A14" w:rsidRPr="0024327D">
        <w:rPr>
          <w:lang w:val="uk-UA"/>
        </w:rPr>
        <w:t>их</w:t>
      </w:r>
      <w:r w:rsidRPr="0024327D">
        <w:rPr>
          <w:lang w:val="uk-UA"/>
        </w:rPr>
        <w:t xml:space="preserve"> момент</w:t>
      </w:r>
      <w:r w:rsidR="00F61A14" w:rsidRPr="0024327D">
        <w:rPr>
          <w:lang w:val="uk-UA"/>
        </w:rPr>
        <w:t>ах</w:t>
      </w:r>
      <w:r w:rsidRPr="0024327D">
        <w:rPr>
          <w:lang w:val="uk-UA"/>
        </w:rPr>
        <w:t>.</w:t>
      </w:r>
    </w:p>
    <w:p w14:paraId="1F2C67EC" w14:textId="687C6BBB" w:rsidR="008E5688" w:rsidRPr="0024327D" w:rsidRDefault="008E5688" w:rsidP="008E5688">
      <w:pPr>
        <w:rPr>
          <w:b/>
          <w:bCs/>
          <w:lang w:val="uk-UA"/>
        </w:rPr>
      </w:pPr>
      <w:r w:rsidRPr="0024327D">
        <w:rPr>
          <w:b/>
          <w:bCs/>
          <w:lang w:val="uk-UA"/>
        </w:rPr>
        <w:t>Зацікавлені сторони</w:t>
      </w:r>
      <w:r w:rsidRPr="0024327D">
        <w:rPr>
          <w:lang w:val="uk-UA"/>
        </w:rPr>
        <w:t xml:space="preserve">. Хоча у всіх країнах потрібен потужний спонсор для розробки нового законодавства, дуже важливо залучати всіх зацікавлених сторін до процесу розробки законодавства з початкового етапу. Зокрема, важливо підкреслити роль i) </w:t>
      </w:r>
      <w:r w:rsidR="00EA77D4" w:rsidRPr="0024327D">
        <w:rPr>
          <w:lang w:val="uk-UA"/>
        </w:rPr>
        <w:t xml:space="preserve">фонду гарантування вкладів </w:t>
      </w:r>
      <w:r w:rsidRPr="0024327D">
        <w:rPr>
          <w:lang w:val="uk-UA"/>
        </w:rPr>
        <w:t xml:space="preserve">у випадках, коли певні норми щодо процедур неплатоспроможності повинні бути змінені, ii) </w:t>
      </w:r>
      <w:r w:rsidR="00AA71D7" w:rsidRPr="0024327D">
        <w:rPr>
          <w:lang w:val="uk-UA"/>
        </w:rPr>
        <w:t>міністерства юстиції</w:t>
      </w:r>
      <w:r w:rsidRPr="0024327D">
        <w:rPr>
          <w:lang w:val="uk-UA"/>
        </w:rPr>
        <w:t xml:space="preserve"> та </w:t>
      </w:r>
      <w:r w:rsidR="00C03BDB" w:rsidRPr="0024327D">
        <w:rPr>
          <w:lang w:val="uk-UA"/>
        </w:rPr>
        <w:t xml:space="preserve">органів </w:t>
      </w:r>
      <w:r w:rsidRPr="0024327D">
        <w:rPr>
          <w:lang w:val="uk-UA"/>
        </w:rPr>
        <w:t xml:space="preserve">нотаріату у випадках, коли може бути необхідним здійснити передачу пакету іпотек; iii) </w:t>
      </w:r>
      <w:r w:rsidR="00AD5658" w:rsidRPr="0024327D">
        <w:rPr>
          <w:lang w:val="uk-UA"/>
        </w:rPr>
        <w:t xml:space="preserve"> представників</w:t>
      </w:r>
      <w:r w:rsidRPr="0024327D">
        <w:rPr>
          <w:lang w:val="uk-UA"/>
        </w:rPr>
        <w:t xml:space="preserve"> споживачів, щоб забезпечити добросовісне внесення необхідних змін до договорів, положень про банківську таємницю, прав на взаємозалік тощо, iv) емітентів</w:t>
      </w:r>
      <w:r w:rsidR="00C93B93" w:rsidRPr="0024327D">
        <w:rPr>
          <w:lang w:val="uk-UA"/>
        </w:rPr>
        <w:t>/ оригінаторів</w:t>
      </w:r>
      <w:r w:rsidRPr="0024327D">
        <w:rPr>
          <w:lang w:val="uk-UA"/>
        </w:rPr>
        <w:t xml:space="preserve">, щоб забезпечити сумісність нормативно-правових актів з </w:t>
      </w:r>
      <w:r w:rsidR="0083423C" w:rsidRPr="0024327D">
        <w:rPr>
          <w:lang w:val="uk-UA"/>
        </w:rPr>
        <w:t xml:space="preserve">наявними </w:t>
      </w:r>
      <w:r w:rsidRPr="0024327D">
        <w:rPr>
          <w:lang w:val="uk-UA"/>
        </w:rPr>
        <w:t>операційними, бухгалтерськими та іншими практиками, та v) інвесторів, щоб виявити на ранній стадії проблеми та, особливо, нормативні бар'єри для їх інвестицій у такі цінні папери.</w:t>
      </w:r>
    </w:p>
    <w:p w14:paraId="059B8AC0" w14:textId="2A397CD5" w:rsidR="008E5688" w:rsidRPr="0024327D" w:rsidRDefault="008E5688" w:rsidP="008E5688">
      <w:pPr>
        <w:rPr>
          <w:b/>
          <w:bCs/>
          <w:lang w:val="uk-UA"/>
        </w:rPr>
      </w:pPr>
      <w:r w:rsidRPr="0024327D">
        <w:rPr>
          <w:b/>
          <w:bCs/>
          <w:lang w:val="uk-UA"/>
        </w:rPr>
        <w:t>Роз'яснювальна робота</w:t>
      </w:r>
      <w:r w:rsidRPr="0024327D">
        <w:rPr>
          <w:lang w:val="uk-UA"/>
        </w:rPr>
        <w:t xml:space="preserve">. Відмінності між двома продуктами часто викликають плутанину. Крім того, репутація ринку сек'юритизації - через певні зафіксовані проблеми в деяких секторах американського ринку під час фінансової кризи - може бути негативною. Важливо повідомляти про a) відмінності між продуктами та їх наслідки для захисту споживачів та фінансової стабільності, b) досвід європейських сек'юритизацій </w:t>
      </w:r>
      <w:r w:rsidR="00BC3A03" w:rsidRPr="0024327D">
        <w:rPr>
          <w:lang w:val="uk-UA"/>
        </w:rPr>
        <w:t xml:space="preserve">під час </w:t>
      </w:r>
      <w:r w:rsidRPr="0024327D">
        <w:rPr>
          <w:lang w:val="uk-UA"/>
        </w:rPr>
        <w:t>фінансов</w:t>
      </w:r>
      <w:r w:rsidR="00BC3A03" w:rsidRPr="0024327D">
        <w:rPr>
          <w:lang w:val="uk-UA"/>
        </w:rPr>
        <w:t>ої</w:t>
      </w:r>
      <w:r w:rsidRPr="0024327D">
        <w:rPr>
          <w:lang w:val="uk-UA"/>
        </w:rPr>
        <w:t xml:space="preserve"> криз</w:t>
      </w:r>
      <w:r w:rsidR="00BC3A03" w:rsidRPr="0024327D">
        <w:rPr>
          <w:lang w:val="uk-UA"/>
        </w:rPr>
        <w:t>и</w:t>
      </w:r>
      <w:r w:rsidRPr="0024327D">
        <w:rPr>
          <w:lang w:val="uk-UA"/>
        </w:rPr>
        <w:t xml:space="preserve"> суттєво відрізняється від американських, c) реформи, проведені зокрема відповідно до законодавства ЄС, після настання фінансової кризи та d) способи усунення потенційних недоліків обох продуктів. </w:t>
      </w:r>
    </w:p>
    <w:p w14:paraId="3B269C33" w14:textId="07A6949D" w:rsidR="008E5688" w:rsidRPr="0024327D" w:rsidRDefault="008E5688" w:rsidP="008E5688">
      <w:pPr>
        <w:rPr>
          <w:b/>
          <w:bCs/>
          <w:lang w:val="uk-UA"/>
        </w:rPr>
      </w:pPr>
      <w:r w:rsidRPr="0024327D">
        <w:rPr>
          <w:b/>
          <w:bCs/>
          <w:lang w:val="uk-UA"/>
        </w:rPr>
        <w:t>Вторинне законодавство</w:t>
      </w:r>
      <w:r w:rsidRPr="0024327D">
        <w:rPr>
          <w:lang w:val="uk-UA"/>
        </w:rPr>
        <w:t xml:space="preserve">. Багато деталей регулювання як </w:t>
      </w:r>
      <w:r w:rsidR="00645A85" w:rsidRPr="0024327D">
        <w:rPr>
          <w:lang w:val="uk-UA"/>
        </w:rPr>
        <w:t>облігацій з покриттям</w:t>
      </w:r>
      <w:r w:rsidRPr="0024327D">
        <w:rPr>
          <w:lang w:val="uk-UA"/>
        </w:rPr>
        <w:t>, так і сек'юритизації мають відносно технічний характер і можуть вимагати періодичного внесення змін по мірі розвитку ринкової практики. Ефективно</w:t>
      </w:r>
      <w:r w:rsidR="000D3DD3" w:rsidRPr="0024327D">
        <w:rPr>
          <w:lang w:val="uk-UA"/>
        </w:rPr>
        <w:t xml:space="preserve"> буде</w:t>
      </w:r>
      <w:r w:rsidRPr="0024327D">
        <w:rPr>
          <w:lang w:val="uk-UA"/>
        </w:rPr>
        <w:t>, якщо первинне законодавство, яке</w:t>
      </w:r>
      <w:r w:rsidR="000D3DD3" w:rsidRPr="0024327D">
        <w:rPr>
          <w:lang w:val="uk-UA"/>
        </w:rPr>
        <w:t xml:space="preserve"> регулює інструмент фінансування</w:t>
      </w:r>
      <w:r w:rsidRPr="0024327D">
        <w:rPr>
          <w:lang w:val="uk-UA"/>
        </w:rPr>
        <w:t xml:space="preserve">, </w:t>
      </w:r>
      <w:r w:rsidR="000D3DD3" w:rsidRPr="0024327D">
        <w:rPr>
          <w:lang w:val="uk-UA"/>
        </w:rPr>
        <w:t xml:space="preserve">буде </w:t>
      </w:r>
      <w:r w:rsidRPr="0024327D">
        <w:rPr>
          <w:lang w:val="uk-UA"/>
        </w:rPr>
        <w:t>уповноважу</w:t>
      </w:r>
      <w:r w:rsidR="000D3DD3" w:rsidRPr="0024327D">
        <w:rPr>
          <w:lang w:val="uk-UA"/>
        </w:rPr>
        <w:t>вати</w:t>
      </w:r>
      <w:r w:rsidRPr="0024327D">
        <w:rPr>
          <w:lang w:val="uk-UA"/>
        </w:rPr>
        <w:t xml:space="preserve"> відповідний орган влади приймати необхідні технічні рішення, а не намагатися їх детально визначити самостійно.</w:t>
      </w:r>
    </w:p>
    <w:p w14:paraId="5343300F" w14:textId="32B928EE" w:rsidR="008E5688" w:rsidRPr="0024327D" w:rsidRDefault="00D66AED" w:rsidP="008E5688">
      <w:pPr>
        <w:rPr>
          <w:lang w:val="uk-UA"/>
        </w:rPr>
      </w:pPr>
      <w:r w:rsidRPr="0024327D">
        <w:rPr>
          <w:b/>
          <w:bCs/>
          <w:lang w:val="uk-UA"/>
        </w:rPr>
        <w:t>Побажання</w:t>
      </w:r>
      <w:r w:rsidR="008E5688" w:rsidRPr="0024327D">
        <w:rPr>
          <w:b/>
          <w:bCs/>
          <w:lang w:val="uk-UA"/>
        </w:rPr>
        <w:t xml:space="preserve"> іноземних інвесторів</w:t>
      </w:r>
      <w:r w:rsidR="008E5688" w:rsidRPr="0024327D">
        <w:rPr>
          <w:lang w:val="uk-UA"/>
        </w:rPr>
        <w:t xml:space="preserve">. Існує значний попит на </w:t>
      </w:r>
      <w:r w:rsidR="00FB118B" w:rsidRPr="0024327D">
        <w:rPr>
          <w:lang w:val="uk-UA"/>
        </w:rPr>
        <w:t>облігації з покриттям</w:t>
      </w:r>
      <w:r w:rsidR="00253654" w:rsidRPr="0024327D">
        <w:rPr>
          <w:lang w:val="uk-UA"/>
        </w:rPr>
        <w:t>, що походять</w:t>
      </w:r>
      <w:r w:rsidR="008E5688" w:rsidRPr="0024327D">
        <w:rPr>
          <w:lang w:val="uk-UA"/>
        </w:rPr>
        <w:t xml:space="preserve"> з регіону Центральної та Східної Європи</w:t>
      </w:r>
      <w:r w:rsidR="00253654" w:rsidRPr="0024327D">
        <w:rPr>
          <w:lang w:val="uk-UA"/>
        </w:rPr>
        <w:t>,</w:t>
      </w:r>
      <w:r w:rsidR="008E5688" w:rsidRPr="0024327D">
        <w:rPr>
          <w:lang w:val="uk-UA"/>
        </w:rPr>
        <w:t xml:space="preserve"> з боку "традиційних" інвесторів Західн</w:t>
      </w:r>
      <w:r w:rsidR="000E4C25" w:rsidRPr="0024327D">
        <w:rPr>
          <w:lang w:val="uk-UA"/>
        </w:rPr>
        <w:t>ої</w:t>
      </w:r>
      <w:r w:rsidR="008E5688" w:rsidRPr="0024327D">
        <w:rPr>
          <w:lang w:val="uk-UA"/>
        </w:rPr>
        <w:t xml:space="preserve"> Європ</w:t>
      </w:r>
      <w:r w:rsidR="000E4C25" w:rsidRPr="0024327D">
        <w:rPr>
          <w:lang w:val="uk-UA"/>
        </w:rPr>
        <w:t>и</w:t>
      </w:r>
      <w:r w:rsidR="008E5688" w:rsidRPr="0024327D">
        <w:rPr>
          <w:lang w:val="uk-UA"/>
        </w:rPr>
        <w:t xml:space="preserve"> загалом та Німеччин</w:t>
      </w:r>
      <w:r w:rsidR="000E4C25" w:rsidRPr="0024327D">
        <w:rPr>
          <w:lang w:val="uk-UA"/>
        </w:rPr>
        <w:t>и</w:t>
      </w:r>
      <w:r w:rsidR="008E5688" w:rsidRPr="0024327D">
        <w:rPr>
          <w:lang w:val="uk-UA"/>
        </w:rPr>
        <w:t xml:space="preserve"> зокрема. Важливо взаємодіяти з цими інвесторами, а також рейтинговими агентствами, які </w:t>
      </w:r>
      <w:r w:rsidR="000E4C25" w:rsidRPr="0024327D">
        <w:rPr>
          <w:lang w:val="uk-UA"/>
        </w:rPr>
        <w:t>можуть на ранній стадії процесу висловлювати коментарі та надавати рекомендації</w:t>
      </w:r>
      <w:r w:rsidR="00912C33" w:rsidRPr="0024327D">
        <w:rPr>
          <w:lang w:val="uk-UA"/>
        </w:rPr>
        <w:t xml:space="preserve"> щодо </w:t>
      </w:r>
      <w:r w:rsidR="00B745C3" w:rsidRPr="0024327D">
        <w:rPr>
          <w:lang w:val="uk-UA"/>
        </w:rPr>
        <w:t xml:space="preserve">структурування </w:t>
      </w:r>
      <w:r w:rsidR="008E5688" w:rsidRPr="0024327D">
        <w:rPr>
          <w:lang w:val="uk-UA"/>
        </w:rPr>
        <w:t xml:space="preserve">інструментів таким чином, щоб </w:t>
      </w:r>
      <w:r w:rsidR="00C92A0A" w:rsidRPr="0024327D">
        <w:rPr>
          <w:lang w:val="uk-UA"/>
        </w:rPr>
        <w:t>таке структурування було</w:t>
      </w:r>
      <w:r w:rsidR="008E5688" w:rsidRPr="0024327D">
        <w:rPr>
          <w:lang w:val="uk-UA"/>
        </w:rPr>
        <w:t xml:space="preserve"> </w:t>
      </w:r>
      <w:r w:rsidR="000E2A24" w:rsidRPr="0024327D">
        <w:rPr>
          <w:lang w:val="uk-UA"/>
        </w:rPr>
        <w:t>схож</w:t>
      </w:r>
      <w:r w:rsidR="00912C33" w:rsidRPr="0024327D">
        <w:rPr>
          <w:lang w:val="uk-UA"/>
        </w:rPr>
        <w:t xml:space="preserve">им </w:t>
      </w:r>
      <w:r w:rsidR="008E5688" w:rsidRPr="0024327D">
        <w:rPr>
          <w:lang w:val="uk-UA"/>
        </w:rPr>
        <w:t xml:space="preserve">з </w:t>
      </w:r>
      <w:r w:rsidR="00C92A0A" w:rsidRPr="0024327D">
        <w:rPr>
          <w:lang w:val="uk-UA"/>
        </w:rPr>
        <w:t xml:space="preserve">структуруванням </w:t>
      </w:r>
      <w:r w:rsidR="00912C33" w:rsidRPr="0024327D">
        <w:rPr>
          <w:lang w:val="uk-UA"/>
        </w:rPr>
        <w:t xml:space="preserve">знайомих для них </w:t>
      </w:r>
      <w:r w:rsidR="008E5688" w:rsidRPr="0024327D">
        <w:rPr>
          <w:lang w:val="uk-UA"/>
        </w:rPr>
        <w:t>інструмент</w:t>
      </w:r>
      <w:r w:rsidR="00C92A0A" w:rsidRPr="0024327D">
        <w:rPr>
          <w:lang w:val="uk-UA"/>
        </w:rPr>
        <w:t xml:space="preserve">ів. </w:t>
      </w:r>
      <w:r w:rsidR="004E668B" w:rsidRPr="0024327D">
        <w:rPr>
          <w:lang w:val="uk-UA"/>
        </w:rPr>
        <w:t>Крім зазначеного,</w:t>
      </w:r>
      <w:r w:rsidR="007B0B0A" w:rsidRPr="0024327D">
        <w:rPr>
          <w:lang w:val="uk-UA"/>
        </w:rPr>
        <w:t xml:space="preserve"> інвестори та рейтингові агентства можуть </w:t>
      </w:r>
      <w:r w:rsidR="00912C33" w:rsidRPr="0024327D">
        <w:rPr>
          <w:lang w:val="uk-UA"/>
        </w:rPr>
        <w:t xml:space="preserve">також </w:t>
      </w:r>
      <w:r w:rsidR="00BD0660" w:rsidRPr="0024327D">
        <w:rPr>
          <w:lang w:val="uk-UA"/>
        </w:rPr>
        <w:t xml:space="preserve">надавати корисні коментарі і щодо технічних питань, </w:t>
      </w:r>
      <w:r w:rsidR="00384A5A" w:rsidRPr="0024327D">
        <w:rPr>
          <w:lang w:val="uk-UA"/>
        </w:rPr>
        <w:t>таких</w:t>
      </w:r>
      <w:r w:rsidR="00BD0660" w:rsidRPr="0024327D">
        <w:rPr>
          <w:lang w:val="uk-UA"/>
        </w:rPr>
        <w:t xml:space="preserve"> як можливість отримання лістингу цінних паперів та можливість включення</w:t>
      </w:r>
      <w:r w:rsidR="00E96E6A" w:rsidRPr="0024327D">
        <w:rPr>
          <w:lang w:val="uk-UA"/>
        </w:rPr>
        <w:t xml:space="preserve"> випусків</w:t>
      </w:r>
      <w:r w:rsidR="00BD0660" w:rsidRPr="0024327D">
        <w:rPr>
          <w:lang w:val="uk-UA"/>
        </w:rPr>
        <w:t xml:space="preserve"> цінних паперів до індексів </w:t>
      </w:r>
      <w:r w:rsidR="00E96E6A" w:rsidRPr="0024327D">
        <w:rPr>
          <w:lang w:val="uk-UA"/>
        </w:rPr>
        <w:t>боргових цінних паперів</w:t>
      </w:r>
      <w:r w:rsidR="008E5688" w:rsidRPr="0024327D">
        <w:rPr>
          <w:lang w:val="uk-UA"/>
        </w:rPr>
        <w:t xml:space="preserve">. </w:t>
      </w:r>
    </w:p>
    <w:p w14:paraId="53979FFE" w14:textId="3B792344" w:rsidR="008E5688" w:rsidRPr="0024327D" w:rsidRDefault="008E5688" w:rsidP="008E5688">
      <w:pPr>
        <w:rPr>
          <w:rFonts w:eastAsia="Times New Roman"/>
          <w:lang w:val="uk-UA"/>
        </w:rPr>
      </w:pPr>
      <w:r w:rsidRPr="0024327D">
        <w:rPr>
          <w:rFonts w:eastAsia="Times New Roman"/>
          <w:b/>
          <w:bCs/>
          <w:lang w:val="uk-UA"/>
        </w:rPr>
        <w:t>Повідомлення про переваги</w:t>
      </w:r>
      <w:r w:rsidRPr="0024327D">
        <w:rPr>
          <w:rFonts w:eastAsia="Times New Roman"/>
          <w:lang w:val="uk-UA"/>
        </w:rPr>
        <w:t xml:space="preserve">. Для забезпечення належного </w:t>
      </w:r>
      <w:r w:rsidR="005218EF" w:rsidRPr="0024327D">
        <w:rPr>
          <w:rFonts w:eastAsia="Times New Roman"/>
          <w:lang w:val="uk-UA"/>
        </w:rPr>
        <w:t xml:space="preserve">виділення </w:t>
      </w:r>
      <w:r w:rsidRPr="0024327D">
        <w:rPr>
          <w:rFonts w:eastAsia="Times New Roman"/>
          <w:lang w:val="uk-UA"/>
        </w:rPr>
        <w:t>ресурсів, необхідних для реалізації про</w:t>
      </w:r>
      <w:r w:rsidR="00AD5658" w:rsidRPr="0024327D">
        <w:rPr>
          <w:rFonts w:eastAsia="Times New Roman"/>
          <w:lang w:val="uk-UA"/>
        </w:rPr>
        <w:t>є</w:t>
      </w:r>
      <w:r w:rsidRPr="0024327D">
        <w:rPr>
          <w:rFonts w:eastAsia="Times New Roman"/>
          <w:lang w:val="uk-UA"/>
        </w:rPr>
        <w:t xml:space="preserve">кту, важливо, щоб потенційні вигоди від повноцінно функціонуючих ринків </w:t>
      </w:r>
      <w:r w:rsidR="00645A85" w:rsidRPr="0024327D">
        <w:rPr>
          <w:rFonts w:eastAsia="Times New Roman"/>
          <w:lang w:val="uk-UA"/>
        </w:rPr>
        <w:t>облігацій з покриттям</w:t>
      </w:r>
      <w:r w:rsidRPr="0024327D">
        <w:rPr>
          <w:rFonts w:eastAsia="Times New Roman"/>
          <w:lang w:val="uk-UA"/>
        </w:rPr>
        <w:t xml:space="preserve"> та сек'юритизації належним чином повідомлялись зацікавленим сторонам.</w:t>
      </w:r>
      <w:r w:rsidRPr="0024327D">
        <w:rPr>
          <w:lang w:val="uk-UA"/>
        </w:rPr>
        <w:t xml:space="preserve"> </w:t>
      </w:r>
      <w:r w:rsidRPr="0024327D">
        <w:rPr>
          <w:rFonts w:eastAsia="Times New Roman"/>
          <w:lang w:val="uk-UA"/>
        </w:rPr>
        <w:t>У Хорватії ЄБРР організував конференцію зацікавлених сторін державного та приватного секторів, щоб обговорити потенційні вигоди від впровадження продукту. Серед ключових моментів, на які слід звернути увагу: переваги для фінансової стабільності через зменшення залежності банків від депозитів або фінансування іноземної материнської компанії, розвиток ринків довгострокових цінних паперів та дериватив</w:t>
      </w:r>
      <w:r w:rsidR="001846F5" w:rsidRPr="0024327D">
        <w:rPr>
          <w:rFonts w:eastAsia="Times New Roman"/>
          <w:lang w:val="uk-UA"/>
        </w:rPr>
        <w:t>них фінансових інструментів</w:t>
      </w:r>
      <w:r w:rsidRPr="0024327D">
        <w:rPr>
          <w:rFonts w:eastAsia="Times New Roman"/>
          <w:lang w:val="uk-UA"/>
        </w:rPr>
        <w:t xml:space="preserve"> та краще забезпечення житлового фінансування для</w:t>
      </w:r>
      <w:r w:rsidR="00DF5C63" w:rsidRPr="0024327D">
        <w:rPr>
          <w:rFonts w:eastAsia="Times New Roman"/>
          <w:lang w:val="uk-UA"/>
        </w:rPr>
        <w:t xml:space="preserve"> споживачів</w:t>
      </w:r>
      <w:r w:rsidRPr="0024327D">
        <w:rPr>
          <w:rFonts w:eastAsia="Times New Roman"/>
          <w:lang w:val="uk-UA"/>
        </w:rPr>
        <w:t xml:space="preserve">. </w:t>
      </w:r>
    </w:p>
    <w:p w14:paraId="7AE1A65E" w14:textId="6E4C3D9D"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82" w:name="_Toc95481026"/>
      <w:r w:rsidRPr="0024327D">
        <w:rPr>
          <w:rFonts w:eastAsiaTheme="majorEastAsia" w:cstheme="majorBidi"/>
          <w:color w:val="2E74B5" w:themeColor="accent1" w:themeShade="BF"/>
          <w:sz w:val="28"/>
          <w:szCs w:val="28"/>
          <w:lang w:val="uk-UA"/>
        </w:rPr>
        <w:lastRenderedPageBreak/>
        <w:t xml:space="preserve">Передумови для успішної сек'юритизації та </w:t>
      </w:r>
      <w:r w:rsidR="00645A85" w:rsidRPr="0024327D">
        <w:rPr>
          <w:rFonts w:eastAsiaTheme="majorEastAsia" w:cstheme="majorBidi"/>
          <w:color w:val="2E74B5" w:themeColor="accent1" w:themeShade="BF"/>
          <w:sz w:val="28"/>
          <w:szCs w:val="28"/>
          <w:lang w:val="uk-UA"/>
        </w:rPr>
        <w:t>облігацій з покриттям</w:t>
      </w:r>
      <w:bookmarkEnd w:id="182"/>
    </w:p>
    <w:p w14:paraId="3DB84ED9" w14:textId="314AACF0" w:rsidR="008E5688" w:rsidRPr="0024327D" w:rsidRDefault="008E5688" w:rsidP="008E5688">
      <w:pPr>
        <w:rPr>
          <w:rFonts w:eastAsia="Times New Roman"/>
          <w:lang w:val="uk-UA"/>
        </w:rPr>
      </w:pPr>
      <w:r w:rsidRPr="0024327D">
        <w:rPr>
          <w:rFonts w:eastAsia="Times New Roman"/>
          <w:lang w:val="uk-UA"/>
        </w:rPr>
        <w:t xml:space="preserve">На думку Європейської ради з </w:t>
      </w:r>
      <w:r w:rsidR="00645A85" w:rsidRPr="0024327D">
        <w:rPr>
          <w:rFonts w:eastAsia="Times New Roman"/>
          <w:lang w:val="uk-UA"/>
        </w:rPr>
        <w:t>облігацій з покриттям</w:t>
      </w:r>
      <w:r w:rsidRPr="0024327D">
        <w:rPr>
          <w:rFonts w:eastAsia="Times New Roman"/>
          <w:lang w:val="uk-UA"/>
        </w:rPr>
        <w:t xml:space="preserve"> (ECBC), успіх </w:t>
      </w:r>
      <w:r w:rsidR="00645A85" w:rsidRPr="0024327D">
        <w:rPr>
          <w:rFonts w:eastAsia="Times New Roman"/>
          <w:lang w:val="uk-UA"/>
        </w:rPr>
        <w:t>облігацій з покриттям</w:t>
      </w:r>
      <w:r w:rsidRPr="0024327D">
        <w:rPr>
          <w:rFonts w:eastAsia="Times New Roman"/>
          <w:lang w:val="uk-UA"/>
        </w:rPr>
        <w:t xml:space="preserve"> на ринку може оцінюватися на основі макроекономічних умов (таких як зростання ВВП, рівень безробіття та інфляції та демографічна динаміка), факторів інфраструктури ринку (включаючи доступ до інформації про нерухомість та можливість звернення стягнення на предмет забезпечення), стану фінансових ринків (тобто попит на фінансування серед кінцевих споживачів, включаючи потребу у фінансуванні поза депозитною системою та розвиток ринків облігацій) і, нарешті, нормативно-правової бази. З огляду на численні загальні характеристики </w:t>
      </w:r>
      <w:r w:rsidR="00645A85" w:rsidRPr="0024327D">
        <w:rPr>
          <w:rFonts w:eastAsia="Times New Roman"/>
          <w:lang w:val="uk-UA"/>
        </w:rPr>
        <w:t>облігацій з покриттям</w:t>
      </w:r>
      <w:r w:rsidRPr="0024327D">
        <w:rPr>
          <w:rFonts w:eastAsia="Times New Roman"/>
          <w:lang w:val="uk-UA"/>
        </w:rPr>
        <w:t xml:space="preserve"> та сек'юритизації, багато з цих факторів (такі як попит на фінансування та розвиток ринку облігацій, наявність активів</w:t>
      </w:r>
      <w:r w:rsidR="004937F8" w:rsidRPr="0024327D">
        <w:rPr>
          <w:rFonts w:eastAsia="Times New Roman"/>
          <w:lang w:val="uk-UA"/>
        </w:rPr>
        <w:t xml:space="preserve"> для включення до пулу </w:t>
      </w:r>
      <w:r w:rsidR="00C93CE0" w:rsidRPr="0024327D">
        <w:rPr>
          <w:lang w:val="uk-UA"/>
        </w:rPr>
        <w:t>покриття</w:t>
      </w:r>
      <w:r w:rsidRPr="0024327D">
        <w:rPr>
          <w:rFonts w:eastAsia="Times New Roman"/>
          <w:lang w:val="uk-UA"/>
        </w:rPr>
        <w:t xml:space="preserve">, доступ до інформації та можливість звернення стягнення на предмет забезпечення) також будуть важливими для успішної сек'юритизації. Для сек'юритизації також можна використовувати інші активи, такі як автомобільні позики, непрацюючі кредити, споживчі кредити, кредити малим та середнім підприємствам, </w:t>
      </w:r>
      <w:r w:rsidR="004937F8" w:rsidRPr="0024327D">
        <w:rPr>
          <w:rFonts w:eastAsia="Times New Roman"/>
          <w:lang w:val="uk-UA"/>
        </w:rPr>
        <w:t>аграрні розписки</w:t>
      </w:r>
      <w:r w:rsidR="00065D07" w:rsidRPr="0024327D">
        <w:rPr>
          <w:rFonts w:eastAsia="Times New Roman"/>
          <w:lang w:val="uk-UA"/>
        </w:rPr>
        <w:t xml:space="preserve"> </w:t>
      </w:r>
      <w:r w:rsidRPr="0024327D">
        <w:rPr>
          <w:rFonts w:eastAsia="Times New Roman"/>
          <w:lang w:val="uk-UA"/>
        </w:rPr>
        <w:t>та дебіторську заборгованість за платежам</w:t>
      </w:r>
      <w:r w:rsidR="00065D07" w:rsidRPr="0024327D">
        <w:rPr>
          <w:rFonts w:eastAsia="Times New Roman"/>
          <w:lang w:val="uk-UA"/>
        </w:rPr>
        <w:t>и</w:t>
      </w:r>
      <w:r w:rsidR="00373F95" w:rsidRPr="0024327D">
        <w:rPr>
          <w:rFonts w:eastAsia="Times New Roman"/>
          <w:lang w:val="uk-UA"/>
        </w:rPr>
        <w:t xml:space="preserve"> </w:t>
      </w:r>
      <w:r w:rsidR="00065D07" w:rsidRPr="0024327D">
        <w:rPr>
          <w:rFonts w:eastAsia="Times New Roman"/>
          <w:lang w:val="uk-UA"/>
        </w:rPr>
        <w:t>за комунальні послуги</w:t>
      </w:r>
      <w:r w:rsidRPr="0024327D">
        <w:rPr>
          <w:rFonts w:eastAsia="Times New Roman"/>
          <w:lang w:val="uk-UA"/>
        </w:rPr>
        <w:t xml:space="preserve">. </w:t>
      </w:r>
      <w:r w:rsidR="00F11ABC" w:rsidRPr="0024327D">
        <w:rPr>
          <w:rFonts w:eastAsia="Times New Roman"/>
          <w:lang w:val="uk-UA"/>
        </w:rPr>
        <w:t xml:space="preserve">Див. </w:t>
      </w:r>
      <w:r w:rsidRPr="0024327D">
        <w:rPr>
          <w:rFonts w:eastAsia="Times New Roman"/>
          <w:lang w:val="uk-UA"/>
        </w:rPr>
        <w:t xml:space="preserve">нижче в розділі </w:t>
      </w:r>
      <w:r w:rsidR="00064891" w:rsidRPr="0024327D">
        <w:rPr>
          <w:lang w:val="uk-UA"/>
        </w:rPr>
        <w:t>“</w:t>
      </w:r>
      <w:r w:rsidR="00064891" w:rsidRPr="0024327D">
        <w:rPr>
          <w:rFonts w:eastAsia="Times New Roman"/>
          <w:lang w:val="uk-UA"/>
        </w:rPr>
        <w:t>Активи</w:t>
      </w:r>
      <w:r w:rsidR="00064891" w:rsidRPr="0024327D">
        <w:rPr>
          <w:lang w:val="uk-UA"/>
        </w:rPr>
        <w:t>”</w:t>
      </w:r>
      <w:r w:rsidRPr="0024327D">
        <w:rPr>
          <w:rFonts w:eastAsia="Times New Roman"/>
          <w:lang w:val="uk-UA"/>
        </w:rPr>
        <w:t xml:space="preserve"> аналіз життєздатності таких сек'юритизацій.</w:t>
      </w:r>
    </w:p>
    <w:p w14:paraId="62B5A77B" w14:textId="15202274" w:rsidR="008E5688" w:rsidRPr="0024327D" w:rsidRDefault="008E5688" w:rsidP="008E5688">
      <w:pPr>
        <w:rPr>
          <w:rFonts w:eastAsia="Times New Roman"/>
          <w:lang w:val="uk-UA"/>
        </w:rPr>
      </w:pPr>
      <w:r w:rsidRPr="0024327D">
        <w:rPr>
          <w:rFonts w:eastAsia="Times New Roman"/>
          <w:lang w:val="uk-UA"/>
        </w:rPr>
        <w:t xml:space="preserve">Нормативно-правова база, необхідна для сек'юритизації та </w:t>
      </w:r>
      <w:r w:rsidR="00645A85" w:rsidRPr="0024327D">
        <w:rPr>
          <w:rFonts w:eastAsia="Times New Roman"/>
          <w:lang w:val="uk-UA"/>
        </w:rPr>
        <w:t>облігацій з покриттям</w:t>
      </w:r>
      <w:r w:rsidRPr="0024327D">
        <w:rPr>
          <w:rFonts w:eastAsia="Times New Roman"/>
          <w:lang w:val="uk-UA"/>
        </w:rPr>
        <w:t xml:space="preserve">, та необхідні зміни в українському законодавстві з цією метою, були детально розглянуті в цій </w:t>
      </w:r>
      <w:r w:rsidR="001251E5" w:rsidRPr="0024327D">
        <w:rPr>
          <w:rFonts w:eastAsia="Times New Roman"/>
          <w:lang w:val="uk-UA"/>
        </w:rPr>
        <w:t>К</w:t>
      </w:r>
      <w:r w:rsidRPr="0024327D">
        <w:rPr>
          <w:rFonts w:eastAsia="Times New Roman"/>
          <w:lang w:val="uk-UA"/>
        </w:rPr>
        <w:t xml:space="preserve">онцепції. Нижче наводиться оцінка готовності українського ринку до вдосконалених структур фінансування, таких як </w:t>
      </w:r>
      <w:r w:rsidR="00FB118B" w:rsidRPr="0024327D">
        <w:rPr>
          <w:rFonts w:eastAsia="Times New Roman"/>
          <w:lang w:val="uk-UA"/>
        </w:rPr>
        <w:t>облігації з покриттям</w:t>
      </w:r>
      <w:r w:rsidRPr="0024327D">
        <w:rPr>
          <w:rFonts w:eastAsia="Times New Roman"/>
          <w:lang w:val="uk-UA"/>
        </w:rPr>
        <w:t xml:space="preserve"> та сек'юритизація, на підставі трьох критеріїв, визначених ECBC, а саме макроекономічних умов, ринкової інфраструктури та стану фінансових ринків.</w:t>
      </w:r>
    </w:p>
    <w:p w14:paraId="6DE712EA" w14:textId="77777777" w:rsidR="008E5688" w:rsidRPr="0024327D" w:rsidRDefault="008E5688" w:rsidP="008E5688">
      <w:pPr>
        <w:rPr>
          <w:rFonts w:eastAsia="Times New Roman"/>
          <w:b/>
          <w:bCs/>
          <w:lang w:val="uk-UA"/>
        </w:rPr>
      </w:pPr>
      <w:r w:rsidRPr="0024327D">
        <w:rPr>
          <w:rFonts w:eastAsia="Times New Roman"/>
          <w:b/>
          <w:bCs/>
          <w:lang w:val="uk-UA"/>
        </w:rPr>
        <w:t>Макроекономічні умови</w:t>
      </w:r>
    </w:p>
    <w:p w14:paraId="54CD972A" w14:textId="0379FAD6" w:rsidR="008E5688" w:rsidRPr="0024327D" w:rsidRDefault="008E5688" w:rsidP="005E3BB5">
      <w:pPr>
        <w:rPr>
          <w:rFonts w:eastAsia="Times New Roman"/>
          <w:lang w:val="uk-UA"/>
        </w:rPr>
      </w:pPr>
      <w:r w:rsidRPr="0024327D">
        <w:rPr>
          <w:rFonts w:eastAsia="Times New Roman"/>
          <w:lang w:val="uk-UA"/>
        </w:rPr>
        <w:t xml:space="preserve">За підрахунками </w:t>
      </w:r>
      <w:r w:rsidR="00020441" w:rsidRPr="0024327D">
        <w:rPr>
          <w:rFonts w:eastAsia="Times New Roman"/>
          <w:lang w:val="uk-UA"/>
        </w:rPr>
        <w:t>НБУ</w:t>
      </w:r>
      <w:r w:rsidRPr="0024327D">
        <w:rPr>
          <w:rFonts w:eastAsia="Times New Roman"/>
          <w:lang w:val="uk-UA"/>
        </w:rPr>
        <w:t xml:space="preserve">, ВВП України </w:t>
      </w:r>
      <w:r w:rsidR="00B5122E" w:rsidRPr="0024327D">
        <w:rPr>
          <w:rFonts w:eastAsia="Times New Roman"/>
          <w:lang w:val="uk-UA"/>
        </w:rPr>
        <w:t xml:space="preserve">зменшиться </w:t>
      </w:r>
      <w:r w:rsidR="00D066D0" w:rsidRPr="0024327D">
        <w:rPr>
          <w:rFonts w:eastAsia="Times New Roman"/>
          <w:lang w:val="uk-UA"/>
        </w:rPr>
        <w:t xml:space="preserve">на 32% у 2022 році </w:t>
      </w:r>
      <w:r w:rsidR="00F52349" w:rsidRPr="0024327D">
        <w:rPr>
          <w:rFonts w:eastAsia="Times New Roman"/>
          <w:lang w:val="uk-UA"/>
        </w:rPr>
        <w:t>та</w:t>
      </w:r>
      <w:r w:rsidR="00270011" w:rsidRPr="0024327D">
        <w:rPr>
          <w:rFonts w:eastAsia="Times New Roman"/>
          <w:lang w:val="uk-UA"/>
        </w:rPr>
        <w:t xml:space="preserve"> поступов</w:t>
      </w:r>
      <w:r w:rsidR="00F52349" w:rsidRPr="0024327D">
        <w:rPr>
          <w:rFonts w:eastAsia="Times New Roman"/>
          <w:lang w:val="uk-UA"/>
        </w:rPr>
        <w:t>о</w:t>
      </w:r>
      <w:r w:rsidR="00270011" w:rsidRPr="0024327D">
        <w:rPr>
          <w:rFonts w:eastAsia="Times New Roman"/>
          <w:lang w:val="uk-UA"/>
        </w:rPr>
        <w:t xml:space="preserve"> зростатиме</w:t>
      </w:r>
      <w:r w:rsidR="00D066D0" w:rsidRPr="0024327D">
        <w:rPr>
          <w:rFonts w:eastAsia="Times New Roman"/>
          <w:lang w:val="uk-UA"/>
        </w:rPr>
        <w:t xml:space="preserve"> </w:t>
      </w:r>
      <w:r w:rsidR="00B53E2A" w:rsidRPr="0024327D">
        <w:rPr>
          <w:rFonts w:eastAsia="Times New Roman"/>
          <w:lang w:val="uk-UA"/>
        </w:rPr>
        <w:t>на</w:t>
      </w:r>
      <w:r w:rsidR="00FE701E" w:rsidRPr="0024327D">
        <w:rPr>
          <w:rFonts w:eastAsia="Times New Roman"/>
          <w:lang w:val="uk-UA"/>
        </w:rPr>
        <w:t xml:space="preserve"> 4-5 </w:t>
      </w:r>
      <w:r w:rsidRPr="0024327D">
        <w:rPr>
          <w:rFonts w:eastAsia="Times New Roman"/>
          <w:lang w:val="uk-UA"/>
        </w:rPr>
        <w:t>відсотк</w:t>
      </w:r>
      <w:r w:rsidR="00802986" w:rsidRPr="0024327D">
        <w:rPr>
          <w:rFonts w:eastAsia="Times New Roman"/>
          <w:lang w:val="uk-UA"/>
        </w:rPr>
        <w:t>ів</w:t>
      </w:r>
      <w:r w:rsidRPr="0024327D">
        <w:rPr>
          <w:rFonts w:eastAsia="Times New Roman"/>
          <w:lang w:val="uk-UA"/>
        </w:rPr>
        <w:t xml:space="preserve"> </w:t>
      </w:r>
      <w:r w:rsidR="00320271" w:rsidRPr="0024327D">
        <w:rPr>
          <w:rFonts w:eastAsia="Times New Roman"/>
          <w:lang w:val="uk-UA"/>
        </w:rPr>
        <w:t>у наступні роки.</w:t>
      </w:r>
      <w:r w:rsidRPr="0024327D">
        <w:rPr>
          <w:rFonts w:eastAsia="Times New Roman"/>
          <w:lang w:val="uk-UA"/>
        </w:rPr>
        <w:t xml:space="preserve"> </w:t>
      </w:r>
      <w:r w:rsidR="006123D5" w:rsidRPr="0024327D">
        <w:rPr>
          <w:rFonts w:eastAsia="Times New Roman"/>
          <w:lang w:val="uk-UA"/>
        </w:rPr>
        <w:t xml:space="preserve">За даними анкетування банків, що проводиться НБУ, </w:t>
      </w:r>
      <w:r w:rsidR="00FB426E" w:rsidRPr="0024327D">
        <w:rPr>
          <w:rFonts w:eastAsia="Times New Roman"/>
          <w:lang w:val="uk-UA"/>
        </w:rPr>
        <w:t>кількість</w:t>
      </w:r>
      <w:r w:rsidRPr="0024327D">
        <w:rPr>
          <w:rFonts w:eastAsia="Times New Roman"/>
          <w:lang w:val="uk-UA"/>
        </w:rPr>
        <w:t xml:space="preserve"> </w:t>
      </w:r>
      <w:r w:rsidR="00FB426E" w:rsidRPr="0024327D">
        <w:rPr>
          <w:rFonts w:eastAsia="Times New Roman"/>
          <w:lang w:val="uk-UA"/>
        </w:rPr>
        <w:t xml:space="preserve">нових </w:t>
      </w:r>
      <w:r w:rsidRPr="0024327D">
        <w:rPr>
          <w:rFonts w:eastAsia="Times New Roman"/>
          <w:lang w:val="uk-UA"/>
        </w:rPr>
        <w:t>житлов</w:t>
      </w:r>
      <w:r w:rsidR="00FB426E" w:rsidRPr="0024327D">
        <w:rPr>
          <w:rFonts w:eastAsia="Times New Roman"/>
          <w:lang w:val="uk-UA"/>
        </w:rPr>
        <w:t>их</w:t>
      </w:r>
      <w:r w:rsidRPr="0024327D">
        <w:rPr>
          <w:rFonts w:eastAsia="Times New Roman"/>
          <w:lang w:val="uk-UA"/>
        </w:rPr>
        <w:t xml:space="preserve"> іпотечн</w:t>
      </w:r>
      <w:r w:rsidR="00F43092" w:rsidRPr="0024327D">
        <w:rPr>
          <w:rFonts w:eastAsia="Times New Roman"/>
          <w:lang w:val="uk-UA"/>
        </w:rPr>
        <w:t>их</w:t>
      </w:r>
      <w:r w:rsidRPr="0024327D">
        <w:rPr>
          <w:rFonts w:eastAsia="Times New Roman"/>
          <w:lang w:val="uk-UA"/>
        </w:rPr>
        <w:t xml:space="preserve"> кредит</w:t>
      </w:r>
      <w:r w:rsidR="00F43092" w:rsidRPr="0024327D">
        <w:rPr>
          <w:rFonts w:eastAsia="Times New Roman"/>
          <w:lang w:val="uk-UA"/>
        </w:rPr>
        <w:t>ів</w:t>
      </w:r>
      <w:r w:rsidRPr="0024327D">
        <w:rPr>
          <w:rFonts w:eastAsia="Times New Roman"/>
          <w:lang w:val="uk-UA"/>
        </w:rPr>
        <w:t xml:space="preserve"> в Україні </w:t>
      </w:r>
      <w:r w:rsidR="0033186D" w:rsidRPr="0024327D">
        <w:rPr>
          <w:rFonts w:eastAsia="Times New Roman"/>
          <w:lang w:val="uk-UA"/>
        </w:rPr>
        <w:t>збільшилася майже вдвічі</w:t>
      </w:r>
      <w:r w:rsidR="00147F22" w:rsidRPr="0024327D">
        <w:rPr>
          <w:rFonts w:eastAsia="Times New Roman"/>
          <w:lang w:val="uk-UA"/>
        </w:rPr>
        <w:t xml:space="preserve"> у 2021 році</w:t>
      </w:r>
      <w:r w:rsidR="004D6C3F" w:rsidRPr="0024327D">
        <w:rPr>
          <w:rFonts w:eastAsia="Times New Roman"/>
          <w:lang w:val="uk-UA"/>
        </w:rPr>
        <w:t>.</w:t>
      </w:r>
      <w:r w:rsidR="00147F22" w:rsidRPr="0024327D">
        <w:rPr>
          <w:rFonts w:eastAsia="Times New Roman"/>
          <w:lang w:val="uk-UA"/>
        </w:rPr>
        <w:t xml:space="preserve"> </w:t>
      </w:r>
      <w:r w:rsidR="004D6C3F" w:rsidRPr="0024327D">
        <w:rPr>
          <w:rFonts w:eastAsia="Times New Roman"/>
          <w:lang w:val="uk-UA"/>
        </w:rPr>
        <w:t>Й</w:t>
      </w:r>
      <w:r w:rsidR="00147F22" w:rsidRPr="0024327D">
        <w:rPr>
          <w:rFonts w:eastAsia="Times New Roman"/>
          <w:lang w:val="uk-UA"/>
        </w:rPr>
        <w:t xml:space="preserve">мовірно, </w:t>
      </w:r>
      <w:r w:rsidR="004D6C3F" w:rsidRPr="0024327D">
        <w:rPr>
          <w:rFonts w:eastAsia="Times New Roman"/>
          <w:lang w:val="uk-UA"/>
        </w:rPr>
        <w:t xml:space="preserve">це сталося </w:t>
      </w:r>
      <w:r w:rsidR="00147F22" w:rsidRPr="0024327D">
        <w:rPr>
          <w:rFonts w:eastAsia="Times New Roman"/>
          <w:lang w:val="uk-UA"/>
        </w:rPr>
        <w:t xml:space="preserve">у зв’язку </w:t>
      </w:r>
      <w:r w:rsidR="00664892" w:rsidRPr="0024327D">
        <w:rPr>
          <w:rFonts w:eastAsia="Times New Roman"/>
          <w:lang w:val="uk-UA"/>
        </w:rPr>
        <w:t>з</w:t>
      </w:r>
      <w:r w:rsidR="00E73E18" w:rsidRPr="0024327D">
        <w:rPr>
          <w:rFonts w:eastAsia="Times New Roman"/>
          <w:lang w:val="uk-UA"/>
        </w:rPr>
        <w:t>і</w:t>
      </w:r>
      <w:r w:rsidR="00664892" w:rsidRPr="0024327D">
        <w:rPr>
          <w:rFonts w:eastAsia="Times New Roman"/>
          <w:lang w:val="uk-UA"/>
        </w:rPr>
        <w:t xml:space="preserve"> сприятливи</w:t>
      </w:r>
      <w:r w:rsidR="001A72EF" w:rsidRPr="0024327D">
        <w:rPr>
          <w:rFonts w:eastAsia="Times New Roman"/>
          <w:lang w:val="uk-UA"/>
        </w:rPr>
        <w:t>ми пе</w:t>
      </w:r>
      <w:r w:rsidR="00A7692A" w:rsidRPr="0024327D">
        <w:rPr>
          <w:rFonts w:eastAsia="Times New Roman"/>
          <w:lang w:val="uk-UA"/>
        </w:rPr>
        <w:t xml:space="preserve">рспективами розвитку ринку нерухомості та </w:t>
      </w:r>
      <w:r w:rsidR="0086165E" w:rsidRPr="0024327D">
        <w:rPr>
          <w:rFonts w:eastAsia="Times New Roman"/>
          <w:lang w:val="uk-UA"/>
        </w:rPr>
        <w:t xml:space="preserve">кращими споживчими настроями. </w:t>
      </w:r>
      <w:r w:rsidR="008B7ED2" w:rsidRPr="0024327D">
        <w:rPr>
          <w:rFonts w:eastAsia="Times New Roman"/>
          <w:lang w:val="uk-UA"/>
        </w:rPr>
        <w:t xml:space="preserve">Також </w:t>
      </w:r>
      <w:r w:rsidR="004303A0" w:rsidRPr="0024327D">
        <w:rPr>
          <w:rFonts w:eastAsia="Times New Roman"/>
          <w:lang w:val="uk-UA"/>
        </w:rPr>
        <w:t>у 2021 році с</w:t>
      </w:r>
      <w:r w:rsidR="0086165E" w:rsidRPr="0024327D">
        <w:rPr>
          <w:rFonts w:eastAsia="Times New Roman"/>
          <w:lang w:val="uk-UA"/>
        </w:rPr>
        <w:t xml:space="preserve">ередня ефективна ставка за кредитами знизилась до 13.6% </w:t>
      </w:r>
      <w:r w:rsidR="000A2080" w:rsidRPr="0024327D">
        <w:rPr>
          <w:rFonts w:eastAsia="Times New Roman"/>
          <w:lang w:val="uk-UA"/>
        </w:rPr>
        <w:t xml:space="preserve">(для вторинного ринку) та </w:t>
      </w:r>
      <w:r w:rsidR="0038023F" w:rsidRPr="0024327D">
        <w:rPr>
          <w:rFonts w:eastAsia="Times New Roman"/>
          <w:lang w:val="uk-UA"/>
        </w:rPr>
        <w:t>16.0</w:t>
      </w:r>
      <w:r w:rsidR="000A2080" w:rsidRPr="0024327D">
        <w:rPr>
          <w:rFonts w:eastAsia="Times New Roman"/>
          <w:lang w:val="uk-UA"/>
        </w:rPr>
        <w:t xml:space="preserve">% (для первинного ринку). </w:t>
      </w:r>
      <w:r w:rsidR="00D9329A" w:rsidRPr="0024327D">
        <w:rPr>
          <w:rFonts w:eastAsia="Times New Roman"/>
          <w:lang w:val="uk-UA"/>
        </w:rPr>
        <w:t xml:space="preserve">У березні-травні 2022 року банки призупинили видачу іпотечних кредитів фізичним особам через війну, але з червня 2022 року таке фінансування почало відновлюватися. Водночас уряд запровадив спеціальну програму для громадян України, яка має на меті уможливити іпотечні житлові кредити за відсотковими ставками 3-7% в залежності від категорії позичальника та з необхідністю дотримання певних умов. </w:t>
      </w:r>
      <w:r w:rsidR="00A1101F" w:rsidRPr="0024327D">
        <w:rPr>
          <w:rFonts w:eastAsia="Times New Roman"/>
          <w:lang w:val="uk-UA"/>
        </w:rPr>
        <w:t>Ймовірно, після війни відновлення попиту на нерухомість призведе до</w:t>
      </w:r>
      <w:r w:rsidR="005E3BB5" w:rsidRPr="0024327D">
        <w:rPr>
          <w:rFonts w:eastAsia="Times New Roman"/>
          <w:lang w:val="uk-UA"/>
        </w:rPr>
        <w:t xml:space="preserve"> з</w:t>
      </w:r>
      <w:r w:rsidRPr="0024327D">
        <w:rPr>
          <w:rFonts w:eastAsia="Times New Roman"/>
          <w:lang w:val="uk-UA"/>
        </w:rPr>
        <w:t>ростання попиту на житлові іпотечні кредити</w:t>
      </w:r>
      <w:r w:rsidR="00D76A7D" w:rsidRPr="0024327D">
        <w:rPr>
          <w:rFonts w:eastAsia="Times New Roman"/>
          <w:lang w:val="uk-UA"/>
        </w:rPr>
        <w:t>, що</w:t>
      </w:r>
      <w:r w:rsidRPr="0024327D">
        <w:rPr>
          <w:rFonts w:eastAsia="Times New Roman"/>
          <w:lang w:val="uk-UA"/>
        </w:rPr>
        <w:t xml:space="preserve"> матиме вирішальне значення для успіху </w:t>
      </w:r>
      <w:r w:rsidR="00645A85" w:rsidRPr="0024327D">
        <w:rPr>
          <w:rFonts w:eastAsia="Times New Roman"/>
          <w:lang w:val="uk-UA"/>
        </w:rPr>
        <w:t>облігацій з покриттям</w:t>
      </w:r>
      <w:r w:rsidRPr="0024327D">
        <w:rPr>
          <w:rFonts w:eastAsia="Times New Roman"/>
          <w:lang w:val="uk-UA"/>
        </w:rPr>
        <w:t xml:space="preserve">, оскільки такі активи найчастіше включаються в пул </w:t>
      </w:r>
      <w:r w:rsidR="005E3BB5" w:rsidRPr="0024327D">
        <w:rPr>
          <w:rFonts w:eastAsia="Times New Roman"/>
          <w:lang w:val="uk-UA"/>
        </w:rPr>
        <w:t>покриття</w:t>
      </w:r>
      <w:r w:rsidRPr="0024327D">
        <w:rPr>
          <w:rFonts w:eastAsia="Times New Roman"/>
          <w:lang w:val="uk-UA"/>
        </w:rPr>
        <w:t>.</w:t>
      </w:r>
    </w:p>
    <w:p w14:paraId="6E2CFF58" w14:textId="627C3652" w:rsidR="008E5688" w:rsidRPr="0024327D" w:rsidRDefault="008E5688" w:rsidP="008E5688">
      <w:pPr>
        <w:rPr>
          <w:rFonts w:eastAsia="Times New Roman"/>
          <w:b/>
          <w:bCs/>
          <w:lang w:val="uk-UA"/>
        </w:rPr>
      </w:pPr>
      <w:r w:rsidRPr="0024327D">
        <w:rPr>
          <w:rFonts w:eastAsia="Times New Roman"/>
          <w:b/>
          <w:bCs/>
          <w:lang w:val="uk-UA"/>
        </w:rPr>
        <w:t>Ринкова інфраструктура</w:t>
      </w:r>
      <w:r w:rsidR="00194C22" w:rsidRPr="0024327D">
        <w:rPr>
          <w:rFonts w:eastAsia="Times New Roman"/>
          <w:b/>
          <w:bCs/>
          <w:lang w:val="uk-UA"/>
        </w:rPr>
        <w:t xml:space="preserve"> та легкість передачі забезпечення </w:t>
      </w:r>
    </w:p>
    <w:p w14:paraId="04B3F76D" w14:textId="43A4A77C" w:rsidR="00194C22" w:rsidRPr="0024327D" w:rsidRDefault="008E5688" w:rsidP="008E5688">
      <w:pPr>
        <w:rPr>
          <w:rFonts w:eastAsia="Times New Roman"/>
          <w:lang w:val="uk-UA"/>
        </w:rPr>
      </w:pPr>
      <w:r w:rsidRPr="0024327D">
        <w:rPr>
          <w:rFonts w:eastAsia="Times New Roman"/>
          <w:lang w:val="uk-UA"/>
        </w:rPr>
        <w:t>Що стосується ринкової інфраструктури, існує загальнодоступний реєстр іпотечних кредитів.</w:t>
      </w:r>
      <w:r w:rsidR="001E1FD7" w:rsidRPr="0024327D">
        <w:rPr>
          <w:rStyle w:val="af2"/>
          <w:rFonts w:eastAsia="Times New Roman"/>
          <w:lang w:val="uk-UA"/>
        </w:rPr>
        <w:footnoteReference w:id="61"/>
      </w:r>
      <w:r w:rsidRPr="0024327D">
        <w:rPr>
          <w:rFonts w:eastAsia="Times New Roman"/>
          <w:lang w:val="uk-UA"/>
        </w:rPr>
        <w:t xml:space="preserve"> Однак такий реєстр не зручний для угод, що включають сотні іпотечних кредитів або більше (що характерно для </w:t>
      </w:r>
      <w:r w:rsidR="00645A85" w:rsidRPr="0024327D">
        <w:rPr>
          <w:rFonts w:eastAsia="Times New Roman"/>
          <w:lang w:val="uk-UA"/>
        </w:rPr>
        <w:t>облігацій з покриттям</w:t>
      </w:r>
      <w:r w:rsidRPr="0024327D">
        <w:rPr>
          <w:rFonts w:eastAsia="Times New Roman"/>
          <w:lang w:val="uk-UA"/>
        </w:rPr>
        <w:t xml:space="preserve">). Процес передачі прав іпотекодержателя третій особі (наприклад, компанії спеціального призначення) у такому реєстрі є досить складним через необхідність перереєструвати кожну іпотеку окремо у нотаріуса, і кожна перереєстрація також займає досить багато часу (залежно від досвіду, нотаріус, як правило, здатний виконати 5-20 перереєстрацій на день). </w:t>
      </w:r>
      <w:r w:rsidR="00EE49A3" w:rsidRPr="0024327D">
        <w:rPr>
          <w:rFonts w:eastAsia="Times New Roman"/>
          <w:lang w:val="uk-UA"/>
        </w:rPr>
        <w:t xml:space="preserve">У випадку кредитів, забезпечених рухомим майном, </w:t>
      </w:r>
      <w:r w:rsidR="008A6184" w:rsidRPr="0024327D">
        <w:rPr>
          <w:rFonts w:eastAsia="Times New Roman"/>
          <w:lang w:val="uk-UA"/>
        </w:rPr>
        <w:t>реєстр</w:t>
      </w:r>
      <w:r w:rsidR="00C00D0E" w:rsidRPr="0024327D">
        <w:rPr>
          <w:rFonts w:eastAsia="Times New Roman"/>
          <w:lang w:val="uk-UA"/>
        </w:rPr>
        <w:t>ація</w:t>
      </w:r>
      <w:r w:rsidR="008A6184" w:rsidRPr="0024327D">
        <w:rPr>
          <w:rFonts w:eastAsia="Times New Roman"/>
          <w:lang w:val="uk-UA"/>
        </w:rPr>
        <w:t xml:space="preserve"> обтяжень рухомого майна</w:t>
      </w:r>
      <w:r w:rsidR="00C00D0E" w:rsidRPr="0024327D">
        <w:rPr>
          <w:rFonts w:eastAsia="Times New Roman"/>
          <w:lang w:val="uk-UA"/>
        </w:rPr>
        <w:t xml:space="preserve"> у відповідному реєстрі</w:t>
      </w:r>
      <w:r w:rsidR="008A6184" w:rsidRPr="0024327D">
        <w:rPr>
          <w:rFonts w:eastAsia="Times New Roman"/>
          <w:lang w:val="uk-UA"/>
        </w:rPr>
        <w:t xml:space="preserve"> </w:t>
      </w:r>
      <w:r w:rsidR="00C00D0E" w:rsidRPr="0024327D">
        <w:rPr>
          <w:rFonts w:eastAsia="Times New Roman"/>
          <w:lang w:val="uk-UA"/>
        </w:rPr>
        <w:t xml:space="preserve">потребуватиме </w:t>
      </w:r>
      <w:r w:rsidR="00EE49A3" w:rsidRPr="0024327D">
        <w:rPr>
          <w:rFonts w:eastAsia="Times New Roman"/>
          <w:lang w:val="uk-UA"/>
        </w:rPr>
        <w:t>подібн</w:t>
      </w:r>
      <w:r w:rsidR="00C00D0E" w:rsidRPr="0024327D">
        <w:rPr>
          <w:rFonts w:eastAsia="Times New Roman"/>
          <w:lang w:val="uk-UA"/>
        </w:rPr>
        <w:t>их</w:t>
      </w:r>
      <w:r w:rsidR="00EE49A3" w:rsidRPr="0024327D">
        <w:rPr>
          <w:rFonts w:eastAsia="Times New Roman"/>
          <w:lang w:val="uk-UA"/>
        </w:rPr>
        <w:t xml:space="preserve"> змін</w:t>
      </w:r>
      <w:r w:rsidR="00C00D0E" w:rsidRPr="0024327D">
        <w:rPr>
          <w:rFonts w:eastAsia="Times New Roman"/>
          <w:lang w:val="uk-UA"/>
        </w:rPr>
        <w:t xml:space="preserve">, оскільки вона теж, зазвичай, </w:t>
      </w:r>
      <w:r w:rsidR="00C00D0E" w:rsidRPr="0024327D">
        <w:rPr>
          <w:rFonts w:eastAsia="Times New Roman"/>
          <w:lang w:val="uk-UA"/>
        </w:rPr>
        <w:lastRenderedPageBreak/>
        <w:t>проводиться нотаріусами.</w:t>
      </w:r>
      <w:r w:rsidR="00B5725D" w:rsidRPr="0024327D">
        <w:rPr>
          <w:rFonts w:eastAsia="Times New Roman"/>
          <w:lang w:val="uk-UA"/>
        </w:rPr>
        <w:t xml:space="preserve"> </w:t>
      </w:r>
      <w:r w:rsidR="00194C22" w:rsidRPr="0024327D">
        <w:rPr>
          <w:rFonts w:eastAsia="Times New Roman"/>
          <w:lang w:val="uk-UA"/>
        </w:rPr>
        <w:t>Таким чином, створення механізму</w:t>
      </w:r>
      <w:r w:rsidR="00B71675" w:rsidRPr="0024327D">
        <w:rPr>
          <w:rFonts w:eastAsia="Times New Roman"/>
          <w:lang w:val="uk-UA"/>
        </w:rPr>
        <w:t xml:space="preserve">, який би забезпечував більш легку передачу прав </w:t>
      </w:r>
      <w:r w:rsidR="00B5725D" w:rsidRPr="0024327D">
        <w:rPr>
          <w:rFonts w:eastAsia="Times New Roman"/>
          <w:lang w:val="uk-UA"/>
        </w:rPr>
        <w:t xml:space="preserve">кредитора </w:t>
      </w:r>
      <w:r w:rsidR="00B71675" w:rsidRPr="0024327D">
        <w:rPr>
          <w:rFonts w:eastAsia="Times New Roman"/>
          <w:lang w:val="uk-UA"/>
        </w:rPr>
        <w:t>(</w:t>
      </w:r>
      <w:r w:rsidR="00D47648" w:rsidRPr="0024327D">
        <w:rPr>
          <w:rFonts w:eastAsia="Times New Roman"/>
          <w:lang w:val="uk-UA"/>
        </w:rPr>
        <w:t xml:space="preserve">в межах </w:t>
      </w:r>
      <w:r w:rsidR="00B5725D" w:rsidRPr="0024327D">
        <w:rPr>
          <w:rFonts w:eastAsia="Times New Roman"/>
          <w:lang w:val="uk-UA"/>
        </w:rPr>
        <w:t xml:space="preserve">наявних </w:t>
      </w:r>
      <w:r w:rsidR="00D47648" w:rsidRPr="0024327D">
        <w:rPr>
          <w:rFonts w:eastAsia="Times New Roman"/>
          <w:lang w:val="uk-UA"/>
        </w:rPr>
        <w:t>процедур реєстрації або із запровадженням окремого інструмента передачі) є одним із важливих питань, які мають бути вирішені.</w:t>
      </w:r>
    </w:p>
    <w:p w14:paraId="4F4CD20C" w14:textId="6B674E1D" w:rsidR="008E5688" w:rsidRPr="0024327D" w:rsidRDefault="008E5688" w:rsidP="008E5688">
      <w:pPr>
        <w:rPr>
          <w:rFonts w:eastAsia="Times New Roman"/>
          <w:lang w:val="uk-UA"/>
        </w:rPr>
      </w:pPr>
      <w:r w:rsidRPr="0024327D">
        <w:rPr>
          <w:rFonts w:eastAsia="Times New Roman"/>
          <w:lang w:val="uk-UA"/>
        </w:rPr>
        <w:t xml:space="preserve">Що стосується питань звернення стягнення, в Україні доступні як судові, так і позасудові методи звернення стягнення на забезпечення, проте вони недостатньо ефективні: в середньому примусове виконання </w:t>
      </w:r>
      <w:r w:rsidR="00E50EEF" w:rsidRPr="0024327D">
        <w:rPr>
          <w:rFonts w:eastAsia="Times New Roman"/>
          <w:lang w:val="uk-UA"/>
        </w:rPr>
        <w:t xml:space="preserve">договорів </w:t>
      </w:r>
      <w:r w:rsidRPr="0024327D">
        <w:rPr>
          <w:rFonts w:eastAsia="Times New Roman"/>
          <w:lang w:val="uk-UA"/>
        </w:rPr>
        <w:t xml:space="preserve">зазвичай займає приблизно 378 днів (за останніми оцінками </w:t>
      </w:r>
      <w:r w:rsidR="00922EDD" w:rsidRPr="0024327D">
        <w:rPr>
          <w:rFonts w:eastAsia="Times New Roman"/>
          <w:lang w:val="uk-UA"/>
        </w:rPr>
        <w:t xml:space="preserve">відповідно до звіту </w:t>
      </w:r>
      <w:r w:rsidRPr="0024327D">
        <w:rPr>
          <w:rFonts w:eastAsia="Times New Roman"/>
          <w:lang w:val="uk-UA"/>
        </w:rPr>
        <w:t xml:space="preserve">Світового банку </w:t>
      </w:r>
      <w:r w:rsidR="00706C0A" w:rsidRPr="0024327D">
        <w:rPr>
          <w:rFonts w:eastAsia="Times New Roman"/>
          <w:lang w:val="uk-UA"/>
        </w:rPr>
        <w:t xml:space="preserve">2019 року </w:t>
      </w:r>
      <w:r w:rsidRPr="0024327D">
        <w:rPr>
          <w:rFonts w:eastAsia="Times New Roman"/>
          <w:lang w:val="uk-UA"/>
        </w:rPr>
        <w:t>щодо легкості ведення бізнесу</w:t>
      </w:r>
      <w:r w:rsidR="00103D3C" w:rsidRPr="0024327D">
        <w:rPr>
          <w:rFonts w:eastAsia="Times New Roman"/>
          <w:lang w:val="uk-UA"/>
        </w:rPr>
        <w:t xml:space="preserve"> (World Bank </w:t>
      </w:r>
      <w:r w:rsidR="003C2D79" w:rsidRPr="0024327D">
        <w:rPr>
          <w:rFonts w:eastAsia="Times New Roman"/>
          <w:lang w:val="uk-UA"/>
        </w:rPr>
        <w:t xml:space="preserve">2019 </w:t>
      </w:r>
      <w:r w:rsidR="00103D3C" w:rsidRPr="0024327D">
        <w:rPr>
          <w:rFonts w:eastAsia="Times New Roman"/>
          <w:lang w:val="uk-UA"/>
        </w:rPr>
        <w:t xml:space="preserve">Doing Business </w:t>
      </w:r>
      <w:r w:rsidR="00902FBE" w:rsidRPr="0024327D">
        <w:rPr>
          <w:rFonts w:eastAsia="Times New Roman"/>
          <w:lang w:val="en-US"/>
        </w:rPr>
        <w:t>report</w:t>
      </w:r>
      <w:r w:rsidR="00103D3C" w:rsidRPr="0024327D">
        <w:rPr>
          <w:rFonts w:eastAsia="Times New Roman"/>
          <w:lang w:val="uk-UA"/>
        </w:rPr>
        <w:t>)</w:t>
      </w:r>
      <w:r w:rsidRPr="0024327D">
        <w:rPr>
          <w:rFonts w:eastAsia="Times New Roman"/>
          <w:lang w:val="uk-UA"/>
        </w:rPr>
        <w:t>).</w:t>
      </w:r>
    </w:p>
    <w:p w14:paraId="5122F298" w14:textId="77777777" w:rsidR="008E5688" w:rsidRPr="0024327D" w:rsidRDefault="008E5688" w:rsidP="000F6694">
      <w:pPr>
        <w:keepNext/>
        <w:keepLines/>
        <w:rPr>
          <w:rFonts w:eastAsia="Times New Roman"/>
          <w:b/>
          <w:bCs/>
          <w:lang w:val="uk-UA"/>
        </w:rPr>
      </w:pPr>
      <w:r w:rsidRPr="0024327D">
        <w:rPr>
          <w:rFonts w:eastAsia="Times New Roman"/>
          <w:b/>
          <w:bCs/>
          <w:lang w:val="uk-UA"/>
        </w:rPr>
        <w:t>Стан фінансових ринків</w:t>
      </w:r>
    </w:p>
    <w:p w14:paraId="44C1A210" w14:textId="04641239" w:rsidR="008E5688" w:rsidRPr="0024327D" w:rsidRDefault="008E5688" w:rsidP="008E5688">
      <w:pPr>
        <w:rPr>
          <w:rFonts w:eastAsia="Times New Roman"/>
          <w:lang w:val="uk-UA"/>
        </w:rPr>
      </w:pPr>
      <w:r w:rsidRPr="0024327D">
        <w:rPr>
          <w:rFonts w:eastAsia="Times New Roman"/>
          <w:lang w:val="uk-UA"/>
        </w:rPr>
        <w:t>На світовому рівні Україна має низький рейтинг з точки зору фінансової системи (</w:t>
      </w:r>
      <w:r w:rsidR="00655096" w:rsidRPr="0024327D">
        <w:rPr>
          <w:rFonts w:eastAsia="Times New Roman"/>
          <w:lang w:val="uk-UA"/>
        </w:rPr>
        <w:t>136</w:t>
      </w:r>
      <w:r w:rsidRPr="0024327D">
        <w:rPr>
          <w:rFonts w:eastAsia="Times New Roman"/>
          <w:lang w:val="uk-UA"/>
        </w:rPr>
        <w:t xml:space="preserve">-е місце із </w:t>
      </w:r>
      <w:r w:rsidR="00655096" w:rsidRPr="0024327D">
        <w:rPr>
          <w:rFonts w:eastAsia="Times New Roman"/>
          <w:lang w:val="uk-UA"/>
        </w:rPr>
        <w:t>141</w:t>
      </w:r>
      <w:r w:rsidRPr="0024327D">
        <w:rPr>
          <w:rFonts w:eastAsia="Times New Roman"/>
          <w:lang w:val="uk-UA"/>
        </w:rPr>
        <w:t xml:space="preserve">-ї країни </w:t>
      </w:r>
      <w:r w:rsidR="00683C79" w:rsidRPr="0024327D">
        <w:rPr>
          <w:rFonts w:eastAsia="Times New Roman"/>
          <w:lang w:val="uk-UA"/>
        </w:rPr>
        <w:t xml:space="preserve">відповідно до Звіту </w:t>
      </w:r>
      <w:r w:rsidRPr="0024327D">
        <w:rPr>
          <w:rFonts w:eastAsia="Times New Roman"/>
          <w:lang w:val="uk-UA"/>
        </w:rPr>
        <w:t>глобальної конкурентоспроможності Світового економічного форуму</w:t>
      </w:r>
      <w:r w:rsidR="00C77B55" w:rsidRPr="0024327D">
        <w:rPr>
          <w:rFonts w:eastAsia="Times New Roman"/>
          <w:lang w:val="uk-UA"/>
        </w:rPr>
        <w:t xml:space="preserve"> </w:t>
      </w:r>
      <w:r w:rsidR="0003127C" w:rsidRPr="0024327D">
        <w:rPr>
          <w:rFonts w:eastAsia="Times New Roman"/>
          <w:lang w:val="uk-UA"/>
        </w:rPr>
        <w:t xml:space="preserve">2019 року </w:t>
      </w:r>
      <w:r w:rsidR="00C77B55" w:rsidRPr="0024327D">
        <w:rPr>
          <w:rFonts w:eastAsia="Times New Roman"/>
          <w:lang w:val="uk-UA"/>
        </w:rPr>
        <w:t xml:space="preserve">(World Economic Forum </w:t>
      </w:r>
      <w:r w:rsidR="008742AB" w:rsidRPr="0024327D">
        <w:rPr>
          <w:rFonts w:eastAsia="Times New Roman"/>
          <w:lang w:val="uk-UA"/>
        </w:rPr>
        <w:t xml:space="preserve">2019 </w:t>
      </w:r>
      <w:r w:rsidR="00C77B55" w:rsidRPr="0024327D">
        <w:rPr>
          <w:rFonts w:eastAsia="Times New Roman"/>
          <w:lang w:val="uk-UA"/>
        </w:rPr>
        <w:t>Global Competitiveness</w:t>
      </w:r>
      <w:r w:rsidR="009D21ED" w:rsidRPr="0024327D">
        <w:rPr>
          <w:rFonts w:eastAsia="Times New Roman"/>
          <w:lang w:val="uk-UA"/>
        </w:rPr>
        <w:t xml:space="preserve"> </w:t>
      </w:r>
      <w:r w:rsidR="009D21ED" w:rsidRPr="0024327D">
        <w:rPr>
          <w:rFonts w:eastAsia="Times New Roman"/>
          <w:lang w:val="en-US"/>
        </w:rPr>
        <w:t>Report</w:t>
      </w:r>
      <w:r w:rsidR="00C77B55" w:rsidRPr="0024327D">
        <w:rPr>
          <w:rFonts w:eastAsia="Times New Roman"/>
          <w:lang w:val="uk-UA"/>
        </w:rPr>
        <w:t>)</w:t>
      </w:r>
      <w:r w:rsidRPr="0024327D">
        <w:rPr>
          <w:rFonts w:eastAsia="Times New Roman"/>
          <w:lang w:val="uk-UA"/>
        </w:rPr>
        <w:t xml:space="preserve">). </w:t>
      </w:r>
      <w:r w:rsidR="00CA6EA0" w:rsidRPr="0024327D">
        <w:rPr>
          <w:rFonts w:eastAsia="Times New Roman"/>
          <w:lang w:val="uk-UA"/>
        </w:rPr>
        <w:t>У</w:t>
      </w:r>
      <w:r w:rsidRPr="0024327D">
        <w:rPr>
          <w:rFonts w:eastAsia="Times New Roman"/>
          <w:lang w:val="uk-UA"/>
        </w:rPr>
        <w:t xml:space="preserve">спіх сек'юритизації та </w:t>
      </w:r>
      <w:r w:rsidR="00645A85" w:rsidRPr="0024327D">
        <w:rPr>
          <w:rFonts w:eastAsia="Times New Roman"/>
          <w:lang w:val="uk-UA"/>
        </w:rPr>
        <w:t>облігацій з покриттям</w:t>
      </w:r>
      <w:r w:rsidRPr="0024327D">
        <w:rPr>
          <w:rFonts w:eastAsia="Times New Roman"/>
          <w:lang w:val="uk-UA"/>
        </w:rPr>
        <w:t xml:space="preserve"> на українському ринку </w:t>
      </w:r>
      <w:r w:rsidR="00B82DD2" w:rsidRPr="0024327D">
        <w:rPr>
          <w:rFonts w:eastAsia="Times New Roman"/>
          <w:lang w:val="uk-UA"/>
        </w:rPr>
        <w:t xml:space="preserve">також </w:t>
      </w:r>
      <w:r w:rsidRPr="0024327D">
        <w:rPr>
          <w:rFonts w:eastAsia="Times New Roman"/>
          <w:lang w:val="uk-UA"/>
        </w:rPr>
        <w:t xml:space="preserve">істотно залежатиме від загального оновлення української фінансової системи, </w:t>
      </w:r>
      <w:r w:rsidR="00F742AF" w:rsidRPr="0024327D">
        <w:rPr>
          <w:rFonts w:eastAsia="Times New Roman"/>
          <w:lang w:val="uk-UA"/>
        </w:rPr>
        <w:t xml:space="preserve">особливо </w:t>
      </w:r>
      <w:r w:rsidRPr="0024327D">
        <w:rPr>
          <w:rFonts w:eastAsia="Times New Roman"/>
          <w:lang w:val="uk-UA"/>
        </w:rPr>
        <w:t xml:space="preserve">від </w:t>
      </w:r>
      <w:r w:rsidR="002E4DE4" w:rsidRPr="0024327D">
        <w:rPr>
          <w:rFonts w:eastAsia="Times New Roman"/>
          <w:lang w:val="uk-UA"/>
        </w:rPr>
        <w:t>проведення</w:t>
      </w:r>
      <w:r w:rsidRPr="0024327D">
        <w:rPr>
          <w:rFonts w:eastAsia="Times New Roman"/>
          <w:lang w:val="uk-UA"/>
        </w:rPr>
        <w:t xml:space="preserve"> численн</w:t>
      </w:r>
      <w:r w:rsidR="00A25DA9" w:rsidRPr="0024327D">
        <w:rPr>
          <w:rFonts w:eastAsia="Times New Roman"/>
          <w:lang w:val="uk-UA"/>
        </w:rPr>
        <w:t>их</w:t>
      </w:r>
      <w:r w:rsidRPr="0024327D">
        <w:rPr>
          <w:rFonts w:eastAsia="Times New Roman"/>
          <w:lang w:val="uk-UA"/>
        </w:rPr>
        <w:t xml:space="preserve"> реформ фінансового ринку. Зокрема, так</w:t>
      </w:r>
      <w:r w:rsidR="00F742AF" w:rsidRPr="0024327D">
        <w:rPr>
          <w:rFonts w:eastAsia="Times New Roman"/>
          <w:lang w:val="uk-UA"/>
        </w:rPr>
        <w:t>их</w:t>
      </w:r>
      <w:r w:rsidRPr="0024327D">
        <w:rPr>
          <w:rFonts w:eastAsia="Times New Roman"/>
          <w:lang w:val="uk-UA"/>
        </w:rPr>
        <w:t xml:space="preserve"> як модернізація українських норм та процедур примусового виконання, подальша лібералізація правил валютних операцій та</w:t>
      </w:r>
      <w:r w:rsidR="00E47B9D" w:rsidRPr="0024327D">
        <w:rPr>
          <w:rFonts w:eastAsia="Times New Roman"/>
          <w:lang w:val="uk-UA"/>
        </w:rPr>
        <w:t xml:space="preserve"> валютного контролю</w:t>
      </w:r>
      <w:r w:rsidRPr="0024327D">
        <w:rPr>
          <w:rFonts w:eastAsia="Times New Roman"/>
          <w:lang w:val="uk-UA"/>
        </w:rPr>
        <w:t xml:space="preserve">, посилення повноважень та незалежності українського регулятора </w:t>
      </w:r>
      <w:r w:rsidR="0022786D" w:rsidRPr="0024327D">
        <w:rPr>
          <w:rFonts w:eastAsia="Times New Roman"/>
          <w:lang w:val="uk-UA"/>
        </w:rPr>
        <w:t xml:space="preserve">  ринків капіталу</w:t>
      </w:r>
      <w:r w:rsidRPr="0024327D">
        <w:rPr>
          <w:rFonts w:eastAsia="Times New Roman"/>
          <w:lang w:val="uk-UA"/>
        </w:rPr>
        <w:t xml:space="preserve"> відповідно до стандартів Міжнародної організації комісій з цінних паперів</w:t>
      </w:r>
      <w:r w:rsidR="00CF003D" w:rsidRPr="0024327D">
        <w:rPr>
          <w:rFonts w:eastAsia="Times New Roman"/>
          <w:lang w:val="uk-UA"/>
        </w:rPr>
        <w:t xml:space="preserve"> (IOSCO)</w:t>
      </w:r>
      <w:r w:rsidRPr="0024327D">
        <w:rPr>
          <w:rFonts w:eastAsia="Times New Roman"/>
          <w:lang w:val="uk-UA"/>
        </w:rPr>
        <w:t xml:space="preserve">, </w:t>
      </w:r>
      <w:r w:rsidR="0072489C" w:rsidRPr="0024327D">
        <w:rPr>
          <w:rFonts w:eastAsia="Times New Roman"/>
          <w:lang w:val="uk-UA"/>
        </w:rPr>
        <w:t xml:space="preserve">покращення захисту </w:t>
      </w:r>
      <w:r w:rsidR="00FB50D9" w:rsidRPr="0024327D">
        <w:rPr>
          <w:rFonts w:eastAsia="Times New Roman"/>
          <w:lang w:val="uk-UA"/>
        </w:rPr>
        <w:t xml:space="preserve">прав кредиторів, </w:t>
      </w:r>
      <w:r w:rsidR="00B91C7C" w:rsidRPr="0024327D">
        <w:rPr>
          <w:rFonts w:eastAsia="Times New Roman"/>
          <w:lang w:val="uk-UA"/>
        </w:rPr>
        <w:t>імплементація норм ЄС під час переходу України до повноправного членства в ЄС, включаючи</w:t>
      </w:r>
      <w:r w:rsidR="00210E94" w:rsidRPr="0024327D">
        <w:rPr>
          <w:rFonts w:eastAsia="Times New Roman"/>
          <w:lang w:val="uk-UA"/>
        </w:rPr>
        <w:t>:</w:t>
      </w:r>
      <w:r w:rsidR="00B91C7C" w:rsidRPr="0024327D">
        <w:rPr>
          <w:rFonts w:eastAsia="Times New Roman"/>
          <w:lang w:val="uk-UA"/>
        </w:rPr>
        <w:t xml:space="preserve"> </w:t>
      </w:r>
      <w:r w:rsidR="002B5692" w:rsidRPr="0024327D">
        <w:rPr>
          <w:rFonts w:eastAsia="Times New Roman"/>
          <w:lang w:val="uk-UA"/>
        </w:rPr>
        <w:t>приведення законодавства у сфері інститутів</w:t>
      </w:r>
      <w:r w:rsidRPr="0024327D">
        <w:rPr>
          <w:rFonts w:eastAsia="Times New Roman"/>
          <w:lang w:val="uk-UA"/>
        </w:rPr>
        <w:t xml:space="preserve"> спільного інвестування </w:t>
      </w:r>
      <w:r w:rsidR="002B5692" w:rsidRPr="0024327D">
        <w:rPr>
          <w:rFonts w:eastAsia="Times New Roman"/>
          <w:lang w:val="uk-UA"/>
        </w:rPr>
        <w:t xml:space="preserve">у </w:t>
      </w:r>
      <w:r w:rsidR="00352095" w:rsidRPr="0024327D">
        <w:rPr>
          <w:rFonts w:eastAsia="Times New Roman"/>
          <w:lang w:val="uk-UA"/>
        </w:rPr>
        <w:t xml:space="preserve">відповідність до </w:t>
      </w:r>
      <w:r w:rsidR="00A92852" w:rsidRPr="0024327D">
        <w:rPr>
          <w:rFonts w:eastAsia="Times New Roman"/>
          <w:lang w:val="uk-UA"/>
        </w:rPr>
        <w:t xml:space="preserve">актів ЄС щодо </w:t>
      </w:r>
      <w:r w:rsidR="00352095" w:rsidRPr="0024327D">
        <w:rPr>
          <w:lang w:val="uk-UA"/>
        </w:rPr>
        <w:t>UCITS</w:t>
      </w:r>
      <w:r w:rsidR="00A92852" w:rsidRPr="0024327D">
        <w:rPr>
          <w:lang w:val="uk-UA"/>
        </w:rPr>
        <w:t xml:space="preserve"> та AIFM</w:t>
      </w:r>
      <w:r w:rsidRPr="0024327D">
        <w:rPr>
          <w:rFonts w:eastAsia="Times New Roman"/>
          <w:lang w:val="uk-UA"/>
        </w:rPr>
        <w:t>, запровадження другого рівня пенсійного забезпечення</w:t>
      </w:r>
      <w:r w:rsidR="001A48AF" w:rsidRPr="0024327D">
        <w:rPr>
          <w:rFonts w:eastAsia="Times New Roman"/>
          <w:lang w:val="uk-UA"/>
        </w:rPr>
        <w:t xml:space="preserve">, </w:t>
      </w:r>
      <w:r w:rsidR="00193359" w:rsidRPr="0024327D">
        <w:rPr>
          <w:rFonts w:eastAsia="Times New Roman"/>
          <w:lang w:val="uk-UA"/>
        </w:rPr>
        <w:t xml:space="preserve">імплементацію </w:t>
      </w:r>
      <w:r w:rsidRPr="0024327D">
        <w:rPr>
          <w:rFonts w:eastAsia="Times New Roman"/>
          <w:lang w:val="uk-UA"/>
        </w:rPr>
        <w:t xml:space="preserve">європейських норм </w:t>
      </w:r>
      <w:r w:rsidR="0034187E" w:rsidRPr="0024327D">
        <w:rPr>
          <w:rFonts w:eastAsia="Times New Roman"/>
          <w:lang w:val="uk-UA"/>
        </w:rPr>
        <w:t xml:space="preserve">щодо </w:t>
      </w:r>
      <w:r w:rsidRPr="0024327D">
        <w:rPr>
          <w:rFonts w:eastAsia="Times New Roman"/>
          <w:lang w:val="uk-UA"/>
        </w:rPr>
        <w:t>запобігання зловживання</w:t>
      </w:r>
      <w:r w:rsidR="0034187E" w:rsidRPr="0024327D">
        <w:rPr>
          <w:rFonts w:eastAsia="Times New Roman"/>
          <w:lang w:val="uk-UA"/>
        </w:rPr>
        <w:t xml:space="preserve">м </w:t>
      </w:r>
      <w:r w:rsidRPr="0024327D">
        <w:rPr>
          <w:rFonts w:eastAsia="Times New Roman"/>
          <w:lang w:val="uk-UA"/>
        </w:rPr>
        <w:t>на ринку тощо.</w:t>
      </w:r>
    </w:p>
    <w:p w14:paraId="5373086B" w14:textId="67F32B17" w:rsidR="008E5688" w:rsidRPr="0024327D" w:rsidRDefault="008E5688" w:rsidP="008E5688">
      <w:pPr>
        <w:rPr>
          <w:lang w:val="uk-UA"/>
        </w:rPr>
      </w:pPr>
      <w:r w:rsidRPr="0024327D">
        <w:rPr>
          <w:lang w:val="uk-UA"/>
        </w:rPr>
        <w:t xml:space="preserve">Іншим важливим питанням для України є дефіцит доступних інструментів хеджування ризиків, зокрема, </w:t>
      </w:r>
      <w:r w:rsidR="0022786D" w:rsidRPr="0024327D">
        <w:rPr>
          <w:lang w:val="uk-UA"/>
        </w:rPr>
        <w:t xml:space="preserve">оскільки </w:t>
      </w:r>
      <w:r w:rsidRPr="0024327D">
        <w:rPr>
          <w:lang w:val="uk-UA"/>
        </w:rPr>
        <w:t>ринок дериватив</w:t>
      </w:r>
      <w:r w:rsidR="0022786D" w:rsidRPr="0024327D">
        <w:rPr>
          <w:lang w:val="uk-UA"/>
        </w:rPr>
        <w:t xml:space="preserve">них </w:t>
      </w:r>
      <w:r w:rsidR="001846F5" w:rsidRPr="0024327D">
        <w:rPr>
          <w:lang w:val="uk-UA"/>
        </w:rPr>
        <w:t xml:space="preserve">фінансових інструментів </w:t>
      </w:r>
      <w:r w:rsidR="0022786D" w:rsidRPr="0024327D">
        <w:rPr>
          <w:lang w:val="uk-UA"/>
        </w:rPr>
        <w:t>поки що недостатньо розвинений</w:t>
      </w:r>
      <w:r w:rsidRPr="0024327D">
        <w:rPr>
          <w:lang w:val="uk-UA"/>
        </w:rPr>
        <w:t xml:space="preserve">. Оскільки житлові іпотечні кредити в Україні в даний час надаються лише в національній валюті (через законодавчу заборону на надання позик фізичним особам в іноземній валюті), засоби хеджування валютних ризиків матимуть вирішальне значення для іноземних інвесторів для розгляду </w:t>
      </w:r>
      <w:r w:rsidR="00645A85" w:rsidRPr="0024327D">
        <w:rPr>
          <w:lang w:val="uk-UA"/>
        </w:rPr>
        <w:t>облігацій з покриттям</w:t>
      </w:r>
      <w:r w:rsidRPr="0024327D">
        <w:rPr>
          <w:lang w:val="uk-UA"/>
        </w:rPr>
        <w:t xml:space="preserve">, забезпечених такими житловими іпотечними кредитами. </w:t>
      </w:r>
      <w:r w:rsidR="004E1503" w:rsidRPr="0024327D">
        <w:rPr>
          <w:lang w:val="uk-UA"/>
        </w:rPr>
        <w:t>Нещодавне запровадження детального законодавчого регулювання дериватив</w:t>
      </w:r>
      <w:r w:rsidR="0022786D" w:rsidRPr="0024327D">
        <w:rPr>
          <w:lang w:val="uk-UA"/>
        </w:rPr>
        <w:t xml:space="preserve">них </w:t>
      </w:r>
      <w:r w:rsidR="001846F5" w:rsidRPr="0024327D">
        <w:rPr>
          <w:lang w:val="uk-UA"/>
        </w:rPr>
        <w:t xml:space="preserve"> фінансових інструментів </w:t>
      </w:r>
      <w:r w:rsidR="004E1503" w:rsidRPr="0024327D">
        <w:rPr>
          <w:lang w:val="uk-UA"/>
        </w:rPr>
        <w:t xml:space="preserve">в Україні має надати більш </w:t>
      </w:r>
      <w:r w:rsidR="0022786D" w:rsidRPr="0024327D">
        <w:rPr>
          <w:lang w:val="uk-UA"/>
        </w:rPr>
        <w:t>ґрунтовну</w:t>
      </w:r>
      <w:r w:rsidR="004E1503" w:rsidRPr="0024327D">
        <w:rPr>
          <w:lang w:val="uk-UA"/>
        </w:rPr>
        <w:t xml:space="preserve"> базу для використання дериватив</w:t>
      </w:r>
      <w:r w:rsidR="0022786D" w:rsidRPr="0024327D">
        <w:rPr>
          <w:lang w:val="uk-UA"/>
        </w:rPr>
        <w:t xml:space="preserve">них </w:t>
      </w:r>
      <w:r w:rsidR="001846F5" w:rsidRPr="0024327D">
        <w:rPr>
          <w:lang w:val="uk-UA"/>
        </w:rPr>
        <w:t xml:space="preserve"> фінансових інструментів</w:t>
      </w:r>
      <w:r w:rsidR="004E1503" w:rsidRPr="0024327D">
        <w:rPr>
          <w:lang w:val="uk-UA"/>
        </w:rPr>
        <w:t xml:space="preserve"> та </w:t>
      </w:r>
      <w:r w:rsidR="00CE44D3" w:rsidRPr="0024327D">
        <w:rPr>
          <w:lang w:val="uk-UA"/>
        </w:rPr>
        <w:t>сприяти їх застосуванню в структурах сек’юритизації та облігацій з покриттям.</w:t>
      </w:r>
    </w:p>
    <w:p w14:paraId="7F16CB15" w14:textId="79953D51" w:rsidR="008E5688" w:rsidRPr="0024327D" w:rsidRDefault="008E568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83" w:name="_Toc95481027"/>
      <w:r w:rsidRPr="0024327D">
        <w:rPr>
          <w:rFonts w:eastAsiaTheme="majorEastAsia" w:cstheme="majorBidi"/>
          <w:color w:val="2E74B5" w:themeColor="accent1" w:themeShade="BF"/>
          <w:sz w:val="28"/>
          <w:szCs w:val="28"/>
          <w:lang w:val="uk-UA"/>
        </w:rPr>
        <w:t xml:space="preserve">Перспективи сек'юритизації та </w:t>
      </w:r>
      <w:r w:rsidR="00645A85" w:rsidRPr="0024327D">
        <w:rPr>
          <w:rFonts w:eastAsiaTheme="majorEastAsia" w:cstheme="majorBidi"/>
          <w:color w:val="2E74B5" w:themeColor="accent1" w:themeShade="BF"/>
          <w:sz w:val="28"/>
          <w:szCs w:val="28"/>
          <w:lang w:val="uk-UA"/>
        </w:rPr>
        <w:t>облігацій з покриттям</w:t>
      </w:r>
      <w:r w:rsidRPr="0024327D">
        <w:rPr>
          <w:rFonts w:eastAsiaTheme="majorEastAsia" w:cstheme="majorBidi"/>
          <w:color w:val="2E74B5" w:themeColor="accent1" w:themeShade="BF"/>
          <w:sz w:val="28"/>
          <w:szCs w:val="28"/>
          <w:lang w:val="uk-UA"/>
        </w:rPr>
        <w:t xml:space="preserve"> в Україні на думку учасників ринку</w:t>
      </w:r>
      <w:bookmarkEnd w:id="183"/>
    </w:p>
    <w:p w14:paraId="2879D925" w14:textId="0CD666DA" w:rsidR="008E5688" w:rsidRPr="0024327D" w:rsidRDefault="008E5688" w:rsidP="008E5688">
      <w:pPr>
        <w:rPr>
          <w:rFonts w:eastAsia="Times New Roman"/>
          <w:lang w:val="uk-UA"/>
        </w:rPr>
      </w:pPr>
      <w:r w:rsidRPr="0024327D">
        <w:rPr>
          <w:rFonts w:eastAsia="Times New Roman"/>
          <w:lang w:val="uk-UA"/>
        </w:rPr>
        <w:t xml:space="preserve">Щоб зрозуміти </w:t>
      </w:r>
      <w:r w:rsidR="00C7532E" w:rsidRPr="0024327D">
        <w:rPr>
          <w:rFonts w:eastAsia="Times New Roman"/>
          <w:lang w:val="uk-UA"/>
        </w:rPr>
        <w:t xml:space="preserve">погляди </w:t>
      </w:r>
      <w:r w:rsidR="00A92852" w:rsidRPr="0024327D">
        <w:rPr>
          <w:rFonts w:eastAsia="Times New Roman"/>
          <w:lang w:val="uk-UA"/>
        </w:rPr>
        <w:t>державних органів</w:t>
      </w:r>
      <w:r w:rsidRPr="0024327D">
        <w:rPr>
          <w:rFonts w:eastAsia="Times New Roman"/>
          <w:lang w:val="uk-UA"/>
        </w:rPr>
        <w:t xml:space="preserve"> та учасників ринку щодо перспектив сек'юритизації та </w:t>
      </w:r>
      <w:r w:rsidR="00645A85" w:rsidRPr="0024327D">
        <w:rPr>
          <w:rFonts w:eastAsia="Times New Roman"/>
          <w:lang w:val="uk-UA"/>
        </w:rPr>
        <w:t>облігацій з покриттям</w:t>
      </w:r>
      <w:r w:rsidRPr="0024327D">
        <w:rPr>
          <w:rFonts w:eastAsia="Times New Roman"/>
          <w:lang w:val="uk-UA"/>
        </w:rPr>
        <w:t xml:space="preserve"> на українському ринку, команда ЄБРР з сек'юритизації провела ряд зустрічей, зміст яких коротко викладений нижче. </w:t>
      </w:r>
      <w:r w:rsidR="00B4179A" w:rsidRPr="0024327D">
        <w:rPr>
          <w:rFonts w:eastAsia="Times New Roman"/>
          <w:lang w:val="uk-UA"/>
        </w:rPr>
        <w:t>Крім того, попередні про</w:t>
      </w:r>
      <w:r w:rsidR="00A92852" w:rsidRPr="0024327D">
        <w:rPr>
          <w:rFonts w:eastAsia="Times New Roman"/>
          <w:lang w:val="uk-UA"/>
        </w:rPr>
        <w:t>є</w:t>
      </w:r>
      <w:r w:rsidR="00B4179A" w:rsidRPr="0024327D">
        <w:rPr>
          <w:rFonts w:eastAsia="Times New Roman"/>
          <w:lang w:val="uk-UA"/>
        </w:rPr>
        <w:t xml:space="preserve">кти </w:t>
      </w:r>
      <w:r w:rsidR="00727725" w:rsidRPr="0024327D">
        <w:rPr>
          <w:rFonts w:eastAsia="Times New Roman"/>
          <w:lang w:val="uk-UA"/>
        </w:rPr>
        <w:t>К</w:t>
      </w:r>
      <w:r w:rsidR="00B4179A" w:rsidRPr="0024327D">
        <w:rPr>
          <w:rFonts w:eastAsia="Times New Roman"/>
          <w:lang w:val="uk-UA"/>
        </w:rPr>
        <w:t xml:space="preserve">онцепції були обговорені </w:t>
      </w:r>
      <w:r w:rsidR="00A92852" w:rsidRPr="0024327D">
        <w:rPr>
          <w:rFonts w:eastAsia="Times New Roman"/>
          <w:lang w:val="uk-UA"/>
        </w:rPr>
        <w:t>також з</w:t>
      </w:r>
      <w:r w:rsidR="00B4179A" w:rsidRPr="0024327D">
        <w:rPr>
          <w:rFonts w:eastAsia="Times New Roman"/>
          <w:lang w:val="uk-UA"/>
        </w:rPr>
        <w:t xml:space="preserve"> НБУ та ФГВФО. </w:t>
      </w:r>
      <w:r w:rsidRPr="0024327D">
        <w:rPr>
          <w:rFonts w:eastAsia="Times New Roman"/>
          <w:lang w:val="uk-UA"/>
        </w:rPr>
        <w:t xml:space="preserve">Як правило, </w:t>
      </w:r>
      <w:r w:rsidR="00A92852" w:rsidRPr="0024327D">
        <w:rPr>
          <w:rFonts w:eastAsia="Times New Roman"/>
          <w:lang w:val="uk-UA"/>
        </w:rPr>
        <w:t xml:space="preserve">вітчизняні державні органи </w:t>
      </w:r>
      <w:r w:rsidRPr="0024327D">
        <w:rPr>
          <w:rFonts w:eastAsia="Times New Roman"/>
          <w:lang w:val="uk-UA"/>
        </w:rPr>
        <w:t xml:space="preserve">та учасники ринку </w:t>
      </w:r>
      <w:r w:rsidR="00407F1E" w:rsidRPr="0024327D">
        <w:rPr>
          <w:rFonts w:eastAsia="Times New Roman"/>
          <w:lang w:val="uk-UA"/>
        </w:rPr>
        <w:t xml:space="preserve">позитивно оцінюють можливість запровадження облігацій, </w:t>
      </w:r>
      <w:r w:rsidR="00CC23FD" w:rsidRPr="0024327D">
        <w:rPr>
          <w:rFonts w:eastAsia="Times New Roman"/>
          <w:lang w:val="uk-UA"/>
        </w:rPr>
        <w:t>забезпечених активами,</w:t>
      </w:r>
      <w:r w:rsidR="005C1460" w:rsidRPr="0024327D">
        <w:rPr>
          <w:rFonts w:eastAsia="Times New Roman"/>
          <w:lang w:val="uk-UA"/>
        </w:rPr>
        <w:t xml:space="preserve"> </w:t>
      </w:r>
      <w:r w:rsidR="009464ED" w:rsidRPr="0024327D">
        <w:rPr>
          <w:rFonts w:eastAsia="Times New Roman"/>
          <w:lang w:val="uk-UA"/>
        </w:rPr>
        <w:t>у</w:t>
      </w:r>
      <w:r w:rsidR="00CC23FD" w:rsidRPr="0024327D">
        <w:rPr>
          <w:rFonts w:eastAsia="Times New Roman"/>
          <w:lang w:val="uk-UA"/>
        </w:rPr>
        <w:t xml:space="preserve"> </w:t>
      </w:r>
      <w:r w:rsidRPr="0024327D">
        <w:rPr>
          <w:rFonts w:eastAsia="Times New Roman"/>
          <w:lang w:val="uk-UA"/>
        </w:rPr>
        <w:t xml:space="preserve">довгостроковій перспективі, однак </w:t>
      </w:r>
      <w:r w:rsidR="00DD1476" w:rsidRPr="0024327D">
        <w:rPr>
          <w:rFonts w:eastAsia="Times New Roman"/>
          <w:lang w:val="uk-UA"/>
        </w:rPr>
        <w:t xml:space="preserve">деякі з опитаних були стурбовані тим, </w:t>
      </w:r>
      <w:r w:rsidRPr="0024327D">
        <w:rPr>
          <w:rFonts w:eastAsia="Times New Roman"/>
          <w:lang w:val="uk-UA"/>
        </w:rPr>
        <w:t xml:space="preserve">що сек'юритизація та </w:t>
      </w:r>
      <w:r w:rsidR="00FB118B" w:rsidRPr="0024327D">
        <w:rPr>
          <w:rFonts w:eastAsia="Times New Roman"/>
          <w:lang w:val="uk-UA"/>
        </w:rPr>
        <w:t>облігації з покриттям</w:t>
      </w:r>
      <w:r w:rsidRPr="0024327D">
        <w:rPr>
          <w:rFonts w:eastAsia="Times New Roman"/>
          <w:lang w:val="uk-UA"/>
        </w:rPr>
        <w:t xml:space="preserve"> можуть бути нежиттєздатними</w:t>
      </w:r>
      <w:r w:rsidR="000F39E4" w:rsidRPr="0024327D">
        <w:rPr>
          <w:rFonts w:eastAsia="Times New Roman"/>
          <w:lang w:val="uk-UA"/>
        </w:rPr>
        <w:t xml:space="preserve"> у </w:t>
      </w:r>
      <w:r w:rsidR="00877359" w:rsidRPr="0024327D">
        <w:rPr>
          <w:rFonts w:eastAsia="Times New Roman"/>
          <w:lang w:val="uk-UA"/>
        </w:rPr>
        <w:t>короткостроковій та середньостроковій перспективі</w:t>
      </w:r>
      <w:r w:rsidRPr="0024327D">
        <w:rPr>
          <w:rFonts w:eastAsia="Times New Roman"/>
          <w:lang w:val="uk-UA"/>
        </w:rPr>
        <w:t>.</w:t>
      </w:r>
    </w:p>
    <w:p w14:paraId="658C254C" w14:textId="77777777" w:rsidR="008E5688" w:rsidRPr="0024327D" w:rsidRDefault="008E5688" w:rsidP="008E5688">
      <w:pPr>
        <w:rPr>
          <w:rFonts w:eastAsia="Times New Roman"/>
          <w:b/>
          <w:lang w:val="uk-UA"/>
        </w:rPr>
      </w:pPr>
      <w:r w:rsidRPr="0024327D">
        <w:rPr>
          <w:rFonts w:eastAsia="Times New Roman"/>
          <w:b/>
          <w:lang w:val="uk-UA"/>
        </w:rPr>
        <w:t>Нормативна база</w:t>
      </w:r>
    </w:p>
    <w:p w14:paraId="4C7FD20A" w14:textId="39C762E1" w:rsidR="008E5688" w:rsidRPr="0024327D" w:rsidRDefault="008E5688" w:rsidP="008E5688">
      <w:pPr>
        <w:rPr>
          <w:rFonts w:eastAsia="Times New Roman"/>
          <w:lang w:val="uk-UA"/>
        </w:rPr>
      </w:pPr>
      <w:r w:rsidRPr="0024327D">
        <w:rPr>
          <w:rFonts w:eastAsia="Times New Roman"/>
          <w:lang w:val="uk-UA"/>
        </w:rPr>
        <w:t xml:space="preserve">Учасники ринку та </w:t>
      </w:r>
      <w:r w:rsidR="00384448" w:rsidRPr="0024327D">
        <w:rPr>
          <w:rFonts w:eastAsia="Times New Roman"/>
          <w:lang w:val="uk-UA"/>
        </w:rPr>
        <w:t xml:space="preserve">державні органи </w:t>
      </w:r>
      <w:r w:rsidRPr="0024327D">
        <w:rPr>
          <w:rFonts w:eastAsia="Times New Roman"/>
          <w:lang w:val="uk-UA"/>
        </w:rPr>
        <w:t xml:space="preserve">підтвердили, що </w:t>
      </w:r>
      <w:r w:rsidR="00CC23FD" w:rsidRPr="0024327D">
        <w:rPr>
          <w:rFonts w:eastAsia="Times New Roman"/>
          <w:lang w:val="uk-UA"/>
        </w:rPr>
        <w:t xml:space="preserve">наявна </w:t>
      </w:r>
      <w:r w:rsidRPr="0024327D">
        <w:rPr>
          <w:rFonts w:eastAsia="Times New Roman"/>
          <w:lang w:val="uk-UA"/>
        </w:rPr>
        <w:t xml:space="preserve">законодавча база щодо іпотечних цінних паперів майже не використовувалась, залишалася досить неякісною та потребувала суттєвого оновлення, а щодо інших цінних паперів, забезпечених активами, взагалі не існувало жодної нормативної бази. У той же час вони висловили зацікавленість у використанні системи сек'юритизації та </w:t>
      </w:r>
      <w:r w:rsidR="00645A85" w:rsidRPr="0024327D">
        <w:rPr>
          <w:rFonts w:eastAsia="Times New Roman"/>
          <w:lang w:val="uk-UA"/>
        </w:rPr>
        <w:t>облігацій з покриттям</w:t>
      </w:r>
      <w:r w:rsidRPr="0024327D">
        <w:rPr>
          <w:rFonts w:eastAsia="Times New Roman"/>
          <w:lang w:val="uk-UA"/>
        </w:rPr>
        <w:t xml:space="preserve">, </w:t>
      </w:r>
      <w:r w:rsidR="00156EAF" w:rsidRPr="0024327D">
        <w:rPr>
          <w:rFonts w:eastAsia="Times New Roman"/>
          <w:lang w:val="uk-UA"/>
        </w:rPr>
        <w:t xml:space="preserve">якщо вона буде узгоджена </w:t>
      </w:r>
      <w:r w:rsidRPr="0024327D">
        <w:rPr>
          <w:rFonts w:eastAsia="Times New Roman"/>
          <w:lang w:val="uk-UA"/>
        </w:rPr>
        <w:t xml:space="preserve">з міжнародною практикою. </w:t>
      </w:r>
      <w:r w:rsidR="00AD6280" w:rsidRPr="0024327D">
        <w:rPr>
          <w:rFonts w:eastAsia="Times New Roman"/>
          <w:lang w:val="uk-UA"/>
        </w:rPr>
        <w:t xml:space="preserve">При </w:t>
      </w:r>
      <w:r w:rsidR="00AD6280" w:rsidRPr="0024327D">
        <w:rPr>
          <w:rFonts w:eastAsia="Times New Roman"/>
          <w:lang w:val="uk-UA"/>
        </w:rPr>
        <w:lastRenderedPageBreak/>
        <w:t>цьому зазначалось, що т</w:t>
      </w:r>
      <w:r w:rsidRPr="0024327D">
        <w:rPr>
          <w:rFonts w:eastAsia="Times New Roman"/>
          <w:lang w:val="uk-UA"/>
        </w:rPr>
        <w:t xml:space="preserve">ака нормативна база повинна охоплювати три ключові механізми перетворення активів в облігації: (i) звичайна сек'юритизація, (ii) </w:t>
      </w:r>
      <w:r w:rsidR="00A43BEF" w:rsidRPr="0024327D">
        <w:rPr>
          <w:rFonts w:eastAsia="Times New Roman"/>
          <w:lang w:val="uk-UA"/>
        </w:rPr>
        <w:t>"</w:t>
      </w:r>
      <w:r w:rsidRPr="0024327D">
        <w:rPr>
          <w:rFonts w:eastAsia="Times New Roman"/>
          <w:lang w:val="uk-UA"/>
        </w:rPr>
        <w:t>проста, прозора та стандартизована сек'юритизація</w:t>
      </w:r>
      <w:r w:rsidR="00A43BEF" w:rsidRPr="0024327D">
        <w:rPr>
          <w:rFonts w:eastAsia="Times New Roman"/>
          <w:lang w:val="uk-UA"/>
        </w:rPr>
        <w:t>"</w:t>
      </w:r>
      <w:r w:rsidRPr="0024327D">
        <w:rPr>
          <w:rFonts w:eastAsia="Times New Roman"/>
          <w:lang w:val="uk-UA"/>
        </w:rPr>
        <w:t xml:space="preserve"> та (iii) </w:t>
      </w:r>
      <w:r w:rsidR="00FB118B" w:rsidRPr="0024327D">
        <w:rPr>
          <w:rFonts w:eastAsia="Times New Roman"/>
          <w:lang w:val="uk-UA"/>
        </w:rPr>
        <w:t>облігації з покриттям</w:t>
      </w:r>
      <w:r w:rsidRPr="0024327D">
        <w:rPr>
          <w:rFonts w:eastAsia="Times New Roman"/>
          <w:lang w:val="uk-UA"/>
        </w:rPr>
        <w:t>.</w:t>
      </w:r>
    </w:p>
    <w:p w14:paraId="5EA9A605" w14:textId="4975426C" w:rsidR="008E5688" w:rsidRPr="0024327D" w:rsidRDefault="008E5688" w:rsidP="008E5688">
      <w:pPr>
        <w:rPr>
          <w:rFonts w:eastAsia="Times New Roman"/>
          <w:lang w:val="uk-UA"/>
        </w:rPr>
      </w:pPr>
      <w:r w:rsidRPr="0024327D">
        <w:rPr>
          <w:rFonts w:eastAsia="Times New Roman"/>
          <w:lang w:val="uk-UA"/>
        </w:rPr>
        <w:t xml:space="preserve">Деякі учасники ринку детальніше обговорювали нормативну базу та вносили конкретні пропозиції. </w:t>
      </w:r>
      <w:r w:rsidR="00CC2015" w:rsidRPr="0024327D">
        <w:rPr>
          <w:rFonts w:eastAsia="Times New Roman"/>
          <w:lang w:val="uk-UA"/>
        </w:rPr>
        <w:t xml:space="preserve">Агентство по рефінансуванню житлових кредитів </w:t>
      </w:r>
      <w:r w:rsidRPr="0024327D">
        <w:rPr>
          <w:rFonts w:eastAsia="Times New Roman"/>
          <w:lang w:val="uk-UA"/>
        </w:rPr>
        <w:t xml:space="preserve">заявило, що найважливішими елементами для них є ефективне відокремлення активів, швидкий доступ до них у разі неплатоспроможності та наявність </w:t>
      </w:r>
      <w:r w:rsidR="00C61723" w:rsidRPr="0024327D">
        <w:rPr>
          <w:rFonts w:eastAsia="Times New Roman"/>
          <w:lang w:val="uk-UA"/>
        </w:rPr>
        <w:t xml:space="preserve">надлишкового </w:t>
      </w:r>
      <w:r w:rsidRPr="0024327D">
        <w:rPr>
          <w:rFonts w:eastAsia="Times New Roman"/>
          <w:lang w:val="uk-UA"/>
        </w:rPr>
        <w:t xml:space="preserve">забезпечення в якості механізму зниження кредитного ризику. Український союз орендодавців та VAB Leasing повідомили </w:t>
      </w:r>
      <w:r w:rsidR="00C61723" w:rsidRPr="0024327D">
        <w:rPr>
          <w:rFonts w:eastAsia="Times New Roman"/>
          <w:lang w:val="uk-UA"/>
        </w:rPr>
        <w:t xml:space="preserve">команду </w:t>
      </w:r>
      <w:r w:rsidRPr="0024327D">
        <w:rPr>
          <w:rFonts w:eastAsia="Times New Roman"/>
          <w:lang w:val="uk-UA"/>
        </w:rPr>
        <w:t>ЄБРР з питань сек'юритизації, що передача платежів за лізинг транспортних засобів вимагатиме значних зусиль, оскільки, наприклад, кожен транспортний засіб потрібно буде перереєструвати в українських органах поліції. Українська спілка орендодавців та VAB Leasing спеціально попросили зменшити такі формальності щодо передачі.</w:t>
      </w:r>
    </w:p>
    <w:p w14:paraId="60574C29" w14:textId="5EA1531D" w:rsidR="008E5688" w:rsidRPr="0024327D" w:rsidRDefault="008E5688" w:rsidP="008E5688">
      <w:pPr>
        <w:rPr>
          <w:rFonts w:eastAsia="Times New Roman"/>
          <w:lang w:val="uk-UA"/>
        </w:rPr>
      </w:pPr>
      <w:r w:rsidRPr="0024327D">
        <w:rPr>
          <w:rFonts w:eastAsia="Times New Roman"/>
          <w:lang w:val="uk-UA"/>
        </w:rPr>
        <w:t xml:space="preserve">Citibank Ukraine також наголосив на важливості завершення поточних реформ, оскільки вони були б дуже корисними для нормативної бази, що регулює сек'юритизацію та </w:t>
      </w:r>
      <w:r w:rsidR="00FB118B" w:rsidRPr="0024327D">
        <w:rPr>
          <w:rFonts w:eastAsia="Times New Roman"/>
          <w:lang w:val="uk-UA"/>
        </w:rPr>
        <w:t>облігації з покриттям</w:t>
      </w:r>
      <w:r w:rsidRPr="0024327D">
        <w:rPr>
          <w:rFonts w:eastAsia="Times New Roman"/>
          <w:lang w:val="uk-UA"/>
        </w:rPr>
        <w:t>. Зокрема, Citibank Ukraine згадав про реформу ринку</w:t>
      </w:r>
      <w:r w:rsidR="001846F5" w:rsidRPr="0024327D">
        <w:rPr>
          <w:rFonts w:eastAsia="Times New Roman"/>
          <w:lang w:val="uk-UA"/>
        </w:rPr>
        <w:t xml:space="preserve"> деривативних фінансових інструментів</w:t>
      </w:r>
      <w:r w:rsidRPr="0024327D">
        <w:rPr>
          <w:rFonts w:eastAsia="Times New Roman"/>
          <w:lang w:val="uk-UA"/>
        </w:rPr>
        <w:t xml:space="preserve"> та валютну реформу </w:t>
      </w:r>
      <w:r w:rsidR="00553E25" w:rsidRPr="0024327D">
        <w:rPr>
          <w:rFonts w:eastAsia="Times New Roman"/>
          <w:lang w:val="uk-UA"/>
        </w:rPr>
        <w:t>(які ще не були запроваджені на той час, але запроваджені на даний момент)</w:t>
      </w:r>
      <w:r w:rsidRPr="0024327D">
        <w:rPr>
          <w:rFonts w:eastAsia="Times New Roman"/>
          <w:lang w:val="uk-UA"/>
        </w:rPr>
        <w:t>, як такі що можуть сприяти збільшенню доступності валютних свопів та інших можливостей хеджування валютних ризиків.</w:t>
      </w:r>
    </w:p>
    <w:p w14:paraId="10119BDC" w14:textId="77777777" w:rsidR="008E5688" w:rsidRPr="0024327D" w:rsidRDefault="008E5688" w:rsidP="008E5688">
      <w:pPr>
        <w:rPr>
          <w:rFonts w:eastAsia="Times New Roman"/>
          <w:b/>
          <w:lang w:val="uk-UA"/>
        </w:rPr>
      </w:pPr>
      <w:r w:rsidRPr="0024327D">
        <w:rPr>
          <w:rFonts w:eastAsia="Times New Roman"/>
          <w:b/>
          <w:lang w:val="uk-UA"/>
        </w:rPr>
        <w:t>Активи</w:t>
      </w:r>
    </w:p>
    <w:p w14:paraId="0E950E08" w14:textId="1CDB1A2D" w:rsidR="008E5688" w:rsidRPr="0024327D" w:rsidRDefault="002759EF" w:rsidP="008E5688">
      <w:pPr>
        <w:rPr>
          <w:rFonts w:eastAsia="Times New Roman"/>
          <w:lang w:val="uk-UA"/>
        </w:rPr>
      </w:pPr>
      <w:r w:rsidRPr="0024327D">
        <w:rPr>
          <w:rFonts w:eastAsia="Times New Roman"/>
          <w:lang w:val="uk-UA"/>
        </w:rPr>
        <w:t xml:space="preserve">На думку представників </w:t>
      </w:r>
      <w:r w:rsidR="008E5688" w:rsidRPr="0024327D">
        <w:rPr>
          <w:rFonts w:eastAsia="Times New Roman"/>
          <w:lang w:val="uk-UA"/>
        </w:rPr>
        <w:t>про</w:t>
      </w:r>
      <w:r w:rsidR="005312A7" w:rsidRPr="0024327D">
        <w:rPr>
          <w:rFonts w:eastAsia="Times New Roman"/>
          <w:lang w:val="uk-UA"/>
        </w:rPr>
        <w:t>є</w:t>
      </w:r>
      <w:r w:rsidR="008E5688" w:rsidRPr="0024327D">
        <w:rPr>
          <w:rFonts w:eastAsia="Times New Roman"/>
          <w:lang w:val="uk-UA"/>
        </w:rPr>
        <w:t xml:space="preserve">кту USAID </w:t>
      </w:r>
      <w:r w:rsidR="00465D35" w:rsidRPr="0024327D">
        <w:rPr>
          <w:lang w:val="uk-UA"/>
        </w:rPr>
        <w:t>“</w:t>
      </w:r>
      <w:r w:rsidR="00465D35" w:rsidRPr="0024327D">
        <w:rPr>
          <w:rFonts w:eastAsia="Times New Roman"/>
          <w:lang w:val="uk-UA"/>
        </w:rPr>
        <w:t>Трансформація фінансового сектору</w:t>
      </w:r>
      <w:r w:rsidR="00465D35" w:rsidRPr="0024327D">
        <w:rPr>
          <w:lang w:val="uk-UA"/>
        </w:rPr>
        <w:t>”</w:t>
      </w:r>
      <w:r w:rsidR="008E5688" w:rsidRPr="0024327D">
        <w:rPr>
          <w:rFonts w:eastAsia="Times New Roman"/>
          <w:lang w:val="uk-UA"/>
        </w:rPr>
        <w:t xml:space="preserve">, життєздатність сек'юритизації більшості класів активів в Україні буде обмежена </w:t>
      </w:r>
      <w:r w:rsidRPr="0024327D">
        <w:rPr>
          <w:rFonts w:eastAsia="Times New Roman"/>
          <w:lang w:val="uk-UA"/>
        </w:rPr>
        <w:t xml:space="preserve">через </w:t>
      </w:r>
      <w:r w:rsidR="008E5688" w:rsidRPr="0024327D">
        <w:rPr>
          <w:rFonts w:eastAsia="Times New Roman"/>
          <w:lang w:val="uk-UA"/>
        </w:rPr>
        <w:t>проблеми, пов'язан</w:t>
      </w:r>
      <w:r w:rsidRPr="0024327D">
        <w:rPr>
          <w:rFonts w:eastAsia="Times New Roman"/>
          <w:lang w:val="uk-UA"/>
        </w:rPr>
        <w:t>і</w:t>
      </w:r>
      <w:r w:rsidR="008E5688" w:rsidRPr="0024327D">
        <w:rPr>
          <w:rFonts w:eastAsia="Times New Roman"/>
          <w:lang w:val="uk-UA"/>
        </w:rPr>
        <w:t xml:space="preserve"> з доступністю інформації, стандартизацією документації, однорідністю пулу активів та </w:t>
      </w:r>
      <w:r w:rsidR="00E6030D" w:rsidRPr="0024327D">
        <w:rPr>
          <w:rFonts w:eastAsia="Times New Roman"/>
          <w:lang w:val="uk-UA"/>
        </w:rPr>
        <w:t>дрібними</w:t>
      </w:r>
      <w:r w:rsidR="008A1F99" w:rsidRPr="0024327D">
        <w:rPr>
          <w:rFonts w:eastAsia="Times New Roman"/>
          <w:lang w:val="uk-UA"/>
        </w:rPr>
        <w:t xml:space="preserve"> сумами </w:t>
      </w:r>
      <w:r w:rsidR="008E5688" w:rsidRPr="0024327D">
        <w:rPr>
          <w:rFonts w:eastAsia="Times New Roman"/>
          <w:lang w:val="uk-UA"/>
        </w:rPr>
        <w:t>дебіторської заборгованості</w:t>
      </w:r>
      <w:r w:rsidR="00E02BC6" w:rsidRPr="0024327D">
        <w:rPr>
          <w:rFonts w:eastAsia="Times New Roman"/>
          <w:lang w:val="uk-UA"/>
        </w:rPr>
        <w:t xml:space="preserve"> по певних активах</w:t>
      </w:r>
      <w:r w:rsidR="008E5688" w:rsidRPr="0024327D">
        <w:rPr>
          <w:rFonts w:eastAsia="Times New Roman"/>
          <w:lang w:val="uk-UA"/>
        </w:rPr>
        <w:t>.</w:t>
      </w:r>
    </w:p>
    <w:p w14:paraId="07480AD9" w14:textId="2D0CFC45" w:rsidR="008E5688" w:rsidRPr="0024327D" w:rsidRDefault="008E5688" w:rsidP="008E5688">
      <w:pPr>
        <w:rPr>
          <w:rFonts w:eastAsia="Times New Roman"/>
          <w:lang w:val="uk-UA"/>
        </w:rPr>
      </w:pPr>
      <w:r w:rsidRPr="0024327D">
        <w:rPr>
          <w:rFonts w:eastAsia="Times New Roman"/>
          <w:lang w:val="uk-UA"/>
        </w:rPr>
        <w:t xml:space="preserve">На думку Асоціації </w:t>
      </w:r>
      <w:r w:rsidR="00064891" w:rsidRPr="0024327D">
        <w:rPr>
          <w:lang w:val="uk-UA"/>
        </w:rPr>
        <w:t>“</w:t>
      </w:r>
      <w:r w:rsidR="00064891" w:rsidRPr="0024327D">
        <w:rPr>
          <w:rFonts w:eastAsia="Times New Roman"/>
          <w:lang w:val="uk-UA"/>
        </w:rPr>
        <w:t>Українське об'єднання лізингодавців</w:t>
      </w:r>
      <w:r w:rsidR="00064891" w:rsidRPr="0024327D">
        <w:rPr>
          <w:lang w:val="uk-UA"/>
        </w:rPr>
        <w:t>”</w:t>
      </w:r>
      <w:r w:rsidRPr="0024327D">
        <w:rPr>
          <w:rFonts w:eastAsia="Times New Roman"/>
          <w:lang w:val="uk-UA"/>
        </w:rPr>
        <w:t xml:space="preserve"> та VAB Leasing, ще однією важливою проблемою, яка загалом погіршує перспективи сек'юритизації та </w:t>
      </w:r>
      <w:r w:rsidR="00645A85" w:rsidRPr="0024327D">
        <w:rPr>
          <w:rFonts w:eastAsia="Times New Roman"/>
          <w:lang w:val="uk-UA"/>
        </w:rPr>
        <w:t>облігацій з покриттям</w:t>
      </w:r>
      <w:r w:rsidRPr="0024327D">
        <w:rPr>
          <w:rFonts w:eastAsia="Times New Roman"/>
          <w:lang w:val="uk-UA"/>
        </w:rPr>
        <w:t xml:space="preserve">, є існуюча практика структурування запозичень в Україні. Зазвичай вони були структуровані як однорічні кредити/облігації, де позичальники/емітенти щороку зверталися до кредиторів з проханням про подовження строків погашення. Таке структурування суттєво зменшило доступність довгострокових активів для цілей сек'юритизації або </w:t>
      </w:r>
      <w:r w:rsidR="00645A85" w:rsidRPr="0024327D">
        <w:rPr>
          <w:rFonts w:eastAsia="Times New Roman"/>
          <w:lang w:val="uk-UA"/>
        </w:rPr>
        <w:t>облігацій з покриттям</w:t>
      </w:r>
      <w:r w:rsidRPr="0024327D">
        <w:rPr>
          <w:rFonts w:eastAsia="Times New Roman"/>
          <w:lang w:val="uk-UA"/>
        </w:rPr>
        <w:t>.</w:t>
      </w:r>
    </w:p>
    <w:p w14:paraId="71D4D450" w14:textId="6C56A808" w:rsidR="008E5688" w:rsidRPr="0024327D" w:rsidRDefault="00683694" w:rsidP="008E5688">
      <w:pPr>
        <w:rPr>
          <w:rFonts w:eastAsia="Times New Roman"/>
          <w:lang w:val="uk-UA"/>
        </w:rPr>
      </w:pPr>
      <w:r w:rsidRPr="0024327D">
        <w:rPr>
          <w:rFonts w:eastAsia="Times New Roman"/>
          <w:lang w:val="uk-UA"/>
        </w:rPr>
        <w:t xml:space="preserve">З </w:t>
      </w:r>
      <w:r w:rsidR="008E5688" w:rsidRPr="0024327D">
        <w:rPr>
          <w:rFonts w:eastAsia="Times New Roman"/>
          <w:lang w:val="uk-UA"/>
        </w:rPr>
        <w:t>учасниками ринку</w:t>
      </w:r>
      <w:r w:rsidRPr="0024327D">
        <w:rPr>
          <w:rFonts w:eastAsia="Times New Roman"/>
          <w:lang w:val="uk-UA"/>
        </w:rPr>
        <w:t xml:space="preserve"> обговорювались наступні класи активів</w:t>
      </w:r>
      <w:r w:rsidR="008E5688" w:rsidRPr="0024327D">
        <w:rPr>
          <w:rFonts w:eastAsia="Times New Roman"/>
          <w:lang w:val="uk-UA"/>
        </w:rPr>
        <w:t>:</w:t>
      </w:r>
    </w:p>
    <w:p w14:paraId="0CE1E4B8" w14:textId="77777777" w:rsidR="008E5688" w:rsidRPr="0024327D" w:rsidRDefault="008E5688" w:rsidP="00133A3B">
      <w:pPr>
        <w:numPr>
          <w:ilvl w:val="0"/>
          <w:numId w:val="17"/>
        </w:numPr>
        <w:rPr>
          <w:rFonts w:eastAsia="Times New Roman"/>
          <w:lang w:val="uk-UA"/>
        </w:rPr>
      </w:pPr>
      <w:r w:rsidRPr="0024327D">
        <w:rPr>
          <w:rFonts w:eastAsia="Times New Roman"/>
          <w:lang w:val="uk-UA"/>
        </w:rPr>
        <w:t>іпотечні кредити</w:t>
      </w:r>
    </w:p>
    <w:p w14:paraId="511030CC" w14:textId="537928C0" w:rsidR="008E5688" w:rsidRPr="0024327D" w:rsidRDefault="008E5688" w:rsidP="008E5688">
      <w:pPr>
        <w:rPr>
          <w:rFonts w:eastAsia="Times New Roman"/>
          <w:lang w:val="uk-UA"/>
        </w:rPr>
      </w:pPr>
      <w:r w:rsidRPr="0024327D">
        <w:rPr>
          <w:rFonts w:eastAsia="Times New Roman"/>
          <w:lang w:val="uk-UA"/>
        </w:rPr>
        <w:t>ПриватБанк, один з найбільших українських банків, зазначив, що в Україні існує лише два класи активів, які можна використовувати для сек'юритизації: іпотечні кредити та лізингові платежі. За даними ПриватБанку, в Україні не було інших придатних активів</w:t>
      </w:r>
      <w:r w:rsidR="0077524C" w:rsidRPr="0024327D">
        <w:rPr>
          <w:rFonts w:eastAsia="Times New Roman"/>
          <w:lang w:val="uk-UA"/>
        </w:rPr>
        <w:t>, які генерують достатній рівень прибутку</w:t>
      </w:r>
      <w:r w:rsidRPr="0024327D">
        <w:rPr>
          <w:rFonts w:eastAsia="Times New Roman"/>
          <w:lang w:val="uk-UA"/>
        </w:rPr>
        <w:t>.</w:t>
      </w:r>
    </w:p>
    <w:p w14:paraId="752CE6A9" w14:textId="6DFE7B77" w:rsidR="008E5688" w:rsidRPr="0024327D" w:rsidRDefault="00154D13" w:rsidP="008E5688">
      <w:pPr>
        <w:rPr>
          <w:rFonts w:eastAsia="Times New Roman"/>
          <w:lang w:val="uk-UA"/>
        </w:rPr>
      </w:pPr>
      <w:r w:rsidRPr="0024327D">
        <w:rPr>
          <w:rFonts w:eastAsia="Times New Roman"/>
          <w:lang w:val="uk-UA"/>
        </w:rPr>
        <w:t>Агентство по рефінансуванню житлових кредитів</w:t>
      </w:r>
      <w:r w:rsidR="008E5688" w:rsidRPr="0024327D">
        <w:rPr>
          <w:rFonts w:eastAsia="Times New Roman"/>
          <w:lang w:val="uk-UA"/>
        </w:rPr>
        <w:t xml:space="preserve">, яке раніше здійснило кілька випусків </w:t>
      </w:r>
      <w:r w:rsidR="005C1460" w:rsidRPr="0024327D">
        <w:rPr>
          <w:rFonts w:eastAsia="Times New Roman"/>
          <w:lang w:val="uk-UA"/>
        </w:rPr>
        <w:t xml:space="preserve">іпотечних </w:t>
      </w:r>
      <w:r w:rsidR="00645A85" w:rsidRPr="0024327D">
        <w:rPr>
          <w:rFonts w:eastAsia="Times New Roman"/>
          <w:lang w:val="uk-UA"/>
        </w:rPr>
        <w:t>облігацій</w:t>
      </w:r>
      <w:r w:rsidR="008E5688" w:rsidRPr="0024327D">
        <w:rPr>
          <w:rFonts w:eastAsia="Times New Roman"/>
          <w:lang w:val="uk-UA"/>
        </w:rPr>
        <w:t>, підтвердило свою зацікавленість у сек'юритизації іпотечних кредитів.</w:t>
      </w:r>
    </w:p>
    <w:p w14:paraId="5699D874" w14:textId="77777777" w:rsidR="008E5688" w:rsidRPr="0024327D" w:rsidRDefault="008E5688" w:rsidP="008E3E69">
      <w:pPr>
        <w:keepNext/>
        <w:keepLines/>
        <w:numPr>
          <w:ilvl w:val="0"/>
          <w:numId w:val="17"/>
        </w:numPr>
        <w:rPr>
          <w:rFonts w:eastAsia="Times New Roman"/>
          <w:lang w:val="uk-UA"/>
        </w:rPr>
      </w:pPr>
      <w:r w:rsidRPr="0024327D">
        <w:rPr>
          <w:rFonts w:eastAsia="Times New Roman"/>
          <w:lang w:val="uk-UA"/>
        </w:rPr>
        <w:t>кредити малим та середнім підприємствам (МСП)</w:t>
      </w:r>
    </w:p>
    <w:p w14:paraId="6711CC1B" w14:textId="6A515540" w:rsidR="008E5688" w:rsidRPr="0024327D" w:rsidRDefault="008E5688" w:rsidP="008E3E69">
      <w:pPr>
        <w:keepNext/>
        <w:keepLines/>
        <w:rPr>
          <w:rFonts w:eastAsia="Times New Roman"/>
          <w:lang w:val="uk-UA"/>
        </w:rPr>
      </w:pPr>
      <w:r w:rsidRPr="0024327D">
        <w:rPr>
          <w:rFonts w:eastAsia="Times New Roman"/>
          <w:lang w:val="uk-UA"/>
        </w:rPr>
        <w:t>На думку компанії Investment Capital Ukraine документація щодо кредитів МСП є</w:t>
      </w:r>
      <w:r w:rsidR="00F00E35" w:rsidRPr="0024327D">
        <w:rPr>
          <w:rFonts w:eastAsia="Times New Roman"/>
          <w:lang w:val="uk-UA"/>
        </w:rPr>
        <w:t xml:space="preserve"> недостатньо</w:t>
      </w:r>
      <w:r w:rsidR="006E36AC" w:rsidRPr="0024327D">
        <w:rPr>
          <w:rFonts w:eastAsia="Times New Roman"/>
          <w:lang w:val="uk-UA"/>
        </w:rPr>
        <w:t xml:space="preserve"> </w:t>
      </w:r>
      <w:r w:rsidR="00F00E35" w:rsidRPr="0024327D">
        <w:rPr>
          <w:rFonts w:eastAsia="Times New Roman"/>
          <w:lang w:val="uk-UA"/>
        </w:rPr>
        <w:t>стандартизованою</w:t>
      </w:r>
      <w:r w:rsidRPr="0024327D">
        <w:rPr>
          <w:rFonts w:eastAsia="Times New Roman"/>
          <w:lang w:val="uk-UA"/>
        </w:rPr>
        <w:t>, щоб зробити кредити МСП придатним активом для сек'юритизації.</w:t>
      </w:r>
    </w:p>
    <w:p w14:paraId="30D00C37" w14:textId="77777777" w:rsidR="008E5688" w:rsidRPr="0024327D" w:rsidRDefault="008E5688" w:rsidP="00133A3B">
      <w:pPr>
        <w:numPr>
          <w:ilvl w:val="0"/>
          <w:numId w:val="17"/>
        </w:numPr>
        <w:rPr>
          <w:rFonts w:eastAsia="Times New Roman"/>
          <w:lang w:val="uk-UA"/>
        </w:rPr>
      </w:pPr>
      <w:r w:rsidRPr="0024327D">
        <w:rPr>
          <w:rFonts w:eastAsia="Times New Roman"/>
          <w:lang w:val="uk-UA"/>
        </w:rPr>
        <w:t>споживчі кредити</w:t>
      </w:r>
    </w:p>
    <w:p w14:paraId="38715CBE" w14:textId="479CDC42" w:rsidR="008E5688" w:rsidRPr="0024327D" w:rsidRDefault="008E5688" w:rsidP="008E5688">
      <w:pPr>
        <w:rPr>
          <w:rFonts w:eastAsia="Times New Roman"/>
          <w:lang w:val="uk-UA"/>
        </w:rPr>
      </w:pPr>
      <w:r w:rsidRPr="0024327D">
        <w:rPr>
          <w:rFonts w:eastAsia="Times New Roman"/>
          <w:lang w:val="uk-UA"/>
        </w:rPr>
        <w:t>Ринок споживчих кредитів ріс досить швидко - 30-40% на рік, за даними Investment Capital Ukraine, і такі темпи росту є нормальними. Було</w:t>
      </w:r>
      <w:r w:rsidR="00E8276A" w:rsidRPr="0024327D">
        <w:rPr>
          <w:lang w:val="uk-UA"/>
        </w:rPr>
        <w:t xml:space="preserve"> </w:t>
      </w:r>
      <w:r w:rsidR="00E8276A" w:rsidRPr="0024327D">
        <w:rPr>
          <w:rFonts w:eastAsia="Times New Roman"/>
          <w:lang w:val="uk-UA"/>
        </w:rPr>
        <w:t>зазначено</w:t>
      </w:r>
      <w:r w:rsidRPr="0024327D">
        <w:rPr>
          <w:rFonts w:eastAsia="Times New Roman"/>
          <w:lang w:val="uk-UA"/>
        </w:rPr>
        <w:t xml:space="preserve">, що такі темпи зростання, якщо </w:t>
      </w:r>
      <w:r w:rsidRPr="0024327D">
        <w:rPr>
          <w:rFonts w:eastAsia="Times New Roman"/>
          <w:lang w:val="uk-UA"/>
        </w:rPr>
        <w:lastRenderedPageBreak/>
        <w:t>продовжуватимуться, можуть створити перспективи для здійснення сек'юритизації споживчих кредитів.</w:t>
      </w:r>
      <w:r w:rsidR="004F7312" w:rsidRPr="0024327D">
        <w:rPr>
          <w:rStyle w:val="af2"/>
          <w:rFonts w:eastAsia="Times New Roman"/>
          <w:lang w:val="uk-UA"/>
        </w:rPr>
        <w:footnoteReference w:id="62"/>
      </w:r>
    </w:p>
    <w:p w14:paraId="6FFFB8CA" w14:textId="77777777" w:rsidR="008E5688" w:rsidRPr="0024327D" w:rsidRDefault="008E5688" w:rsidP="00133A3B">
      <w:pPr>
        <w:numPr>
          <w:ilvl w:val="0"/>
          <w:numId w:val="17"/>
        </w:numPr>
        <w:rPr>
          <w:rFonts w:eastAsia="Times New Roman"/>
          <w:lang w:val="uk-UA"/>
        </w:rPr>
      </w:pPr>
      <w:r w:rsidRPr="0024327D">
        <w:rPr>
          <w:rFonts w:eastAsia="Times New Roman"/>
          <w:lang w:val="uk-UA"/>
        </w:rPr>
        <w:t>непрацюючі кредити</w:t>
      </w:r>
    </w:p>
    <w:p w14:paraId="4061206F" w14:textId="0C7397D8" w:rsidR="008E5688" w:rsidRPr="0024327D" w:rsidRDefault="008E5688" w:rsidP="008E5688">
      <w:pPr>
        <w:rPr>
          <w:rFonts w:eastAsia="Times New Roman"/>
          <w:lang w:val="uk-UA"/>
        </w:rPr>
      </w:pPr>
      <w:r w:rsidRPr="0024327D">
        <w:rPr>
          <w:rFonts w:eastAsia="Times New Roman"/>
          <w:lang w:val="uk-UA"/>
        </w:rPr>
        <w:t xml:space="preserve">Агентство </w:t>
      </w:r>
      <w:r w:rsidR="00154D13" w:rsidRPr="0024327D">
        <w:rPr>
          <w:rFonts w:eastAsia="Times New Roman"/>
          <w:lang w:val="uk-UA"/>
        </w:rPr>
        <w:t>по</w:t>
      </w:r>
      <w:r w:rsidRPr="0024327D">
        <w:rPr>
          <w:rFonts w:eastAsia="Times New Roman"/>
          <w:lang w:val="uk-UA"/>
        </w:rPr>
        <w:t xml:space="preserve"> рефінансуванн</w:t>
      </w:r>
      <w:r w:rsidR="00154D13" w:rsidRPr="0024327D">
        <w:rPr>
          <w:rFonts w:eastAsia="Times New Roman"/>
          <w:lang w:val="uk-UA"/>
        </w:rPr>
        <w:t>ю</w:t>
      </w:r>
      <w:r w:rsidRPr="0024327D">
        <w:rPr>
          <w:rFonts w:eastAsia="Times New Roman"/>
          <w:lang w:val="uk-UA"/>
        </w:rPr>
        <w:t xml:space="preserve"> житлових </w:t>
      </w:r>
      <w:r w:rsidR="00154D13" w:rsidRPr="0024327D">
        <w:rPr>
          <w:rFonts w:eastAsia="Times New Roman"/>
          <w:lang w:val="uk-UA"/>
        </w:rPr>
        <w:t xml:space="preserve">кредитів </w:t>
      </w:r>
      <w:r w:rsidRPr="0024327D">
        <w:rPr>
          <w:rFonts w:eastAsia="Times New Roman"/>
          <w:lang w:val="uk-UA"/>
        </w:rPr>
        <w:t>зазначило, що в портфелях українських банків є багато непрацюючих кредитів, і варіант сек'юритизації непрацюючих кредитів може бути вартим глибшого аналізу.</w:t>
      </w:r>
    </w:p>
    <w:p w14:paraId="69261053" w14:textId="77777777" w:rsidR="008E5688" w:rsidRPr="0024327D" w:rsidRDefault="008E5688" w:rsidP="00133A3B">
      <w:pPr>
        <w:numPr>
          <w:ilvl w:val="0"/>
          <w:numId w:val="17"/>
        </w:numPr>
        <w:rPr>
          <w:rFonts w:eastAsia="Times New Roman"/>
          <w:lang w:val="uk-UA"/>
        </w:rPr>
      </w:pPr>
      <w:r w:rsidRPr="0024327D">
        <w:rPr>
          <w:rFonts w:eastAsia="Times New Roman"/>
          <w:lang w:val="uk-UA"/>
        </w:rPr>
        <w:t>лізингові платежі</w:t>
      </w:r>
    </w:p>
    <w:p w14:paraId="744D1D5C" w14:textId="4994FD0E" w:rsidR="008E5688" w:rsidRPr="0024327D" w:rsidRDefault="008E5688" w:rsidP="008E5688">
      <w:pPr>
        <w:rPr>
          <w:rFonts w:eastAsia="Times New Roman"/>
          <w:lang w:val="uk-UA"/>
        </w:rPr>
      </w:pPr>
      <w:r w:rsidRPr="0024327D">
        <w:rPr>
          <w:rFonts w:eastAsia="Times New Roman"/>
          <w:lang w:val="uk-UA"/>
        </w:rPr>
        <w:t xml:space="preserve">ПриватБанк, Асоціація </w:t>
      </w:r>
      <w:r w:rsidR="00064891" w:rsidRPr="0024327D">
        <w:rPr>
          <w:lang w:val="uk-UA"/>
        </w:rPr>
        <w:t>“</w:t>
      </w:r>
      <w:r w:rsidR="00064891" w:rsidRPr="0024327D">
        <w:rPr>
          <w:rFonts w:eastAsia="Times New Roman"/>
          <w:lang w:val="uk-UA"/>
        </w:rPr>
        <w:t>Українське об'єднання лізингодавців</w:t>
      </w:r>
      <w:r w:rsidR="00064891" w:rsidRPr="0024327D">
        <w:rPr>
          <w:lang w:val="uk-UA"/>
        </w:rPr>
        <w:t>”</w:t>
      </w:r>
      <w:r w:rsidRPr="0024327D">
        <w:rPr>
          <w:rFonts w:eastAsia="Times New Roman"/>
          <w:lang w:val="uk-UA"/>
        </w:rPr>
        <w:t xml:space="preserve"> та VAB Leasing підтвердили життєздатність сек'юритизації лізингових платежів. Українське об'єднання лізингодавців та VAB Leasing також повідомили, що більшість портфелів лізингу транспортних засобів складаються з комерційних автомобілів та автомобілів спеціального призначення, і тому імпорт вживаних автомобілів на номерних знаках ЄС не справив істотного впливу на лізинговий сектор. </w:t>
      </w:r>
    </w:p>
    <w:p w14:paraId="4D6C5120" w14:textId="56F5BE1C" w:rsidR="008E5688" w:rsidRPr="0024327D" w:rsidRDefault="00DE7FEE" w:rsidP="00133A3B">
      <w:pPr>
        <w:numPr>
          <w:ilvl w:val="0"/>
          <w:numId w:val="17"/>
        </w:numPr>
        <w:rPr>
          <w:rFonts w:eastAsia="Times New Roman"/>
          <w:lang w:val="uk-UA"/>
        </w:rPr>
      </w:pPr>
      <w:r w:rsidRPr="0024327D">
        <w:rPr>
          <w:rFonts w:eastAsia="Times New Roman"/>
          <w:lang w:val="uk-UA"/>
        </w:rPr>
        <w:t xml:space="preserve">надходження в галузі аграрної діяльності (в тому числі </w:t>
      </w:r>
      <w:r w:rsidR="00C60325" w:rsidRPr="0024327D">
        <w:rPr>
          <w:rFonts w:eastAsia="Times New Roman"/>
          <w:lang w:val="uk-UA"/>
        </w:rPr>
        <w:t>аграрні розписки</w:t>
      </w:r>
      <w:r w:rsidRPr="0024327D">
        <w:rPr>
          <w:rFonts w:eastAsia="Times New Roman"/>
          <w:lang w:val="uk-UA"/>
        </w:rPr>
        <w:t>)</w:t>
      </w:r>
    </w:p>
    <w:p w14:paraId="4F711875" w14:textId="64341BD2" w:rsidR="008E5688" w:rsidRPr="0024327D" w:rsidRDefault="008E5688" w:rsidP="008E5688">
      <w:pPr>
        <w:rPr>
          <w:rFonts w:eastAsia="Times New Roman"/>
          <w:lang w:val="uk-UA"/>
        </w:rPr>
      </w:pPr>
      <w:r w:rsidRPr="0024327D">
        <w:rPr>
          <w:rFonts w:eastAsia="Times New Roman"/>
          <w:lang w:val="uk-UA"/>
        </w:rPr>
        <w:t>Згідно з про</w:t>
      </w:r>
      <w:r w:rsidR="005312A7" w:rsidRPr="0024327D">
        <w:rPr>
          <w:rFonts w:eastAsia="Times New Roman"/>
          <w:lang w:val="uk-UA"/>
        </w:rPr>
        <w:t>є</w:t>
      </w:r>
      <w:r w:rsidRPr="0024327D">
        <w:rPr>
          <w:rFonts w:eastAsia="Times New Roman"/>
          <w:lang w:val="uk-UA"/>
        </w:rPr>
        <w:t xml:space="preserve">ктом Міжнародної фінансової корпорації щодо </w:t>
      </w:r>
      <w:r w:rsidR="00C60325" w:rsidRPr="0024327D">
        <w:rPr>
          <w:rFonts w:eastAsia="Times New Roman"/>
          <w:lang w:val="uk-UA"/>
        </w:rPr>
        <w:t>аграрних розписок</w:t>
      </w:r>
      <w:r w:rsidRPr="0024327D">
        <w:rPr>
          <w:rFonts w:eastAsia="Times New Roman"/>
          <w:lang w:val="uk-UA"/>
        </w:rPr>
        <w:t xml:space="preserve">, </w:t>
      </w:r>
      <w:r w:rsidR="00132128" w:rsidRPr="0024327D">
        <w:rPr>
          <w:rFonts w:eastAsia="Times New Roman"/>
          <w:lang w:val="uk-UA"/>
        </w:rPr>
        <w:t xml:space="preserve">електронним </w:t>
      </w:r>
      <w:r w:rsidRPr="0024327D">
        <w:rPr>
          <w:rFonts w:eastAsia="Times New Roman"/>
          <w:lang w:val="uk-UA"/>
        </w:rPr>
        <w:t xml:space="preserve"> </w:t>
      </w:r>
      <w:r w:rsidR="00132128" w:rsidRPr="0024327D">
        <w:rPr>
          <w:rFonts w:eastAsia="Times New Roman"/>
          <w:lang w:val="uk-UA"/>
        </w:rPr>
        <w:t>аграрним розпискам планується надати статус цінних паперів</w:t>
      </w:r>
      <w:r w:rsidRPr="0024327D">
        <w:rPr>
          <w:rFonts w:eastAsia="Times New Roman"/>
          <w:lang w:val="uk-UA"/>
        </w:rPr>
        <w:t>, що дозвол</w:t>
      </w:r>
      <w:r w:rsidR="00132128" w:rsidRPr="0024327D">
        <w:rPr>
          <w:rFonts w:eastAsia="Times New Roman"/>
          <w:lang w:val="uk-UA"/>
        </w:rPr>
        <w:t>и</w:t>
      </w:r>
      <w:r w:rsidRPr="0024327D">
        <w:rPr>
          <w:rFonts w:eastAsia="Times New Roman"/>
          <w:lang w:val="uk-UA"/>
        </w:rPr>
        <w:t>ть фермерам використовувати майбутні врожаї як забезпечення для фінансування перед збором врожаю, що</w:t>
      </w:r>
      <w:r w:rsidR="004D6FDC" w:rsidRPr="0024327D">
        <w:rPr>
          <w:rFonts w:eastAsia="Times New Roman"/>
          <w:lang w:val="uk-UA"/>
        </w:rPr>
        <w:t>,</w:t>
      </w:r>
      <w:r w:rsidRPr="0024327D">
        <w:rPr>
          <w:rFonts w:eastAsia="Times New Roman"/>
          <w:lang w:val="uk-UA"/>
        </w:rPr>
        <w:t xml:space="preserve"> </w:t>
      </w:r>
      <w:r w:rsidR="00132128" w:rsidRPr="0024327D">
        <w:rPr>
          <w:rFonts w:eastAsia="Times New Roman"/>
          <w:lang w:val="uk-UA"/>
        </w:rPr>
        <w:t>в свою чергу</w:t>
      </w:r>
      <w:r w:rsidR="004D6FDC" w:rsidRPr="0024327D">
        <w:rPr>
          <w:rFonts w:eastAsia="Times New Roman"/>
          <w:lang w:val="uk-UA"/>
        </w:rPr>
        <w:t>,</w:t>
      </w:r>
      <w:r w:rsidR="00132128" w:rsidRPr="0024327D">
        <w:rPr>
          <w:rFonts w:eastAsia="Times New Roman"/>
          <w:lang w:val="uk-UA"/>
        </w:rPr>
        <w:t xml:space="preserve"> </w:t>
      </w:r>
      <w:r w:rsidRPr="0024327D">
        <w:rPr>
          <w:rFonts w:eastAsia="Times New Roman"/>
          <w:lang w:val="uk-UA"/>
        </w:rPr>
        <w:t>дозвол</w:t>
      </w:r>
      <w:r w:rsidR="00132128" w:rsidRPr="0024327D">
        <w:rPr>
          <w:rFonts w:eastAsia="Times New Roman"/>
          <w:lang w:val="uk-UA"/>
        </w:rPr>
        <w:t>ить</w:t>
      </w:r>
      <w:r w:rsidRPr="0024327D">
        <w:rPr>
          <w:rFonts w:eastAsia="Times New Roman"/>
          <w:lang w:val="uk-UA"/>
        </w:rPr>
        <w:t xml:space="preserve"> фермерам купувати якісне насіння та інші необхідні речі. Фермери можуть погашати такі боргові розписки готівковими коштами, або за рахунок постачання сільськогосподарської продукції певної кількості та якості.</w:t>
      </w:r>
      <w:r w:rsidRPr="0024327D">
        <w:rPr>
          <w:lang w:val="uk-UA"/>
        </w:rPr>
        <w:t xml:space="preserve"> Метою </w:t>
      </w:r>
      <w:r w:rsidRPr="0024327D">
        <w:rPr>
          <w:rFonts w:eastAsia="Times New Roman"/>
          <w:lang w:val="uk-UA"/>
        </w:rPr>
        <w:t>про</w:t>
      </w:r>
      <w:r w:rsidR="005312A7" w:rsidRPr="0024327D">
        <w:rPr>
          <w:rFonts w:eastAsia="Times New Roman"/>
          <w:lang w:val="uk-UA"/>
        </w:rPr>
        <w:t>є</w:t>
      </w:r>
      <w:r w:rsidRPr="0024327D">
        <w:rPr>
          <w:rFonts w:eastAsia="Times New Roman"/>
          <w:lang w:val="uk-UA"/>
        </w:rPr>
        <w:t xml:space="preserve">кту Міжнародної фінансової корпорації щодо </w:t>
      </w:r>
      <w:r w:rsidR="00622E0C" w:rsidRPr="0024327D">
        <w:rPr>
          <w:rFonts w:eastAsia="Times New Roman"/>
          <w:lang w:val="uk-UA"/>
        </w:rPr>
        <w:t xml:space="preserve">аграрних розписок </w:t>
      </w:r>
      <w:r w:rsidRPr="0024327D">
        <w:rPr>
          <w:rFonts w:eastAsia="Times New Roman"/>
          <w:lang w:val="uk-UA"/>
        </w:rPr>
        <w:t xml:space="preserve">було спрощення процедури реєстрації та передачі </w:t>
      </w:r>
      <w:r w:rsidR="00622E0C" w:rsidRPr="0024327D">
        <w:rPr>
          <w:rFonts w:eastAsia="Times New Roman"/>
          <w:lang w:val="uk-UA"/>
        </w:rPr>
        <w:t xml:space="preserve">аграрних </w:t>
      </w:r>
      <w:r w:rsidRPr="0024327D">
        <w:rPr>
          <w:rFonts w:eastAsia="Times New Roman"/>
          <w:lang w:val="uk-UA"/>
        </w:rPr>
        <w:t xml:space="preserve">розписок, впровадження електронних </w:t>
      </w:r>
      <w:r w:rsidR="00622E0C" w:rsidRPr="0024327D">
        <w:rPr>
          <w:rFonts w:eastAsia="Times New Roman"/>
          <w:lang w:val="uk-UA"/>
        </w:rPr>
        <w:t xml:space="preserve">аграрних </w:t>
      </w:r>
      <w:r w:rsidRPr="0024327D">
        <w:rPr>
          <w:rFonts w:eastAsia="Times New Roman"/>
          <w:lang w:val="uk-UA"/>
        </w:rPr>
        <w:t>розписок та підвищення прозорості та захисту інвесторів. В Україні сільськогосподарський сектор є великим, і як тільки про</w:t>
      </w:r>
      <w:r w:rsidR="005312A7" w:rsidRPr="0024327D">
        <w:rPr>
          <w:rFonts w:eastAsia="Times New Roman"/>
          <w:lang w:val="uk-UA"/>
        </w:rPr>
        <w:t>є</w:t>
      </w:r>
      <w:r w:rsidRPr="0024327D">
        <w:rPr>
          <w:rFonts w:eastAsia="Times New Roman"/>
          <w:lang w:val="uk-UA"/>
        </w:rPr>
        <w:t xml:space="preserve">кт Міжнародної фінансової корпорації щодо </w:t>
      </w:r>
      <w:r w:rsidR="00622E0C" w:rsidRPr="0024327D">
        <w:rPr>
          <w:rFonts w:eastAsia="Times New Roman"/>
          <w:lang w:val="uk-UA"/>
        </w:rPr>
        <w:t xml:space="preserve">аграрних </w:t>
      </w:r>
      <w:r w:rsidRPr="0024327D">
        <w:rPr>
          <w:rFonts w:eastAsia="Times New Roman"/>
          <w:lang w:val="uk-UA"/>
        </w:rPr>
        <w:t xml:space="preserve">розписок досягне своїх цілей, сек'юритизація платежів за такими </w:t>
      </w:r>
      <w:r w:rsidR="00622E0C" w:rsidRPr="0024327D">
        <w:rPr>
          <w:rFonts w:eastAsia="Times New Roman"/>
          <w:lang w:val="uk-UA"/>
        </w:rPr>
        <w:t xml:space="preserve">аграрними </w:t>
      </w:r>
      <w:r w:rsidRPr="0024327D">
        <w:rPr>
          <w:rFonts w:eastAsia="Times New Roman"/>
          <w:lang w:val="uk-UA"/>
        </w:rPr>
        <w:t>розписками може стати життєздатною.</w:t>
      </w:r>
    </w:p>
    <w:p w14:paraId="40C4268E" w14:textId="538CF643" w:rsidR="008E5688" w:rsidRPr="0024327D" w:rsidRDefault="008E5688" w:rsidP="00133A3B">
      <w:pPr>
        <w:numPr>
          <w:ilvl w:val="0"/>
          <w:numId w:val="17"/>
        </w:numPr>
        <w:rPr>
          <w:rFonts w:eastAsia="Times New Roman"/>
          <w:lang w:val="uk-UA"/>
        </w:rPr>
      </w:pPr>
      <w:r w:rsidRPr="0024327D">
        <w:rPr>
          <w:rFonts w:eastAsia="Times New Roman"/>
          <w:lang w:val="uk-UA"/>
        </w:rPr>
        <w:t>платежі</w:t>
      </w:r>
      <w:r w:rsidR="00622E0C" w:rsidRPr="0024327D">
        <w:rPr>
          <w:rFonts w:eastAsia="Times New Roman"/>
          <w:lang w:val="uk-UA"/>
        </w:rPr>
        <w:t xml:space="preserve"> за комунальні послуги</w:t>
      </w:r>
    </w:p>
    <w:p w14:paraId="4007FE90" w14:textId="76DE85E7" w:rsidR="008E5688" w:rsidRPr="0024327D" w:rsidRDefault="008E5688" w:rsidP="008E5688">
      <w:pPr>
        <w:rPr>
          <w:rFonts w:eastAsia="Times New Roman"/>
          <w:lang w:val="uk-UA"/>
        </w:rPr>
      </w:pPr>
      <w:r w:rsidRPr="0024327D">
        <w:rPr>
          <w:rFonts w:eastAsia="Times New Roman"/>
          <w:lang w:val="uk-UA"/>
        </w:rPr>
        <w:t>Метою Про</w:t>
      </w:r>
      <w:r w:rsidR="00132128" w:rsidRPr="0024327D">
        <w:rPr>
          <w:rFonts w:eastAsia="Times New Roman"/>
          <w:lang w:val="uk-UA"/>
        </w:rPr>
        <w:t>є</w:t>
      </w:r>
      <w:r w:rsidRPr="0024327D">
        <w:rPr>
          <w:rFonts w:eastAsia="Times New Roman"/>
          <w:lang w:val="uk-UA"/>
        </w:rPr>
        <w:t>кту USAID з розвитку енергетичних ринків був пошук довгострокового рішення для фінансування українського сектору</w:t>
      </w:r>
      <w:r w:rsidR="00D87CE7" w:rsidRPr="0024327D">
        <w:rPr>
          <w:rFonts w:eastAsia="Times New Roman"/>
          <w:lang w:val="uk-UA"/>
        </w:rPr>
        <w:t xml:space="preserve"> комунальних послуг</w:t>
      </w:r>
      <w:r w:rsidRPr="0024327D">
        <w:rPr>
          <w:rFonts w:eastAsia="Times New Roman"/>
          <w:lang w:val="uk-UA"/>
        </w:rPr>
        <w:t xml:space="preserve">, та сек'юритизація дебіторської заборгованості за платежами </w:t>
      </w:r>
      <w:r w:rsidR="00D87CE7" w:rsidRPr="0024327D">
        <w:rPr>
          <w:rFonts w:eastAsia="Times New Roman"/>
          <w:lang w:val="uk-UA"/>
        </w:rPr>
        <w:t xml:space="preserve">за комунальні послуги </w:t>
      </w:r>
      <w:r w:rsidRPr="0024327D">
        <w:rPr>
          <w:rFonts w:eastAsia="Times New Roman"/>
          <w:lang w:val="uk-UA"/>
        </w:rPr>
        <w:t>може бути одним із життєздатних варіантів. За інформацією USAID, український сектор централізованого теплопостачання мав критичну потребу у фінансуванні.</w:t>
      </w:r>
      <w:r w:rsidRPr="0024327D">
        <w:rPr>
          <w:lang w:val="uk-UA"/>
        </w:rPr>
        <w:t xml:space="preserve"> </w:t>
      </w:r>
      <w:r w:rsidR="00D87CE7" w:rsidRPr="0024327D">
        <w:rPr>
          <w:lang w:val="uk-UA"/>
        </w:rPr>
        <w:t xml:space="preserve">Команда </w:t>
      </w:r>
      <w:r w:rsidRPr="0024327D">
        <w:rPr>
          <w:rFonts w:eastAsia="Times New Roman"/>
          <w:lang w:val="uk-UA"/>
        </w:rPr>
        <w:t xml:space="preserve">ЄБРР з питань сек'юритизації та USAID обговорили питання надмірного регулювання послуг централізованого теплопостачання, питання щодо </w:t>
      </w:r>
      <w:r w:rsidR="00B27440" w:rsidRPr="0024327D">
        <w:rPr>
          <w:rFonts w:eastAsia="Times New Roman"/>
          <w:lang w:val="uk-UA"/>
        </w:rPr>
        <w:t xml:space="preserve">відступлення прав вимоги за </w:t>
      </w:r>
      <w:r w:rsidRPr="0024327D">
        <w:rPr>
          <w:rFonts w:eastAsia="Times New Roman"/>
          <w:lang w:val="uk-UA"/>
        </w:rPr>
        <w:t>дебіторсько</w:t>
      </w:r>
      <w:r w:rsidR="00B27440" w:rsidRPr="0024327D">
        <w:rPr>
          <w:rFonts w:eastAsia="Times New Roman"/>
          <w:lang w:val="uk-UA"/>
        </w:rPr>
        <w:t>ю</w:t>
      </w:r>
      <w:r w:rsidRPr="0024327D">
        <w:rPr>
          <w:rFonts w:eastAsia="Times New Roman"/>
          <w:lang w:val="uk-UA"/>
        </w:rPr>
        <w:t xml:space="preserve"> заборгован</w:t>
      </w:r>
      <w:r w:rsidR="00B27440" w:rsidRPr="0024327D">
        <w:rPr>
          <w:rFonts w:eastAsia="Times New Roman"/>
          <w:lang w:val="uk-UA"/>
        </w:rPr>
        <w:t>істю</w:t>
      </w:r>
      <w:r w:rsidRPr="0024327D">
        <w:rPr>
          <w:rFonts w:eastAsia="Times New Roman"/>
          <w:lang w:val="uk-UA"/>
        </w:rPr>
        <w:t xml:space="preserve"> за </w:t>
      </w:r>
      <w:r w:rsidR="00D87CE7" w:rsidRPr="0024327D">
        <w:rPr>
          <w:rFonts w:eastAsia="Times New Roman"/>
          <w:lang w:val="uk-UA"/>
        </w:rPr>
        <w:t>комунальні послуги</w:t>
      </w:r>
      <w:r w:rsidR="00B27440" w:rsidRPr="0024327D">
        <w:rPr>
          <w:rFonts w:eastAsia="Times New Roman"/>
          <w:lang w:val="uk-UA"/>
        </w:rPr>
        <w:t xml:space="preserve">, а також проблему встановлення </w:t>
      </w:r>
      <w:r w:rsidRPr="0024327D">
        <w:rPr>
          <w:rFonts w:eastAsia="Times New Roman"/>
          <w:lang w:val="uk-UA"/>
        </w:rPr>
        <w:t>короткостроков</w:t>
      </w:r>
      <w:r w:rsidR="00B27440" w:rsidRPr="0024327D">
        <w:rPr>
          <w:rFonts w:eastAsia="Times New Roman"/>
          <w:lang w:val="uk-UA"/>
        </w:rPr>
        <w:t>их</w:t>
      </w:r>
      <w:r w:rsidRPr="0024327D">
        <w:rPr>
          <w:rFonts w:eastAsia="Times New Roman"/>
          <w:lang w:val="uk-UA"/>
        </w:rPr>
        <w:t xml:space="preserve"> тариф</w:t>
      </w:r>
      <w:r w:rsidR="00B27440" w:rsidRPr="0024327D">
        <w:rPr>
          <w:rFonts w:eastAsia="Times New Roman"/>
          <w:lang w:val="uk-UA"/>
        </w:rPr>
        <w:t>ів</w:t>
      </w:r>
      <w:r w:rsidRPr="0024327D">
        <w:rPr>
          <w:rFonts w:eastAsia="Times New Roman"/>
          <w:lang w:val="uk-UA"/>
        </w:rPr>
        <w:t xml:space="preserve"> на комунальні послуги. Було зроблено висновок, що слід внести багато змін на рівні активів, щоб зробити можливим сек'юритизацію дебіторської заборгованості за платежами</w:t>
      </w:r>
      <w:r w:rsidR="00B27440" w:rsidRPr="0024327D">
        <w:rPr>
          <w:rFonts w:eastAsia="Times New Roman"/>
          <w:lang w:val="uk-UA"/>
        </w:rPr>
        <w:t xml:space="preserve"> за комунальні послуги</w:t>
      </w:r>
      <w:r w:rsidRPr="0024327D">
        <w:rPr>
          <w:rFonts w:eastAsia="Times New Roman"/>
          <w:lang w:val="uk-UA"/>
        </w:rPr>
        <w:t xml:space="preserve">. Було погоджено, що </w:t>
      </w:r>
      <w:r w:rsidR="00F012FE" w:rsidRPr="0024327D">
        <w:rPr>
          <w:rFonts w:eastAsia="Times New Roman"/>
          <w:lang w:val="uk-UA"/>
        </w:rPr>
        <w:t xml:space="preserve">команда </w:t>
      </w:r>
      <w:r w:rsidRPr="0024327D">
        <w:rPr>
          <w:rFonts w:eastAsia="Times New Roman"/>
          <w:lang w:val="uk-UA"/>
        </w:rPr>
        <w:t>ЄБРР з питань сек'юритизації зосередиться на загальній нормативно-правовій базі, а дебіторська заборгованість за платежами</w:t>
      </w:r>
      <w:r w:rsidR="00F012FE" w:rsidRPr="0024327D">
        <w:rPr>
          <w:rFonts w:eastAsia="Times New Roman"/>
          <w:lang w:val="uk-UA"/>
        </w:rPr>
        <w:t xml:space="preserve"> за комунальні послуги</w:t>
      </w:r>
      <w:r w:rsidRPr="0024327D">
        <w:rPr>
          <w:rFonts w:eastAsia="Times New Roman"/>
          <w:lang w:val="uk-UA"/>
        </w:rPr>
        <w:t xml:space="preserve"> може бути включена в таку базу в рамках окремого про</w:t>
      </w:r>
      <w:r w:rsidR="005312A7" w:rsidRPr="0024327D">
        <w:rPr>
          <w:rFonts w:eastAsia="Times New Roman"/>
          <w:lang w:val="uk-UA"/>
        </w:rPr>
        <w:t>є</w:t>
      </w:r>
      <w:r w:rsidRPr="0024327D">
        <w:rPr>
          <w:rFonts w:eastAsia="Times New Roman"/>
          <w:lang w:val="uk-UA"/>
        </w:rPr>
        <w:t>кту розвитку (за наявності).</w:t>
      </w:r>
    </w:p>
    <w:p w14:paraId="0DBDA026" w14:textId="77777777" w:rsidR="008E5688" w:rsidRPr="0024327D" w:rsidRDefault="008E5688" w:rsidP="000D3811">
      <w:pPr>
        <w:keepNext/>
        <w:keepLines/>
        <w:rPr>
          <w:rFonts w:eastAsia="Times New Roman"/>
          <w:b/>
          <w:lang w:val="uk-UA"/>
        </w:rPr>
      </w:pPr>
      <w:r w:rsidRPr="0024327D">
        <w:rPr>
          <w:rFonts w:eastAsia="Times New Roman"/>
          <w:b/>
          <w:lang w:val="uk-UA"/>
        </w:rPr>
        <w:lastRenderedPageBreak/>
        <w:t>Інвестори</w:t>
      </w:r>
    </w:p>
    <w:p w14:paraId="3EB5905F" w14:textId="51C3E741" w:rsidR="008E5688" w:rsidRPr="0024327D" w:rsidRDefault="008E5688" w:rsidP="000D3811">
      <w:pPr>
        <w:keepNext/>
        <w:keepLines/>
        <w:rPr>
          <w:rFonts w:eastAsia="Times New Roman"/>
          <w:lang w:val="uk-UA"/>
        </w:rPr>
      </w:pPr>
      <w:r w:rsidRPr="0024327D">
        <w:rPr>
          <w:rFonts w:eastAsia="Times New Roman"/>
          <w:lang w:val="uk-UA"/>
        </w:rPr>
        <w:t xml:space="preserve">Компанія Investment Capital Ukraine вважала, що основними інвесторами у забезпечені активами цінні папери, будуть місцеві страхові компанії та пенсійні фонди, особливо після реформи пенсійної системи 2-го рівня. Громадська спілка </w:t>
      </w:r>
      <w:r w:rsidR="00064891" w:rsidRPr="0024327D">
        <w:rPr>
          <w:lang w:val="uk-UA"/>
        </w:rPr>
        <w:t>“</w:t>
      </w:r>
      <w:r w:rsidR="00064891" w:rsidRPr="0024327D">
        <w:rPr>
          <w:rFonts w:eastAsia="Times New Roman"/>
          <w:lang w:val="uk-UA"/>
        </w:rPr>
        <w:t>Українське об'єднання ринків капіталу</w:t>
      </w:r>
      <w:r w:rsidR="00064891" w:rsidRPr="0024327D">
        <w:rPr>
          <w:lang w:val="uk-UA"/>
        </w:rPr>
        <w:t xml:space="preserve">” </w:t>
      </w:r>
      <w:r w:rsidRPr="0024327D">
        <w:rPr>
          <w:rFonts w:eastAsia="Times New Roman"/>
          <w:lang w:val="uk-UA"/>
        </w:rPr>
        <w:t xml:space="preserve">(UCMA) підкреслила інтерес багатьох груп інвесторів до німецьких та польських </w:t>
      </w:r>
      <w:r w:rsidR="00645A85" w:rsidRPr="0024327D">
        <w:rPr>
          <w:rFonts w:eastAsia="Times New Roman"/>
          <w:lang w:val="uk-UA"/>
        </w:rPr>
        <w:t>облігацій з покриттям</w:t>
      </w:r>
      <w:r w:rsidRPr="0024327D">
        <w:rPr>
          <w:rFonts w:eastAsia="Times New Roman"/>
          <w:lang w:val="uk-UA"/>
        </w:rPr>
        <w:t xml:space="preserve"> та передбачила, що це може бути актуальним також для України після запровадження </w:t>
      </w:r>
      <w:r w:rsidR="00645A85" w:rsidRPr="0024327D">
        <w:rPr>
          <w:rFonts w:eastAsia="Times New Roman"/>
          <w:lang w:val="uk-UA"/>
        </w:rPr>
        <w:t>облігацій з покриттям</w:t>
      </w:r>
      <w:r w:rsidRPr="0024327D">
        <w:rPr>
          <w:rFonts w:eastAsia="Times New Roman"/>
          <w:lang w:val="uk-UA"/>
        </w:rPr>
        <w:t>. Що стосується місцевих страхових компаній, у рамках Про</w:t>
      </w:r>
      <w:r w:rsidR="005312A7" w:rsidRPr="0024327D">
        <w:rPr>
          <w:rFonts w:eastAsia="Times New Roman"/>
          <w:lang w:val="uk-UA"/>
        </w:rPr>
        <w:t>є</w:t>
      </w:r>
      <w:r w:rsidRPr="0024327D">
        <w:rPr>
          <w:rFonts w:eastAsia="Times New Roman"/>
          <w:lang w:val="uk-UA"/>
        </w:rPr>
        <w:t xml:space="preserve">кту USAID </w:t>
      </w:r>
      <w:r w:rsidR="00064891" w:rsidRPr="0024327D">
        <w:rPr>
          <w:lang w:val="uk-UA"/>
        </w:rPr>
        <w:t>“</w:t>
      </w:r>
      <w:r w:rsidRPr="0024327D">
        <w:rPr>
          <w:rFonts w:eastAsia="Times New Roman"/>
          <w:lang w:val="uk-UA"/>
        </w:rPr>
        <w:t>Трансформація фінансового сектору</w:t>
      </w:r>
      <w:r w:rsidR="00064891" w:rsidRPr="0024327D">
        <w:rPr>
          <w:lang w:val="uk-UA"/>
        </w:rPr>
        <w:t>”</w:t>
      </w:r>
      <w:r w:rsidRPr="0024327D">
        <w:rPr>
          <w:rFonts w:eastAsia="Times New Roman"/>
          <w:lang w:val="uk-UA"/>
        </w:rPr>
        <w:t xml:space="preserve"> було зауважено, що серед 320 страхових компаній, зареєстрованих в Україні, багато фіктивних або таких, що використовуються для відмивання коштів.</w:t>
      </w:r>
      <w:r w:rsidR="00A173E1" w:rsidRPr="0024327D">
        <w:rPr>
          <w:rStyle w:val="af2"/>
          <w:rFonts w:eastAsia="Times New Roman"/>
          <w:lang w:val="uk-UA"/>
        </w:rPr>
        <w:footnoteReference w:id="63"/>
      </w:r>
    </w:p>
    <w:p w14:paraId="567059B0" w14:textId="57E317CE" w:rsidR="008E5688" w:rsidRPr="0024327D" w:rsidRDefault="00C976E8" w:rsidP="001A3C33">
      <w:pPr>
        <w:keepNext/>
        <w:keepLines/>
        <w:numPr>
          <w:ilvl w:val="2"/>
          <w:numId w:val="20"/>
        </w:numPr>
        <w:spacing w:before="240" w:line="240" w:lineRule="auto"/>
        <w:ind w:left="861"/>
        <w:outlineLvl w:val="2"/>
        <w:rPr>
          <w:rFonts w:eastAsiaTheme="majorEastAsia" w:cstheme="majorBidi"/>
          <w:color w:val="2E74B5" w:themeColor="accent1" w:themeShade="BF"/>
          <w:sz w:val="28"/>
          <w:szCs w:val="28"/>
          <w:lang w:val="uk-UA"/>
        </w:rPr>
      </w:pPr>
      <w:bookmarkStart w:id="184" w:name="_Toc95481028"/>
      <w:r w:rsidRPr="0024327D">
        <w:rPr>
          <w:rFonts w:eastAsiaTheme="majorEastAsia" w:cstheme="majorBidi"/>
          <w:color w:val="2E74B5" w:themeColor="accent1" w:themeShade="BF"/>
          <w:sz w:val="28"/>
          <w:szCs w:val="28"/>
          <w:lang w:val="uk-UA"/>
        </w:rPr>
        <w:t xml:space="preserve">Останні </w:t>
      </w:r>
      <w:r w:rsidR="008E5688" w:rsidRPr="0024327D">
        <w:rPr>
          <w:rFonts w:eastAsiaTheme="majorEastAsia" w:cstheme="majorBidi"/>
          <w:color w:val="2E74B5" w:themeColor="accent1" w:themeShade="BF"/>
          <w:sz w:val="28"/>
          <w:szCs w:val="28"/>
          <w:lang w:val="uk-UA"/>
        </w:rPr>
        <w:t>зміни в нормативно-правових актах ЄС, які слід враховувати</w:t>
      </w:r>
      <w:bookmarkEnd w:id="184"/>
    </w:p>
    <w:p w14:paraId="2F2D9239" w14:textId="76086BB2" w:rsidR="008E5688" w:rsidRPr="0024327D" w:rsidRDefault="008E5688" w:rsidP="008E5688">
      <w:pPr>
        <w:rPr>
          <w:lang w:val="uk-UA"/>
        </w:rPr>
      </w:pPr>
      <w:r w:rsidRPr="0024327D">
        <w:rPr>
          <w:lang w:val="uk-UA"/>
        </w:rPr>
        <w:t xml:space="preserve">У грудні 2019 року Європейський парламент та Рада затвердили Директиву про </w:t>
      </w:r>
      <w:r w:rsidR="00FB118B" w:rsidRPr="0024327D">
        <w:rPr>
          <w:lang w:val="uk-UA"/>
        </w:rPr>
        <w:t>облігації з покриттям</w:t>
      </w:r>
      <w:r w:rsidRPr="0024327D">
        <w:rPr>
          <w:lang w:val="uk-UA"/>
        </w:rPr>
        <w:t xml:space="preserve"> (див. </w:t>
      </w:r>
      <w:r w:rsidR="006F306D" w:rsidRPr="0024327D">
        <w:rPr>
          <w:lang w:val="uk-UA"/>
        </w:rPr>
        <w:t xml:space="preserve">посилання в </w:t>
      </w:r>
      <w:r w:rsidRPr="0024327D">
        <w:rPr>
          <w:lang w:val="uk-UA"/>
        </w:rPr>
        <w:t>Додатк</w:t>
      </w:r>
      <w:r w:rsidR="006F306D" w:rsidRPr="0024327D">
        <w:rPr>
          <w:lang w:val="uk-UA"/>
        </w:rPr>
        <w:t>у</w:t>
      </w:r>
      <w:r w:rsidRPr="0024327D">
        <w:rPr>
          <w:lang w:val="uk-UA"/>
        </w:rPr>
        <w:t xml:space="preserve"> 5). Зокрема, це вимагає від держав-членів ЄС та країн-кандидатів чи потенційних кандидатів впровадити </w:t>
      </w:r>
      <w:r w:rsidR="006F306D" w:rsidRPr="0024327D">
        <w:rPr>
          <w:lang w:val="uk-UA"/>
        </w:rPr>
        <w:t xml:space="preserve">регулювання </w:t>
      </w:r>
      <w:r w:rsidR="00645A85" w:rsidRPr="0024327D">
        <w:rPr>
          <w:lang w:val="uk-UA"/>
        </w:rPr>
        <w:t>облігацій з покриттям</w:t>
      </w:r>
      <w:r w:rsidRPr="0024327D">
        <w:rPr>
          <w:lang w:val="uk-UA"/>
        </w:rPr>
        <w:t xml:space="preserve"> відповідно до вимог директиви. Крім того, вона вимагає від Європейської Комісії розглянути (до 2024 р.) </w:t>
      </w:r>
      <w:r w:rsidR="00064891" w:rsidRPr="0024327D">
        <w:rPr>
          <w:lang w:val="uk-UA"/>
        </w:rPr>
        <w:t>“</w:t>
      </w:r>
      <w:r w:rsidRPr="0024327D">
        <w:rPr>
          <w:lang w:val="uk-UA"/>
        </w:rPr>
        <w:t>еквівалентний</w:t>
      </w:r>
      <w:r w:rsidR="00064891" w:rsidRPr="0024327D">
        <w:rPr>
          <w:lang w:val="uk-UA"/>
        </w:rPr>
        <w:t>”</w:t>
      </w:r>
      <w:r w:rsidRPr="0024327D">
        <w:rPr>
          <w:lang w:val="uk-UA"/>
        </w:rPr>
        <w:t xml:space="preserve"> режим для </w:t>
      </w:r>
      <w:r w:rsidR="00645A85" w:rsidRPr="0024327D">
        <w:rPr>
          <w:lang w:val="uk-UA"/>
        </w:rPr>
        <w:t>облігацій з покриттям</w:t>
      </w:r>
      <w:r w:rsidR="00ED04CF" w:rsidRPr="0024327D">
        <w:rPr>
          <w:lang w:val="uk-UA"/>
        </w:rPr>
        <w:t>, випущених в державах</w:t>
      </w:r>
      <w:r w:rsidRPr="0024327D">
        <w:rPr>
          <w:lang w:val="uk-UA"/>
        </w:rPr>
        <w:t xml:space="preserve">, що не є членами ЄС, що відповідають принципам, визначеним в директиві, що </w:t>
      </w:r>
      <w:r w:rsidR="00ED04CF" w:rsidRPr="0024327D">
        <w:rPr>
          <w:lang w:val="uk-UA"/>
        </w:rPr>
        <w:t xml:space="preserve">повинен дозволяти застосування до таких облігацій </w:t>
      </w:r>
      <w:r w:rsidRPr="0024327D">
        <w:rPr>
          <w:lang w:val="uk-UA"/>
        </w:rPr>
        <w:t>режим</w:t>
      </w:r>
      <w:r w:rsidR="00ED04CF" w:rsidRPr="0024327D">
        <w:rPr>
          <w:lang w:val="uk-UA"/>
        </w:rPr>
        <w:t xml:space="preserve">у, еквівалентного </w:t>
      </w:r>
      <w:r w:rsidR="001939C0" w:rsidRPr="0024327D">
        <w:rPr>
          <w:lang w:val="uk-UA"/>
        </w:rPr>
        <w:t xml:space="preserve">тому, що </w:t>
      </w:r>
      <w:r w:rsidR="008C77CE" w:rsidRPr="0024327D">
        <w:rPr>
          <w:lang w:val="uk-UA"/>
        </w:rPr>
        <w:t>д</w:t>
      </w:r>
      <w:r w:rsidR="001939C0" w:rsidRPr="0024327D">
        <w:rPr>
          <w:lang w:val="uk-UA"/>
        </w:rPr>
        <w:t xml:space="preserve">іє для </w:t>
      </w:r>
      <w:r w:rsidR="00645A85" w:rsidRPr="0024327D">
        <w:rPr>
          <w:lang w:val="uk-UA"/>
        </w:rPr>
        <w:t>облігацій з покриттям</w:t>
      </w:r>
      <w:r w:rsidR="008C77CE" w:rsidRPr="0024327D">
        <w:rPr>
          <w:lang w:val="uk-UA"/>
        </w:rPr>
        <w:t>, випущених в ЄС</w:t>
      </w:r>
      <w:r w:rsidR="001939C0" w:rsidRPr="0024327D">
        <w:rPr>
          <w:lang w:val="uk-UA"/>
        </w:rPr>
        <w:t>, зокрема</w:t>
      </w:r>
      <w:r w:rsidRPr="0024327D">
        <w:rPr>
          <w:lang w:val="uk-UA"/>
        </w:rPr>
        <w:t xml:space="preserve"> згідно з пруденційними</w:t>
      </w:r>
      <w:r w:rsidR="008C77CE" w:rsidRPr="0024327D">
        <w:rPr>
          <w:lang w:val="uk-UA"/>
        </w:rPr>
        <w:t xml:space="preserve"> </w:t>
      </w:r>
      <w:r w:rsidR="001939C0" w:rsidRPr="0024327D">
        <w:rPr>
          <w:lang w:val="uk-UA"/>
        </w:rPr>
        <w:t>нормативами</w:t>
      </w:r>
      <w:r w:rsidR="008C77CE" w:rsidRPr="0024327D">
        <w:rPr>
          <w:lang w:val="uk-UA"/>
        </w:rPr>
        <w:t xml:space="preserve"> </w:t>
      </w:r>
      <w:r w:rsidRPr="0024327D">
        <w:rPr>
          <w:lang w:val="uk-UA"/>
        </w:rPr>
        <w:t xml:space="preserve">ЄС. Було б доречним розглянути наслідки цієї директиви в поточному процесі. </w:t>
      </w:r>
      <w:r w:rsidR="00C32965" w:rsidRPr="0024327D">
        <w:rPr>
          <w:lang w:val="uk-UA"/>
        </w:rPr>
        <w:t xml:space="preserve">Хоча Україна з часом має стати повноправним членом ЄС, проміжною метою може бути </w:t>
      </w:r>
      <w:r w:rsidRPr="0024327D">
        <w:rPr>
          <w:lang w:val="uk-UA"/>
        </w:rPr>
        <w:t xml:space="preserve">визнання "еквівалентного" режиму для </w:t>
      </w:r>
      <w:r w:rsidR="00645A85" w:rsidRPr="0024327D">
        <w:rPr>
          <w:lang w:val="uk-UA"/>
        </w:rPr>
        <w:t>облігацій з покриттям</w:t>
      </w:r>
      <w:r w:rsidRPr="0024327D">
        <w:rPr>
          <w:lang w:val="uk-UA"/>
        </w:rPr>
        <w:t>, випущених за українським законодавством.</w:t>
      </w:r>
    </w:p>
    <w:p w14:paraId="2E18FE08" w14:textId="4D0FA318" w:rsidR="008F63F5" w:rsidRPr="0024327D" w:rsidRDefault="005312A7" w:rsidP="008F63F5">
      <w:pPr>
        <w:rPr>
          <w:rFonts w:eastAsia="Times New Roman"/>
          <w:lang w:val="uk-UA"/>
        </w:rPr>
      </w:pPr>
      <w:bookmarkStart w:id="185" w:name="_Toc95481029"/>
      <w:r w:rsidRPr="0024327D">
        <w:rPr>
          <w:rFonts w:eastAsiaTheme="majorEastAsia" w:cstheme="majorBidi"/>
          <w:color w:val="2E74B5" w:themeColor="accent1" w:themeShade="BF"/>
          <w:sz w:val="28"/>
          <w:szCs w:val="28"/>
          <w:lang w:val="uk-UA"/>
        </w:rPr>
        <w:t>Висновок</w:t>
      </w:r>
      <w:r w:rsidR="00B34CEB" w:rsidRPr="0024327D">
        <w:rPr>
          <w:rFonts w:eastAsiaTheme="majorEastAsia" w:cstheme="majorBidi"/>
          <w:color w:val="2E74B5" w:themeColor="accent1" w:themeShade="BF"/>
          <w:sz w:val="28"/>
          <w:szCs w:val="28"/>
          <w:lang w:val="uk-UA"/>
        </w:rPr>
        <w:t xml:space="preserve"> </w:t>
      </w:r>
      <w:bookmarkEnd w:id="185"/>
    </w:p>
    <w:p w14:paraId="02AABEED" w14:textId="6BF0A7E8" w:rsidR="001A0ECD" w:rsidRPr="0024327D" w:rsidRDefault="00132128" w:rsidP="008F63F5">
      <w:pPr>
        <w:rPr>
          <w:rFonts w:eastAsia="Times New Roman"/>
          <w:lang w:val="uk-UA"/>
        </w:rPr>
      </w:pPr>
      <w:r w:rsidRPr="0024327D">
        <w:rPr>
          <w:rFonts w:eastAsia="Times New Roman"/>
          <w:lang w:val="uk-UA"/>
        </w:rPr>
        <w:t>С</w:t>
      </w:r>
      <w:r w:rsidR="008E5688" w:rsidRPr="0024327D">
        <w:rPr>
          <w:rFonts w:eastAsia="Times New Roman"/>
          <w:lang w:val="uk-UA"/>
        </w:rPr>
        <w:t xml:space="preserve">истема регулювання сек'юритизації та </w:t>
      </w:r>
      <w:r w:rsidR="00645A85" w:rsidRPr="0024327D">
        <w:rPr>
          <w:rFonts w:eastAsia="Times New Roman"/>
          <w:lang w:val="uk-UA"/>
        </w:rPr>
        <w:t>облігацій з покриттям</w:t>
      </w:r>
      <w:r w:rsidR="008E5688" w:rsidRPr="0024327D">
        <w:rPr>
          <w:rFonts w:eastAsia="Times New Roman"/>
          <w:lang w:val="uk-UA"/>
        </w:rPr>
        <w:t xml:space="preserve"> повинна</w:t>
      </w:r>
      <w:r w:rsidR="00BB0F61" w:rsidRPr="0024327D">
        <w:rPr>
          <w:rFonts w:eastAsia="Times New Roman"/>
          <w:lang w:val="uk-UA"/>
        </w:rPr>
        <w:br/>
      </w:r>
      <w:r w:rsidR="008E5688" w:rsidRPr="0024327D">
        <w:rPr>
          <w:rFonts w:eastAsia="Times New Roman"/>
          <w:lang w:val="uk-UA"/>
        </w:rPr>
        <w:t>бути впроваджена в Україні новим загальним законом</w:t>
      </w:r>
      <w:r w:rsidR="00DE7FEE" w:rsidRPr="0024327D">
        <w:rPr>
          <w:rFonts w:eastAsia="Times New Roman"/>
          <w:lang w:val="uk-UA"/>
        </w:rPr>
        <w:t xml:space="preserve">, який буде </w:t>
      </w:r>
      <w:r w:rsidR="00BE2870" w:rsidRPr="0024327D">
        <w:rPr>
          <w:rFonts w:eastAsia="Times New Roman"/>
          <w:lang w:val="uk-UA"/>
        </w:rPr>
        <w:t>включати загальні розділи, що регулюватимуть спільні для двох інструментів елементи (наприклад</w:t>
      </w:r>
      <w:r w:rsidR="00BB0F61" w:rsidRPr="0024327D">
        <w:rPr>
          <w:rFonts w:eastAsia="Times New Roman"/>
          <w:lang w:val="uk-UA"/>
        </w:rPr>
        <w:t>,</w:t>
      </w:r>
      <w:r w:rsidR="00BE2870" w:rsidRPr="0024327D">
        <w:rPr>
          <w:rFonts w:eastAsia="Times New Roman"/>
          <w:lang w:val="uk-UA"/>
        </w:rPr>
        <w:t xml:space="preserve"> статус та функціонування Компанії спеціального призначення)</w:t>
      </w:r>
      <w:r w:rsidR="00397821" w:rsidRPr="0024327D">
        <w:rPr>
          <w:rFonts w:eastAsia="Times New Roman"/>
          <w:lang w:val="uk-UA"/>
        </w:rPr>
        <w:t>, а також окремі розділи, які регулюватимуть аспекти, спеціальні для кожного інструменту.</w:t>
      </w:r>
      <w:r w:rsidR="00BE2870" w:rsidRPr="0024327D">
        <w:rPr>
          <w:rFonts w:eastAsia="Times New Roman"/>
          <w:lang w:val="uk-UA"/>
        </w:rPr>
        <w:t xml:space="preserve"> </w:t>
      </w:r>
      <w:r w:rsidR="008E5688" w:rsidRPr="0024327D">
        <w:rPr>
          <w:rFonts w:eastAsia="Times New Roman"/>
          <w:lang w:val="uk-UA"/>
        </w:rPr>
        <w:t xml:space="preserve"> </w:t>
      </w:r>
      <w:r w:rsidR="00493ADF" w:rsidRPr="0024327D">
        <w:rPr>
          <w:rFonts w:eastAsia="Times New Roman"/>
          <w:lang w:val="uk-UA"/>
        </w:rPr>
        <w:t xml:space="preserve">Наявні </w:t>
      </w:r>
      <w:r w:rsidR="008E5688" w:rsidRPr="0024327D">
        <w:rPr>
          <w:rFonts w:eastAsia="Times New Roman"/>
          <w:lang w:val="uk-UA"/>
        </w:rPr>
        <w:t xml:space="preserve">закони України потрібно буде привести у відповідність до нової системи регулювання. </w:t>
      </w:r>
      <w:r w:rsidR="001A0ECD" w:rsidRPr="0024327D">
        <w:rPr>
          <w:rFonts w:eastAsia="Times New Roman"/>
          <w:lang w:val="uk-UA"/>
        </w:rPr>
        <w:t xml:space="preserve"> </w:t>
      </w:r>
    </w:p>
    <w:p w14:paraId="3A8C1314" w14:textId="637B06D7" w:rsidR="00F65354" w:rsidRPr="0024327D" w:rsidRDefault="001A0ECD" w:rsidP="008F63F5">
      <w:pPr>
        <w:rPr>
          <w:rFonts w:eastAsia="Times New Roman"/>
          <w:lang w:val="uk-UA"/>
        </w:rPr>
      </w:pPr>
      <w:r w:rsidRPr="0024327D">
        <w:rPr>
          <w:rFonts w:eastAsia="Times New Roman"/>
          <w:lang w:val="uk-UA"/>
        </w:rPr>
        <w:t>Розроблений Законопроєкт планується  надати всім зацікавленим сторонам та учасникам ринку, для отримання пропозицій та зауважень, та проведення відповідних узгоджень   до  подання на розгляд Верховної Ради України.</w:t>
      </w:r>
      <w:r w:rsidR="00A150E9" w:rsidRPr="0024327D">
        <w:rPr>
          <w:rFonts w:eastAsia="Times New Roman"/>
          <w:lang w:val="uk-UA"/>
        </w:rPr>
        <w:t xml:space="preserve"> Після прийняття </w:t>
      </w:r>
      <w:r w:rsidR="00957119" w:rsidRPr="0024327D">
        <w:rPr>
          <w:rFonts w:eastAsia="Times New Roman"/>
          <w:lang w:val="uk-UA"/>
        </w:rPr>
        <w:t>з</w:t>
      </w:r>
      <w:r w:rsidR="00A150E9" w:rsidRPr="0024327D">
        <w:rPr>
          <w:rFonts w:eastAsia="Times New Roman"/>
          <w:lang w:val="uk-UA"/>
        </w:rPr>
        <w:t>аконопроєкту Верховною Радою України, буде здійснюватися розробка відповідної нормативної бази, необхідної для його реалізації, в тому числі із залученням технічної допомоги.</w:t>
      </w:r>
    </w:p>
    <w:p w14:paraId="68D62D37" w14:textId="34036E1F" w:rsidR="008E5688" w:rsidRPr="0024327D" w:rsidRDefault="008E5688" w:rsidP="00F65354">
      <w:pPr>
        <w:rPr>
          <w:rFonts w:eastAsia="Times New Roman"/>
          <w:lang w:val="uk-UA"/>
        </w:rPr>
      </w:pPr>
    </w:p>
    <w:p w14:paraId="24F886FE" w14:textId="3C7B3D3D" w:rsidR="006F4D48" w:rsidRPr="0024327D" w:rsidRDefault="006F4D48" w:rsidP="006F4D48">
      <w:pPr>
        <w:pStyle w:val="1"/>
        <w:numPr>
          <w:ilvl w:val="0"/>
          <w:numId w:val="0"/>
        </w:numPr>
        <w:rPr>
          <w:lang w:val="uk-UA"/>
        </w:rPr>
      </w:pPr>
      <w:bookmarkStart w:id="186" w:name="_Toc462854360"/>
      <w:bookmarkStart w:id="187" w:name="_Toc464582384"/>
      <w:bookmarkStart w:id="188" w:name="_Toc513553471"/>
      <w:bookmarkStart w:id="189" w:name="_Toc6942271"/>
      <w:bookmarkStart w:id="190" w:name="_Toc5081061"/>
      <w:bookmarkStart w:id="191" w:name="_Toc27153481"/>
      <w:bookmarkStart w:id="192" w:name="_Toc32498764"/>
      <w:bookmarkStart w:id="193" w:name="_Toc95481030"/>
      <w:r w:rsidRPr="0024327D">
        <w:rPr>
          <w:lang w:val="uk-UA"/>
        </w:rPr>
        <w:lastRenderedPageBreak/>
        <w:t xml:space="preserve">Додаток 1: </w:t>
      </w:r>
      <w:bookmarkEnd w:id="186"/>
      <w:bookmarkEnd w:id="187"/>
      <w:bookmarkEnd w:id="188"/>
      <w:bookmarkEnd w:id="189"/>
      <w:bookmarkEnd w:id="190"/>
      <w:bookmarkEnd w:id="191"/>
      <w:bookmarkEnd w:id="192"/>
      <w:r w:rsidRPr="0024327D">
        <w:rPr>
          <w:lang w:val="uk-UA"/>
        </w:rPr>
        <w:t xml:space="preserve">Рекомендації </w:t>
      </w:r>
      <w:r w:rsidR="005B01FE" w:rsidRPr="0024327D">
        <w:rPr>
          <w:lang w:val="uk-UA"/>
        </w:rPr>
        <w:t>Європейської служби банківського нагляду (EBA)</w:t>
      </w:r>
      <w:r w:rsidRPr="0024327D">
        <w:rPr>
          <w:lang w:val="uk-UA"/>
        </w:rPr>
        <w:t xml:space="preserve"> щодо найкращих практик у сфері </w:t>
      </w:r>
      <w:r w:rsidR="00645A85" w:rsidRPr="0024327D">
        <w:rPr>
          <w:lang w:val="uk-UA"/>
        </w:rPr>
        <w:t>облігацій з покриттям</w:t>
      </w:r>
      <w:bookmarkEnd w:id="193"/>
    </w:p>
    <w:p w14:paraId="6D5F81B5" w14:textId="426C5766" w:rsidR="006F4D48" w:rsidRPr="0024327D" w:rsidRDefault="006F4D48" w:rsidP="006F4D48">
      <w:pPr>
        <w:jc w:val="left"/>
        <w:rPr>
          <w:lang w:val="uk-UA"/>
        </w:rPr>
      </w:pPr>
      <w:r w:rsidRPr="0024327D">
        <w:rPr>
          <w:lang w:val="uk-UA"/>
        </w:rPr>
        <w:t xml:space="preserve">Нижче </w:t>
      </w:r>
      <w:r w:rsidR="00224E7E" w:rsidRPr="0024327D">
        <w:rPr>
          <w:lang w:val="uk-UA"/>
        </w:rPr>
        <w:t xml:space="preserve">наведено </w:t>
      </w:r>
      <w:r w:rsidRPr="0024327D">
        <w:rPr>
          <w:lang w:val="uk-UA"/>
        </w:rPr>
        <w:t xml:space="preserve">короткий підсумок основних рекомендацій. Більш детальна інформація доступна за посиланням </w:t>
      </w:r>
      <w:hyperlink r:id="rId8" w:history="1">
        <w:r w:rsidRPr="0024327D">
          <w:rPr>
            <w:rStyle w:val="af4"/>
            <w:lang w:val="uk-UA"/>
          </w:rPr>
          <w:t>www.eba.europa.eu/documents/10180/534414/EBA+Report+on+EU+Covered+Bond+Frameworks+and+Capital+Treatment.pdf</w:t>
        </w:r>
      </w:hyperlink>
      <w:r w:rsidRPr="0024327D">
        <w:rPr>
          <w:lang w:val="uk-UA"/>
        </w:rPr>
        <w:t>.</w:t>
      </w:r>
    </w:p>
    <w:p w14:paraId="03FFE8E1" w14:textId="7DFD7063" w:rsidR="006F4D48" w:rsidRPr="0024327D" w:rsidRDefault="006F4D48" w:rsidP="006F4D48">
      <w:pPr>
        <w:pStyle w:val="a4"/>
        <w:numPr>
          <w:ilvl w:val="0"/>
          <w:numId w:val="4"/>
        </w:numPr>
        <w:ind w:left="567"/>
        <w:rPr>
          <w:rFonts w:eastAsiaTheme="majorEastAsia" w:cstheme="majorBidi"/>
          <w:color w:val="1F4E79" w:themeColor="accent1" w:themeShade="80"/>
          <w:sz w:val="36"/>
          <w:szCs w:val="36"/>
          <w:lang w:val="uk-UA"/>
        </w:rPr>
      </w:pPr>
      <w:r w:rsidRPr="0024327D">
        <w:rPr>
          <w:b/>
          <w:bCs/>
          <w:lang w:val="uk-UA"/>
        </w:rPr>
        <w:t>Подвійний регрес</w:t>
      </w:r>
      <w:r w:rsidRPr="0024327D">
        <w:rPr>
          <w:lang w:val="uk-UA"/>
        </w:rPr>
        <w:t xml:space="preserve">. Інвестори в </w:t>
      </w:r>
      <w:r w:rsidR="00FB118B" w:rsidRPr="0024327D">
        <w:rPr>
          <w:lang w:val="uk-UA"/>
        </w:rPr>
        <w:t>облігації з покриттям</w:t>
      </w:r>
      <w:r w:rsidRPr="0024327D">
        <w:rPr>
          <w:lang w:val="uk-UA"/>
        </w:rPr>
        <w:t xml:space="preserve"> повинні мати право </w:t>
      </w:r>
      <w:r w:rsidR="00224E7E" w:rsidRPr="0024327D">
        <w:rPr>
          <w:lang w:val="uk-UA"/>
        </w:rPr>
        <w:t xml:space="preserve">вимоги </w:t>
      </w:r>
      <w:r w:rsidRPr="0024327D">
        <w:rPr>
          <w:lang w:val="uk-UA"/>
        </w:rPr>
        <w:t xml:space="preserve">як по відношенню до емітента облігацій (або до </w:t>
      </w:r>
      <w:r w:rsidR="000937EF" w:rsidRPr="0024327D">
        <w:rPr>
          <w:lang w:val="uk-UA"/>
        </w:rPr>
        <w:t xml:space="preserve">його ліквідаційної маси </w:t>
      </w:r>
      <w:r w:rsidRPr="0024327D">
        <w:rPr>
          <w:lang w:val="uk-UA"/>
        </w:rPr>
        <w:t xml:space="preserve">і на рівноправних умовах з іншими кредиторами), так і до активів у пулі </w:t>
      </w:r>
      <w:r w:rsidR="00C93CE0" w:rsidRPr="0024327D">
        <w:rPr>
          <w:lang w:val="uk-UA"/>
        </w:rPr>
        <w:t>покриття</w:t>
      </w:r>
      <w:r w:rsidRPr="0024327D">
        <w:rPr>
          <w:lang w:val="uk-UA"/>
        </w:rPr>
        <w:t xml:space="preserve">. </w:t>
      </w:r>
    </w:p>
    <w:p w14:paraId="0B95B76A" w14:textId="26565514" w:rsidR="006F4D48" w:rsidRPr="0024327D" w:rsidRDefault="006F4D48" w:rsidP="006F4D48">
      <w:pPr>
        <w:pStyle w:val="a4"/>
        <w:numPr>
          <w:ilvl w:val="0"/>
          <w:numId w:val="4"/>
        </w:numPr>
        <w:ind w:left="567"/>
        <w:rPr>
          <w:rFonts w:eastAsiaTheme="majorEastAsia" w:cstheme="majorBidi"/>
          <w:color w:val="1F4E79" w:themeColor="accent1" w:themeShade="80"/>
          <w:sz w:val="36"/>
          <w:szCs w:val="36"/>
          <w:lang w:val="uk-UA"/>
        </w:rPr>
      </w:pPr>
      <w:r w:rsidRPr="0024327D">
        <w:rPr>
          <w:b/>
          <w:bCs/>
          <w:lang w:val="uk-UA"/>
        </w:rPr>
        <w:t xml:space="preserve">А. </w:t>
      </w:r>
      <w:r w:rsidR="000937EF" w:rsidRPr="0024327D">
        <w:rPr>
          <w:b/>
          <w:bCs/>
          <w:lang w:val="uk-UA"/>
        </w:rPr>
        <w:t xml:space="preserve">Відокремлення </w:t>
      </w:r>
      <w:r w:rsidRPr="0024327D">
        <w:rPr>
          <w:b/>
          <w:bCs/>
          <w:lang w:val="uk-UA"/>
        </w:rPr>
        <w:t>активів</w:t>
      </w:r>
      <w:r w:rsidR="000937EF" w:rsidRPr="0024327D">
        <w:rPr>
          <w:b/>
          <w:bCs/>
          <w:lang w:val="uk-UA"/>
        </w:rPr>
        <w:t>, що становлять</w:t>
      </w:r>
      <w:r w:rsidRPr="0024327D">
        <w:rPr>
          <w:b/>
          <w:bCs/>
          <w:lang w:val="uk-UA"/>
        </w:rPr>
        <w:t xml:space="preserve"> забезпечення</w:t>
      </w:r>
      <w:r w:rsidRPr="0024327D">
        <w:rPr>
          <w:lang w:val="uk-UA"/>
        </w:rPr>
        <w:t xml:space="preserve">. Активи у пулі </w:t>
      </w:r>
      <w:r w:rsidR="00C93CE0" w:rsidRPr="0024327D">
        <w:rPr>
          <w:lang w:val="uk-UA"/>
        </w:rPr>
        <w:t>покриття</w:t>
      </w:r>
      <w:r w:rsidRPr="0024327D">
        <w:rPr>
          <w:lang w:val="uk-UA"/>
        </w:rPr>
        <w:t xml:space="preserve">, повинні бути достатньо відокремленими та ідентифікованими. </w:t>
      </w:r>
      <w:r w:rsidR="009671AE" w:rsidRPr="0024327D">
        <w:rPr>
          <w:lang w:val="uk-UA"/>
        </w:rPr>
        <w:t xml:space="preserve">Відокремлення </w:t>
      </w:r>
      <w:r w:rsidRPr="0024327D">
        <w:rPr>
          <w:lang w:val="uk-UA"/>
        </w:rPr>
        <w:t>повинно бути юридично обов'язковим та</w:t>
      </w:r>
      <w:r w:rsidR="009671AE" w:rsidRPr="0024327D">
        <w:rPr>
          <w:lang w:val="uk-UA"/>
        </w:rPr>
        <w:t xml:space="preserve"> визнаватись у суді</w:t>
      </w:r>
      <w:r w:rsidRPr="0024327D">
        <w:rPr>
          <w:lang w:val="uk-UA"/>
        </w:rPr>
        <w:t xml:space="preserve">. </w:t>
      </w:r>
      <w:r w:rsidR="00F80C26" w:rsidRPr="0024327D">
        <w:rPr>
          <w:lang w:val="uk-UA"/>
        </w:rPr>
        <w:t xml:space="preserve">Це повинно стосуватись як </w:t>
      </w:r>
      <w:r w:rsidRPr="0024327D">
        <w:rPr>
          <w:lang w:val="uk-UA"/>
        </w:rPr>
        <w:t>первинн</w:t>
      </w:r>
      <w:r w:rsidR="00F80C26" w:rsidRPr="0024327D">
        <w:rPr>
          <w:lang w:val="uk-UA"/>
        </w:rPr>
        <w:t>их активів, так і</w:t>
      </w:r>
      <w:r w:rsidRPr="0024327D">
        <w:rPr>
          <w:lang w:val="uk-UA"/>
        </w:rPr>
        <w:t xml:space="preserve"> актив</w:t>
      </w:r>
      <w:r w:rsidR="00F80C26" w:rsidRPr="0024327D">
        <w:rPr>
          <w:lang w:val="uk-UA"/>
        </w:rPr>
        <w:t>ів-замінників</w:t>
      </w:r>
      <w:r w:rsidRPr="0024327D">
        <w:rPr>
          <w:lang w:val="uk-UA"/>
        </w:rPr>
        <w:t xml:space="preserve"> та</w:t>
      </w:r>
      <w:r w:rsidR="001846F5" w:rsidRPr="0024327D">
        <w:rPr>
          <w:rFonts w:eastAsia="Times New Roman"/>
          <w:lang w:val="uk-UA"/>
        </w:rPr>
        <w:t xml:space="preserve"> деривативних фінансових інструментів</w:t>
      </w:r>
      <w:r w:rsidRPr="0024327D">
        <w:rPr>
          <w:lang w:val="uk-UA"/>
        </w:rPr>
        <w:t>.</w:t>
      </w:r>
    </w:p>
    <w:p w14:paraId="09AA0F6A" w14:textId="590A9BC2" w:rsidR="006F4D48" w:rsidRPr="0024327D" w:rsidRDefault="006F4D48" w:rsidP="006F4D48">
      <w:pPr>
        <w:pStyle w:val="a4"/>
        <w:numPr>
          <w:ilvl w:val="0"/>
          <w:numId w:val="4"/>
        </w:numPr>
        <w:ind w:left="567"/>
        <w:rPr>
          <w:rFonts w:eastAsiaTheme="majorEastAsia" w:cstheme="majorBidi"/>
          <w:color w:val="1F4E79" w:themeColor="accent1" w:themeShade="80"/>
          <w:sz w:val="36"/>
          <w:szCs w:val="36"/>
          <w:lang w:val="uk-UA"/>
        </w:rPr>
      </w:pPr>
      <w:r w:rsidRPr="0024327D">
        <w:rPr>
          <w:b/>
          <w:bCs/>
          <w:lang w:val="uk-UA"/>
        </w:rPr>
        <w:t>B&amp;C. Захист від банкрутства</w:t>
      </w:r>
      <w:r w:rsidRPr="0024327D">
        <w:rPr>
          <w:lang w:val="uk-UA"/>
        </w:rPr>
        <w:t xml:space="preserve">. Платіжні зобов'язання за облігаціями не повинні автоматично підлягати достроковому виконанню у разі </w:t>
      </w:r>
      <w:r w:rsidR="00F80C26" w:rsidRPr="0024327D">
        <w:rPr>
          <w:lang w:val="uk-UA"/>
        </w:rPr>
        <w:t xml:space="preserve">дефолту </w:t>
      </w:r>
      <w:r w:rsidRPr="0024327D">
        <w:rPr>
          <w:lang w:val="uk-UA"/>
        </w:rPr>
        <w:t xml:space="preserve">емітента. Процедури неплатоспроможності повинні надавати пріоритет вимогам інвестора в </w:t>
      </w:r>
      <w:r w:rsidR="00FB118B" w:rsidRPr="0024327D">
        <w:rPr>
          <w:lang w:val="uk-UA"/>
        </w:rPr>
        <w:t>облігації з покриттям</w:t>
      </w:r>
      <w:r w:rsidRPr="0024327D">
        <w:rPr>
          <w:lang w:val="uk-UA"/>
        </w:rPr>
        <w:t xml:space="preserve"> </w:t>
      </w:r>
      <w:r w:rsidR="00F80C26" w:rsidRPr="0024327D">
        <w:rPr>
          <w:lang w:val="uk-UA"/>
        </w:rPr>
        <w:t xml:space="preserve">до </w:t>
      </w:r>
      <w:r w:rsidRPr="0024327D">
        <w:rPr>
          <w:lang w:val="uk-UA"/>
        </w:rPr>
        <w:t>пул</w:t>
      </w:r>
      <w:r w:rsidR="00F80C26" w:rsidRPr="0024327D">
        <w:rPr>
          <w:lang w:val="uk-UA"/>
        </w:rPr>
        <w:t>у</w:t>
      </w:r>
      <w:r w:rsidRPr="0024327D">
        <w:rPr>
          <w:lang w:val="uk-UA"/>
        </w:rPr>
        <w:t xml:space="preserve"> </w:t>
      </w:r>
      <w:r w:rsidR="00C93CE0" w:rsidRPr="0024327D">
        <w:rPr>
          <w:lang w:val="uk-UA"/>
        </w:rPr>
        <w:t>покриття</w:t>
      </w:r>
      <w:r w:rsidRPr="0024327D">
        <w:rPr>
          <w:lang w:val="uk-UA"/>
        </w:rPr>
        <w:t xml:space="preserve">. </w:t>
      </w:r>
      <w:r w:rsidR="002A35AE" w:rsidRPr="0024327D">
        <w:rPr>
          <w:lang w:val="uk-UA"/>
        </w:rPr>
        <w:t>Арбітражний керуючий</w:t>
      </w:r>
      <w:r w:rsidR="00373F95" w:rsidRPr="0024327D">
        <w:rPr>
          <w:lang w:val="uk-UA"/>
        </w:rPr>
        <w:t xml:space="preserve"> </w:t>
      </w:r>
      <w:r w:rsidRPr="0024327D">
        <w:rPr>
          <w:lang w:val="uk-UA"/>
        </w:rPr>
        <w:t xml:space="preserve">повинен мати можливість вжити всіх дій, необхідних для реалізації інтересів інвестора в </w:t>
      </w:r>
      <w:r w:rsidR="00FB118B" w:rsidRPr="0024327D">
        <w:rPr>
          <w:lang w:val="uk-UA"/>
        </w:rPr>
        <w:t>облігації з покриттям</w:t>
      </w:r>
      <w:r w:rsidRPr="0024327D">
        <w:rPr>
          <w:lang w:val="uk-UA"/>
        </w:rPr>
        <w:t xml:space="preserve">. </w:t>
      </w:r>
    </w:p>
    <w:p w14:paraId="5C1E07EF" w14:textId="5A93D76D" w:rsidR="006F4D48" w:rsidRPr="0024327D" w:rsidRDefault="006F4D48" w:rsidP="006F4D48">
      <w:pPr>
        <w:pStyle w:val="a4"/>
        <w:numPr>
          <w:ilvl w:val="0"/>
          <w:numId w:val="4"/>
        </w:numPr>
        <w:ind w:left="567"/>
        <w:rPr>
          <w:lang w:val="uk-UA"/>
        </w:rPr>
      </w:pPr>
      <w:r w:rsidRPr="0024327D">
        <w:rPr>
          <w:b/>
          <w:bCs/>
          <w:lang w:val="uk-UA"/>
        </w:rPr>
        <w:t xml:space="preserve">Пули </w:t>
      </w:r>
      <w:r w:rsidR="00C93CE0" w:rsidRPr="0024327D">
        <w:rPr>
          <w:b/>
          <w:bCs/>
          <w:lang w:val="uk-UA"/>
        </w:rPr>
        <w:t>покриття</w:t>
      </w:r>
      <w:r w:rsidRPr="0024327D">
        <w:rPr>
          <w:lang w:val="uk-UA"/>
        </w:rPr>
        <w:t xml:space="preserve">. Склад пулів </w:t>
      </w:r>
      <w:r w:rsidR="00C93CE0" w:rsidRPr="0024327D">
        <w:rPr>
          <w:lang w:val="uk-UA"/>
        </w:rPr>
        <w:t xml:space="preserve">покриття </w:t>
      </w:r>
      <w:r w:rsidRPr="0024327D">
        <w:rPr>
          <w:lang w:val="uk-UA"/>
        </w:rPr>
        <w:t xml:space="preserve">не повинен істотно змінюватися протягом </w:t>
      </w:r>
      <w:r w:rsidR="009634C1" w:rsidRPr="0024327D">
        <w:rPr>
          <w:lang w:val="uk-UA"/>
        </w:rPr>
        <w:t xml:space="preserve">строку обігу </w:t>
      </w:r>
      <w:r w:rsidRPr="0024327D">
        <w:rPr>
          <w:lang w:val="uk-UA"/>
        </w:rPr>
        <w:t>облігації</w:t>
      </w:r>
      <w:r w:rsidR="0090434C" w:rsidRPr="0024327D">
        <w:rPr>
          <w:lang w:val="uk-UA"/>
        </w:rPr>
        <w:t xml:space="preserve"> з покриттям</w:t>
      </w:r>
      <w:r w:rsidRPr="0024327D">
        <w:rPr>
          <w:lang w:val="uk-UA"/>
        </w:rPr>
        <w:t xml:space="preserve">. Пули </w:t>
      </w:r>
      <w:r w:rsidR="00C93CE0" w:rsidRPr="0024327D">
        <w:rPr>
          <w:lang w:val="uk-UA"/>
        </w:rPr>
        <w:t>покриття</w:t>
      </w:r>
      <w:r w:rsidRPr="0024327D">
        <w:rPr>
          <w:lang w:val="uk-UA"/>
        </w:rPr>
        <w:t>, як правило, повинні обмежуватися активами, що знаходяться в Є</w:t>
      </w:r>
      <w:r w:rsidR="009634C1" w:rsidRPr="0024327D">
        <w:rPr>
          <w:lang w:val="uk-UA"/>
        </w:rPr>
        <w:t>вропейській економічній зоні</w:t>
      </w:r>
      <w:r w:rsidRPr="0024327D">
        <w:rPr>
          <w:lang w:val="uk-UA"/>
        </w:rPr>
        <w:t>, або</w:t>
      </w:r>
      <w:r w:rsidR="000D4A28" w:rsidRPr="0024327D">
        <w:rPr>
          <w:lang w:val="uk-UA"/>
        </w:rPr>
        <w:t>,</w:t>
      </w:r>
      <w:r w:rsidRPr="0024327D">
        <w:rPr>
          <w:lang w:val="uk-UA"/>
        </w:rPr>
        <w:t xml:space="preserve"> для іпотечних активів</w:t>
      </w:r>
      <w:r w:rsidR="000D4A28" w:rsidRPr="0024327D">
        <w:rPr>
          <w:lang w:val="uk-UA"/>
        </w:rPr>
        <w:t xml:space="preserve">, </w:t>
      </w:r>
      <w:r w:rsidR="00D72892" w:rsidRPr="0024327D">
        <w:rPr>
          <w:lang w:val="uk-UA"/>
        </w:rPr>
        <w:t>розташованих в юрисдикції, яка не входить до Європейської економічної зони</w:t>
      </w:r>
      <w:r w:rsidR="00E82725" w:rsidRPr="0024327D">
        <w:rPr>
          <w:lang w:val="uk-UA"/>
        </w:rPr>
        <w:t xml:space="preserve">, </w:t>
      </w:r>
      <w:r w:rsidR="00696924" w:rsidRPr="0024327D">
        <w:rPr>
          <w:lang w:val="uk-UA"/>
        </w:rPr>
        <w:t>має бути встановлено</w:t>
      </w:r>
      <w:r w:rsidR="00446F7B" w:rsidRPr="0024327D">
        <w:rPr>
          <w:lang w:val="uk-UA"/>
        </w:rPr>
        <w:t>, що</w:t>
      </w:r>
      <w:r w:rsidRPr="0024327D">
        <w:rPr>
          <w:lang w:val="uk-UA"/>
        </w:rPr>
        <w:t xml:space="preserve"> пріоритетн</w:t>
      </w:r>
      <w:r w:rsidR="00B862D2" w:rsidRPr="0024327D">
        <w:rPr>
          <w:lang w:val="uk-UA"/>
        </w:rPr>
        <w:t>е право</w:t>
      </w:r>
      <w:r w:rsidRPr="0024327D">
        <w:rPr>
          <w:lang w:val="uk-UA"/>
        </w:rPr>
        <w:t xml:space="preserve"> вимог</w:t>
      </w:r>
      <w:r w:rsidR="00B862D2" w:rsidRPr="0024327D">
        <w:rPr>
          <w:lang w:val="uk-UA"/>
        </w:rPr>
        <w:t>и</w:t>
      </w:r>
      <w:r w:rsidRPr="0024327D">
        <w:rPr>
          <w:lang w:val="uk-UA"/>
        </w:rPr>
        <w:t xml:space="preserve"> має юридичну силу у відповідній юрисдикції. </w:t>
      </w:r>
    </w:p>
    <w:p w14:paraId="07233F08" w14:textId="30E2FB41" w:rsidR="006F4D48" w:rsidRPr="0024327D" w:rsidRDefault="006F4D48" w:rsidP="006F4D48">
      <w:pPr>
        <w:pStyle w:val="a4"/>
        <w:numPr>
          <w:ilvl w:val="0"/>
          <w:numId w:val="4"/>
        </w:numPr>
        <w:ind w:left="567"/>
        <w:rPr>
          <w:lang w:val="uk-UA"/>
        </w:rPr>
      </w:pPr>
      <w:r w:rsidRPr="0024327D">
        <w:rPr>
          <w:b/>
          <w:bCs/>
          <w:lang w:val="uk-UA"/>
        </w:rPr>
        <w:t>Межі</w:t>
      </w:r>
      <w:r w:rsidR="000D4A28" w:rsidRPr="0024327D">
        <w:rPr>
          <w:b/>
          <w:bCs/>
          <w:lang w:val="uk-UA"/>
        </w:rPr>
        <w:t xml:space="preserve"> співвідношення розміру позики до вартості забезпечення</w:t>
      </w:r>
      <w:r w:rsidRPr="0024327D">
        <w:rPr>
          <w:lang w:val="uk-UA"/>
        </w:rPr>
        <w:t>. Структура повинна встановлювати максимальні обмеження суми кредиту до вартості забезпечення для активів та стандарти для моніторингу та оцінки вартості майна.</w:t>
      </w:r>
    </w:p>
    <w:p w14:paraId="6E35DC43" w14:textId="68F91A6D" w:rsidR="006F4D48" w:rsidRPr="0024327D" w:rsidRDefault="006F4D48" w:rsidP="006F4D48">
      <w:pPr>
        <w:pStyle w:val="a4"/>
        <w:numPr>
          <w:ilvl w:val="0"/>
          <w:numId w:val="4"/>
        </w:numPr>
        <w:ind w:left="567"/>
        <w:rPr>
          <w:lang w:val="uk-UA"/>
        </w:rPr>
      </w:pPr>
      <w:r w:rsidRPr="0024327D">
        <w:rPr>
          <w:b/>
          <w:bCs/>
          <w:lang w:val="uk-UA"/>
        </w:rPr>
        <w:t xml:space="preserve">Покриття та </w:t>
      </w:r>
      <w:r w:rsidR="00C64488" w:rsidRPr="0024327D">
        <w:rPr>
          <w:b/>
          <w:bCs/>
          <w:lang w:val="uk-UA"/>
        </w:rPr>
        <w:t xml:space="preserve">надлишкове </w:t>
      </w:r>
      <w:r w:rsidRPr="0024327D">
        <w:rPr>
          <w:b/>
          <w:bCs/>
          <w:lang w:val="uk-UA"/>
        </w:rPr>
        <w:t>забезпечення</w:t>
      </w:r>
      <w:r w:rsidRPr="0024327D">
        <w:rPr>
          <w:lang w:val="uk-UA"/>
        </w:rPr>
        <w:t>. Усі зобов'язання програми, включаючи зобов'язання перед контрагентами за</w:t>
      </w:r>
      <w:r w:rsidR="00226C50" w:rsidRPr="0024327D">
        <w:rPr>
          <w:lang w:val="uk-UA"/>
        </w:rPr>
        <w:t xml:space="preserve"> деривативними контрактами</w:t>
      </w:r>
      <w:r w:rsidRPr="0024327D">
        <w:rPr>
          <w:lang w:val="uk-UA"/>
        </w:rPr>
        <w:t xml:space="preserve">, повинні забезпечуватися активами. Повинен бути закріплений законодавчий/нормативний мінімум </w:t>
      </w:r>
      <w:r w:rsidR="00104B20" w:rsidRPr="0024327D">
        <w:rPr>
          <w:lang w:val="uk-UA"/>
        </w:rPr>
        <w:t xml:space="preserve">надлишкового </w:t>
      </w:r>
      <w:r w:rsidRPr="0024327D">
        <w:rPr>
          <w:lang w:val="uk-UA"/>
        </w:rPr>
        <w:t xml:space="preserve">забезпечення. </w:t>
      </w:r>
    </w:p>
    <w:p w14:paraId="234FE5AF" w14:textId="17F614B6" w:rsidR="006F4D48" w:rsidRPr="0024327D" w:rsidRDefault="006F4D48" w:rsidP="006F4D48">
      <w:pPr>
        <w:pStyle w:val="a4"/>
        <w:numPr>
          <w:ilvl w:val="0"/>
          <w:numId w:val="4"/>
        </w:numPr>
        <w:ind w:left="567"/>
        <w:rPr>
          <w:lang w:val="uk-UA"/>
        </w:rPr>
      </w:pPr>
      <w:r w:rsidRPr="0024327D">
        <w:rPr>
          <w:b/>
          <w:bCs/>
          <w:lang w:val="uk-UA"/>
        </w:rPr>
        <w:t xml:space="preserve">А. </w:t>
      </w:r>
      <w:r w:rsidR="001846F5" w:rsidRPr="0024327D">
        <w:rPr>
          <w:rFonts w:eastAsia="Times New Roman"/>
          <w:b/>
          <w:bCs/>
          <w:lang w:val="uk-UA"/>
        </w:rPr>
        <w:t>Деривативні фінансові інструменти</w:t>
      </w:r>
      <w:r w:rsidRPr="0024327D">
        <w:rPr>
          <w:lang w:val="uk-UA"/>
        </w:rPr>
        <w:t xml:space="preserve">. </w:t>
      </w:r>
      <w:r w:rsidR="001846F5" w:rsidRPr="0024327D">
        <w:rPr>
          <w:rFonts w:eastAsia="Times New Roman"/>
          <w:lang w:val="uk-UA"/>
        </w:rPr>
        <w:t>Деривативні фінансові інструменти</w:t>
      </w:r>
      <w:r w:rsidRPr="0024327D">
        <w:rPr>
          <w:lang w:val="uk-UA"/>
        </w:rPr>
        <w:t xml:space="preserve"> повинні дозволятися виключно з метою хеджування ризиків і не повинні припинятись у разі неплатоспроможності емітента. </w:t>
      </w:r>
    </w:p>
    <w:p w14:paraId="4B2B416A" w14:textId="77777777" w:rsidR="006F4D48" w:rsidRPr="0024327D" w:rsidRDefault="006F4D48" w:rsidP="006F4D48">
      <w:pPr>
        <w:ind w:left="567"/>
        <w:rPr>
          <w:lang w:val="uk-UA"/>
        </w:rPr>
      </w:pPr>
      <w:r w:rsidRPr="0024327D">
        <w:rPr>
          <w:b/>
          <w:bCs/>
          <w:lang w:val="uk-UA"/>
        </w:rPr>
        <w:t>B. Ліквідність</w:t>
      </w:r>
      <w:r w:rsidRPr="0024327D">
        <w:rPr>
          <w:lang w:val="uk-UA"/>
        </w:rPr>
        <w:t>. Ризики ліквідності слід пом'якшувати за допомогою ліквідних активів, доступних постійно для покриття чистого відтоку.</w:t>
      </w:r>
    </w:p>
    <w:p w14:paraId="55796D5A" w14:textId="77777777" w:rsidR="006F4D48" w:rsidRPr="0024327D" w:rsidRDefault="006F4D48" w:rsidP="006F4D48">
      <w:pPr>
        <w:ind w:left="567"/>
        <w:rPr>
          <w:lang w:val="uk-UA"/>
        </w:rPr>
      </w:pPr>
      <w:r w:rsidRPr="0024327D">
        <w:rPr>
          <w:b/>
          <w:bCs/>
          <w:lang w:val="uk-UA"/>
        </w:rPr>
        <w:t>C. Стрес-тести</w:t>
      </w:r>
      <w:r w:rsidRPr="0024327D">
        <w:rPr>
          <w:lang w:val="uk-UA"/>
        </w:rPr>
        <w:t xml:space="preserve">. Емітенти повинні проводити стрес-тести для розрахунку вимог до покриття. </w:t>
      </w:r>
    </w:p>
    <w:p w14:paraId="2E64FA7A" w14:textId="0B7C3F0A" w:rsidR="006F4D48" w:rsidRPr="0024327D" w:rsidRDefault="006F4D48" w:rsidP="006F4D48">
      <w:pPr>
        <w:pStyle w:val="a4"/>
        <w:numPr>
          <w:ilvl w:val="0"/>
          <w:numId w:val="4"/>
        </w:numPr>
        <w:ind w:left="567"/>
        <w:rPr>
          <w:b/>
          <w:bCs/>
          <w:lang w:val="uk-UA"/>
        </w:rPr>
      </w:pPr>
      <w:r w:rsidRPr="0024327D">
        <w:rPr>
          <w:b/>
          <w:bCs/>
          <w:lang w:val="uk-UA"/>
        </w:rPr>
        <w:t xml:space="preserve">А. </w:t>
      </w:r>
      <w:r w:rsidR="00525198" w:rsidRPr="0024327D">
        <w:rPr>
          <w:b/>
          <w:bCs/>
          <w:lang w:val="uk-UA"/>
        </w:rPr>
        <w:t xml:space="preserve">Контролер </w:t>
      </w:r>
      <w:r w:rsidRPr="0024327D">
        <w:rPr>
          <w:b/>
          <w:bCs/>
          <w:lang w:val="uk-UA"/>
        </w:rPr>
        <w:t xml:space="preserve">за пулом </w:t>
      </w:r>
      <w:r w:rsidR="00C93CE0" w:rsidRPr="0024327D">
        <w:rPr>
          <w:b/>
          <w:bCs/>
          <w:lang w:val="uk-UA"/>
        </w:rPr>
        <w:t>покриття</w:t>
      </w:r>
      <w:r w:rsidRPr="0024327D">
        <w:rPr>
          <w:lang w:val="uk-UA"/>
        </w:rPr>
        <w:t xml:space="preserve">. </w:t>
      </w:r>
      <w:r w:rsidR="00E02B34" w:rsidRPr="0024327D">
        <w:rPr>
          <w:lang w:val="uk-UA"/>
        </w:rPr>
        <w:t xml:space="preserve">Контролером </w:t>
      </w:r>
      <w:r w:rsidRPr="0024327D">
        <w:rPr>
          <w:lang w:val="uk-UA"/>
        </w:rPr>
        <w:t xml:space="preserve">за пулом </w:t>
      </w:r>
      <w:r w:rsidR="00C93CE0" w:rsidRPr="0024327D">
        <w:rPr>
          <w:lang w:val="uk-UA"/>
        </w:rPr>
        <w:t xml:space="preserve">покриття </w:t>
      </w:r>
      <w:r w:rsidRPr="0024327D">
        <w:rPr>
          <w:lang w:val="uk-UA"/>
        </w:rPr>
        <w:t>слід призначати особу, яка не є аудитором емітента. Відповідні норми повинні визначати основні обов'язки</w:t>
      </w:r>
      <w:r w:rsidR="00F3525E" w:rsidRPr="0024327D">
        <w:rPr>
          <w:lang w:val="uk-UA"/>
        </w:rPr>
        <w:t xml:space="preserve"> Контролера</w:t>
      </w:r>
      <w:r w:rsidRPr="0024327D">
        <w:rPr>
          <w:lang w:val="uk-UA"/>
        </w:rPr>
        <w:t xml:space="preserve">, включаючи моніторинг усіх вимог до покриття та тестів на прийнятність, а також </w:t>
      </w:r>
      <w:r w:rsidR="00951105" w:rsidRPr="0024327D">
        <w:rPr>
          <w:lang w:val="uk-UA"/>
        </w:rPr>
        <w:t>позаплановий</w:t>
      </w:r>
      <w:r w:rsidR="00373F95" w:rsidRPr="0024327D">
        <w:rPr>
          <w:lang w:val="uk-UA"/>
        </w:rPr>
        <w:t xml:space="preserve"> </w:t>
      </w:r>
      <w:r w:rsidRPr="0024327D">
        <w:rPr>
          <w:lang w:val="uk-UA"/>
        </w:rPr>
        <w:t xml:space="preserve">аудит пулу </w:t>
      </w:r>
      <w:r w:rsidR="00C93CE0" w:rsidRPr="0024327D">
        <w:rPr>
          <w:lang w:val="uk-UA"/>
        </w:rPr>
        <w:t>покриття</w:t>
      </w:r>
      <w:r w:rsidRPr="0024327D">
        <w:rPr>
          <w:lang w:val="uk-UA"/>
        </w:rPr>
        <w:t>.</w:t>
      </w:r>
    </w:p>
    <w:p w14:paraId="72E9D98F" w14:textId="4A496870" w:rsidR="006F4D48" w:rsidRPr="0024327D" w:rsidRDefault="006F4D48" w:rsidP="006F4D48">
      <w:pPr>
        <w:ind w:left="567"/>
        <w:rPr>
          <w:lang w:val="uk-UA"/>
        </w:rPr>
      </w:pPr>
      <w:r w:rsidRPr="0024327D">
        <w:rPr>
          <w:b/>
          <w:bCs/>
          <w:lang w:val="uk-UA"/>
        </w:rPr>
        <w:t>B. Нагляд</w:t>
      </w:r>
      <w:r w:rsidRPr="0024327D">
        <w:rPr>
          <w:lang w:val="uk-UA"/>
        </w:rPr>
        <w:t xml:space="preserve">. Компетентний орган повинен затвердити створення програми </w:t>
      </w:r>
      <w:r w:rsidR="00645A85" w:rsidRPr="0024327D">
        <w:rPr>
          <w:lang w:val="uk-UA"/>
        </w:rPr>
        <w:t>облігацій з покриттям</w:t>
      </w:r>
      <w:r w:rsidRPr="0024327D">
        <w:rPr>
          <w:lang w:val="uk-UA"/>
        </w:rPr>
        <w:t>.</w:t>
      </w:r>
      <w:r w:rsidR="00B1433C" w:rsidRPr="0024327D">
        <w:rPr>
          <w:lang w:val="uk-UA"/>
        </w:rPr>
        <w:t xml:space="preserve"> Він повинен переконатися</w:t>
      </w:r>
      <w:r w:rsidRPr="0024327D">
        <w:rPr>
          <w:lang w:val="uk-UA"/>
        </w:rPr>
        <w:t xml:space="preserve">, що існує адекватна операційна політика, процедури та засоби контролю, </w:t>
      </w:r>
      <w:r w:rsidR="00045416" w:rsidRPr="0024327D">
        <w:rPr>
          <w:lang w:val="uk-UA"/>
        </w:rPr>
        <w:t xml:space="preserve">що </w:t>
      </w:r>
      <w:r w:rsidRPr="0024327D">
        <w:rPr>
          <w:lang w:val="uk-UA"/>
        </w:rPr>
        <w:t xml:space="preserve">обмеження, що застосовуються до емітента, </w:t>
      </w:r>
      <w:r w:rsidR="00045416" w:rsidRPr="0024327D">
        <w:rPr>
          <w:lang w:val="uk-UA"/>
        </w:rPr>
        <w:t xml:space="preserve">дотримані </w:t>
      </w:r>
      <w:r w:rsidRPr="0024327D">
        <w:rPr>
          <w:lang w:val="uk-UA"/>
        </w:rPr>
        <w:t xml:space="preserve">і що пул </w:t>
      </w:r>
      <w:r w:rsidR="00C93CE0" w:rsidRPr="0024327D">
        <w:rPr>
          <w:lang w:val="uk-UA"/>
        </w:rPr>
        <w:t xml:space="preserve">покриття </w:t>
      </w:r>
      <w:r w:rsidRPr="0024327D">
        <w:rPr>
          <w:lang w:val="uk-UA"/>
        </w:rPr>
        <w:t xml:space="preserve">відповідає чинним вимогам. </w:t>
      </w:r>
    </w:p>
    <w:p w14:paraId="104C287B" w14:textId="7D387C6E" w:rsidR="006F4D48" w:rsidRPr="0024327D" w:rsidRDefault="006F4D48" w:rsidP="006F4D48">
      <w:pPr>
        <w:ind w:left="567"/>
        <w:rPr>
          <w:lang w:val="uk-UA"/>
        </w:rPr>
      </w:pPr>
      <w:r w:rsidRPr="0024327D">
        <w:rPr>
          <w:b/>
          <w:bCs/>
          <w:lang w:val="uk-UA"/>
        </w:rPr>
        <w:lastRenderedPageBreak/>
        <w:t>C. Обов'язки національного органу у справах про не</w:t>
      </w:r>
      <w:r w:rsidR="00AA633D" w:rsidRPr="0024327D">
        <w:rPr>
          <w:b/>
          <w:bCs/>
          <w:lang w:val="uk-UA"/>
        </w:rPr>
        <w:t>плато</w:t>
      </w:r>
      <w:r w:rsidRPr="0024327D">
        <w:rPr>
          <w:b/>
          <w:bCs/>
          <w:lang w:val="uk-UA"/>
        </w:rPr>
        <w:t>спроможність емітента</w:t>
      </w:r>
      <w:r w:rsidRPr="0024327D">
        <w:rPr>
          <w:lang w:val="uk-UA"/>
        </w:rPr>
        <w:t xml:space="preserve">. </w:t>
      </w:r>
      <w:r w:rsidR="00E42247" w:rsidRPr="0024327D">
        <w:rPr>
          <w:lang w:val="uk-UA"/>
        </w:rPr>
        <w:t xml:space="preserve">Законодавство щодо </w:t>
      </w:r>
      <w:r w:rsidR="00645A85" w:rsidRPr="0024327D">
        <w:rPr>
          <w:lang w:val="uk-UA"/>
        </w:rPr>
        <w:t>облігацій з покриттям</w:t>
      </w:r>
      <w:r w:rsidRPr="0024327D">
        <w:rPr>
          <w:lang w:val="uk-UA"/>
        </w:rPr>
        <w:t xml:space="preserve"> повинн</w:t>
      </w:r>
      <w:r w:rsidR="00E42247" w:rsidRPr="0024327D">
        <w:rPr>
          <w:lang w:val="uk-UA"/>
        </w:rPr>
        <w:t>о</w:t>
      </w:r>
      <w:r w:rsidRPr="0024327D">
        <w:rPr>
          <w:lang w:val="uk-UA"/>
        </w:rPr>
        <w:t xml:space="preserve"> надавати достатньо детальний опис обов'язків та повноважень компетентного органу відповідно </w:t>
      </w:r>
      <w:r w:rsidR="000A7EF7" w:rsidRPr="0024327D">
        <w:rPr>
          <w:lang w:val="uk-UA"/>
        </w:rPr>
        <w:t xml:space="preserve">у випадку дефолту </w:t>
      </w:r>
      <w:r w:rsidR="00643B4F" w:rsidRPr="0024327D">
        <w:rPr>
          <w:lang w:val="uk-UA"/>
        </w:rPr>
        <w:t>е</w:t>
      </w:r>
      <w:r w:rsidRPr="0024327D">
        <w:rPr>
          <w:lang w:val="uk-UA"/>
        </w:rPr>
        <w:t xml:space="preserve">мітента. </w:t>
      </w:r>
    </w:p>
    <w:p w14:paraId="727EDBCB" w14:textId="0BB3621B" w:rsidR="002E4E92" w:rsidRPr="0024327D" w:rsidRDefault="006F4D48" w:rsidP="006F4D48">
      <w:pPr>
        <w:pStyle w:val="a4"/>
        <w:numPr>
          <w:ilvl w:val="0"/>
          <w:numId w:val="4"/>
        </w:numPr>
        <w:ind w:left="567"/>
        <w:rPr>
          <w:lang w:val="uk-UA"/>
        </w:rPr>
      </w:pPr>
      <w:r w:rsidRPr="0024327D">
        <w:rPr>
          <w:b/>
          <w:bCs/>
          <w:lang w:val="uk-UA"/>
        </w:rPr>
        <w:t>Обсяг та частота розкриття</w:t>
      </w:r>
      <w:r w:rsidRPr="0024327D">
        <w:rPr>
          <w:lang w:val="uk-UA"/>
        </w:rPr>
        <w:t xml:space="preserve">. Емітенти </w:t>
      </w:r>
      <w:r w:rsidR="00645A85" w:rsidRPr="0024327D">
        <w:rPr>
          <w:lang w:val="uk-UA"/>
        </w:rPr>
        <w:t>облігацій з покриттям</w:t>
      </w:r>
      <w:r w:rsidRPr="0024327D">
        <w:rPr>
          <w:lang w:val="uk-UA"/>
        </w:rPr>
        <w:t xml:space="preserve"> повинні розкривати сукупні дані про кредитний ризик, ринковий ризик та ризик ліквідності програми та іншу відповідну інформацію, включаючи ту, що стосується залучених контрагентів та рівні</w:t>
      </w:r>
      <w:r w:rsidR="003874C3" w:rsidRPr="0024327D">
        <w:rPr>
          <w:lang w:val="uk-UA"/>
        </w:rPr>
        <w:t>в</w:t>
      </w:r>
      <w:r w:rsidRPr="0024327D">
        <w:rPr>
          <w:lang w:val="uk-UA"/>
        </w:rPr>
        <w:t xml:space="preserve"> </w:t>
      </w:r>
      <w:r w:rsidR="00AD768E" w:rsidRPr="0024327D">
        <w:rPr>
          <w:lang w:val="uk-UA"/>
        </w:rPr>
        <w:t xml:space="preserve">договірного </w:t>
      </w:r>
      <w:r w:rsidRPr="0024327D">
        <w:rPr>
          <w:lang w:val="uk-UA"/>
        </w:rPr>
        <w:t xml:space="preserve">та добровільного </w:t>
      </w:r>
      <w:r w:rsidR="003874C3" w:rsidRPr="0024327D">
        <w:rPr>
          <w:lang w:val="uk-UA"/>
        </w:rPr>
        <w:t xml:space="preserve">надлишкового </w:t>
      </w:r>
      <w:r w:rsidRPr="0024327D">
        <w:rPr>
          <w:lang w:val="uk-UA"/>
        </w:rPr>
        <w:t>забезпечення принаймні щокварталу</w:t>
      </w:r>
      <w:r w:rsidR="002E4E92" w:rsidRPr="0024327D">
        <w:rPr>
          <w:lang w:val="uk-UA"/>
        </w:rPr>
        <w:t>.</w:t>
      </w:r>
    </w:p>
    <w:p w14:paraId="5D190D52" w14:textId="77777777" w:rsidR="006F4D48" w:rsidRPr="0024327D" w:rsidRDefault="006F4D48" w:rsidP="006F4D48">
      <w:pPr>
        <w:pStyle w:val="1"/>
        <w:numPr>
          <w:ilvl w:val="0"/>
          <w:numId w:val="0"/>
        </w:numPr>
        <w:rPr>
          <w:lang w:val="uk-UA"/>
        </w:rPr>
      </w:pPr>
      <w:bookmarkStart w:id="194" w:name="_Toc513553475"/>
      <w:bookmarkStart w:id="195" w:name="_Toc6942272"/>
      <w:bookmarkStart w:id="196" w:name="_Toc5081062"/>
      <w:bookmarkStart w:id="197" w:name="_Toc27153482"/>
      <w:bookmarkStart w:id="198" w:name="_Toc32498765"/>
      <w:bookmarkStart w:id="199" w:name="_Toc95481031"/>
      <w:r w:rsidRPr="0024327D">
        <w:rPr>
          <w:lang w:val="uk-UA"/>
        </w:rPr>
        <w:lastRenderedPageBreak/>
        <w:t xml:space="preserve">Додаток 2: </w:t>
      </w:r>
      <w:bookmarkEnd w:id="194"/>
      <w:bookmarkEnd w:id="195"/>
      <w:bookmarkEnd w:id="196"/>
      <w:bookmarkEnd w:id="197"/>
      <w:bookmarkEnd w:id="198"/>
      <w:r w:rsidRPr="0024327D">
        <w:rPr>
          <w:lang w:val="uk-UA"/>
        </w:rPr>
        <w:t>Глосарій термінів</w:t>
      </w:r>
      <w:bookmarkEnd w:id="199"/>
    </w:p>
    <w:tbl>
      <w:tblPr>
        <w:tblW w:w="0" w:type="auto"/>
        <w:tblBorders>
          <w:top w:val="single" w:sz="4" w:space="0" w:color="auto"/>
          <w:bottom w:val="single" w:sz="4" w:space="0" w:color="auto"/>
          <w:insideH w:val="single" w:sz="4" w:space="0" w:color="auto"/>
        </w:tblBorders>
        <w:shd w:val="solid" w:color="F2F2F2" w:fill="F2F2F2"/>
        <w:tblCellMar>
          <w:left w:w="57" w:type="dxa"/>
          <w:right w:w="57" w:type="dxa"/>
        </w:tblCellMar>
        <w:tblLook w:val="0000" w:firstRow="0" w:lastRow="0" w:firstColumn="0" w:lastColumn="0" w:noHBand="0" w:noVBand="0"/>
      </w:tblPr>
      <w:tblGrid>
        <w:gridCol w:w="2613"/>
        <w:gridCol w:w="6742"/>
      </w:tblGrid>
      <w:tr w:rsidR="00CC330A" w:rsidRPr="0024327D" w14:paraId="644F93E4" w14:textId="77777777" w:rsidTr="00C117C8">
        <w:trPr>
          <w:tblHeader/>
        </w:trPr>
        <w:tc>
          <w:tcPr>
            <w:tcW w:w="0" w:type="auto"/>
            <w:shd w:val="clear" w:color="auto" w:fill="2E74B5" w:themeFill="accent1" w:themeFillShade="BF"/>
          </w:tcPr>
          <w:p w14:paraId="2520FB0D" w14:textId="77777777" w:rsidR="006F4D48" w:rsidRPr="0024327D" w:rsidRDefault="006F4D48" w:rsidP="00C117C8">
            <w:pPr>
              <w:rPr>
                <w:color w:val="FFFFFF" w:themeColor="background1"/>
                <w:lang w:val="uk-UA"/>
              </w:rPr>
            </w:pPr>
            <w:r w:rsidRPr="0024327D">
              <w:rPr>
                <w:color w:val="FFFFFF" w:themeColor="background1"/>
                <w:lang w:val="uk-UA"/>
              </w:rPr>
              <w:t>Термін</w:t>
            </w:r>
          </w:p>
        </w:tc>
        <w:tc>
          <w:tcPr>
            <w:tcW w:w="0" w:type="auto"/>
            <w:shd w:val="clear" w:color="auto" w:fill="2E74B5" w:themeFill="accent1" w:themeFillShade="BF"/>
          </w:tcPr>
          <w:p w14:paraId="7D4BE9A7" w14:textId="77777777" w:rsidR="006F4D48" w:rsidRPr="0024327D" w:rsidRDefault="006F4D48" w:rsidP="00C117C8">
            <w:pPr>
              <w:rPr>
                <w:color w:val="FFFFFF" w:themeColor="background1"/>
                <w:lang w:val="uk-UA"/>
              </w:rPr>
            </w:pPr>
            <w:r w:rsidRPr="0024327D">
              <w:rPr>
                <w:color w:val="FFFFFF" w:themeColor="background1"/>
                <w:lang w:val="uk-UA"/>
              </w:rPr>
              <w:t>Визначення</w:t>
            </w:r>
          </w:p>
        </w:tc>
      </w:tr>
      <w:tr w:rsidR="00182FC4" w:rsidRPr="0024327D" w14:paraId="75B0F7F5" w14:textId="77777777" w:rsidTr="00C117C8">
        <w:tc>
          <w:tcPr>
            <w:tcW w:w="0" w:type="auto"/>
            <w:shd w:val="clear" w:color="auto" w:fill="auto"/>
          </w:tcPr>
          <w:p w14:paraId="5BE98524" w14:textId="77777777" w:rsidR="006F4D48" w:rsidRPr="0024327D" w:rsidRDefault="006F4D48" w:rsidP="00C117C8">
            <w:pPr>
              <w:rPr>
                <w:lang w:val="uk-UA"/>
              </w:rPr>
            </w:pPr>
            <w:r w:rsidRPr="0024327D">
              <w:rPr>
                <w:lang w:val="uk-UA"/>
              </w:rPr>
              <w:t>Резервний сервісний агент</w:t>
            </w:r>
          </w:p>
        </w:tc>
        <w:tc>
          <w:tcPr>
            <w:tcW w:w="0" w:type="auto"/>
            <w:shd w:val="clear" w:color="auto" w:fill="auto"/>
          </w:tcPr>
          <w:p w14:paraId="28A5A4D3" w14:textId="5F3BB7D0" w:rsidR="006F4D48" w:rsidRPr="0024327D" w:rsidRDefault="006F4D48" w:rsidP="00C117C8">
            <w:pPr>
              <w:rPr>
                <w:lang w:val="uk-UA"/>
              </w:rPr>
            </w:pPr>
            <w:r w:rsidRPr="0024327D">
              <w:rPr>
                <w:lang w:val="uk-UA"/>
              </w:rPr>
              <w:t xml:space="preserve">Як правило, </w:t>
            </w:r>
            <w:r w:rsidR="001732D3" w:rsidRPr="0024327D">
              <w:rPr>
                <w:lang w:val="uk-UA"/>
              </w:rPr>
              <w:t>о</w:t>
            </w:r>
            <w:r w:rsidRPr="0024327D">
              <w:rPr>
                <w:lang w:val="uk-UA"/>
              </w:rPr>
              <w:t xml:space="preserve">ригінатор трансакції продовжує обслуговувати початкову трансакцію як в сек'юритизації, так і в іпотечних облігаціях. У заздалегідь узгоджених випадках компанія спеціального призначення може отримати дозвіл на залучення Резервного сервісного агента для заміни </w:t>
            </w:r>
            <w:r w:rsidR="001732D3" w:rsidRPr="0024327D">
              <w:rPr>
                <w:lang w:val="uk-UA"/>
              </w:rPr>
              <w:t>о</w:t>
            </w:r>
            <w:r w:rsidRPr="0024327D">
              <w:rPr>
                <w:lang w:val="uk-UA"/>
              </w:rPr>
              <w:t>ригінатора як Сервісного агента.</w:t>
            </w:r>
          </w:p>
        </w:tc>
      </w:tr>
      <w:tr w:rsidR="002C261D" w:rsidRPr="0024327D" w14:paraId="46B1825A" w14:textId="77777777" w:rsidTr="00C117C8">
        <w:tc>
          <w:tcPr>
            <w:tcW w:w="0" w:type="auto"/>
            <w:shd w:val="clear" w:color="auto" w:fill="auto"/>
          </w:tcPr>
          <w:p w14:paraId="5CBC6856" w14:textId="73B3C087" w:rsidR="002C261D" w:rsidRPr="0024327D" w:rsidRDefault="002C261D" w:rsidP="00C117C8">
            <w:pPr>
              <w:rPr>
                <w:lang w:val="uk-UA"/>
              </w:rPr>
            </w:pPr>
            <w:r w:rsidRPr="0024327D">
              <w:rPr>
                <w:lang w:val="uk-UA"/>
              </w:rPr>
              <w:t>Закон про ринки капіталу</w:t>
            </w:r>
          </w:p>
        </w:tc>
        <w:tc>
          <w:tcPr>
            <w:tcW w:w="0" w:type="auto"/>
            <w:shd w:val="clear" w:color="auto" w:fill="auto"/>
          </w:tcPr>
          <w:p w14:paraId="42FB8887" w14:textId="7EEF1CAA" w:rsidR="002C261D" w:rsidRPr="0024327D" w:rsidRDefault="002C261D" w:rsidP="00C117C8">
            <w:pPr>
              <w:rPr>
                <w:lang w:val="uk-UA"/>
              </w:rPr>
            </w:pPr>
            <w:r w:rsidRPr="0024327D">
              <w:rPr>
                <w:lang w:val="uk-UA"/>
              </w:rPr>
              <w:t>Закон України «Про ринки капіталу та організовані товарні ринки» №</w:t>
            </w:r>
            <w:r w:rsidR="00911145" w:rsidRPr="0024327D">
              <w:rPr>
                <w:lang w:val="uk-UA"/>
              </w:rPr>
              <w:t xml:space="preserve"> 3480-IV від 23 лютого 2006 року (викладений в новій редакції, попередня назва Закон України «Про цінні папери та фондовий ринок»). </w:t>
            </w:r>
          </w:p>
        </w:tc>
      </w:tr>
      <w:tr w:rsidR="00182FC4" w:rsidRPr="0024327D" w14:paraId="20911281" w14:textId="77777777" w:rsidTr="00C117C8">
        <w:tc>
          <w:tcPr>
            <w:tcW w:w="0" w:type="auto"/>
            <w:shd w:val="clear" w:color="auto" w:fill="auto"/>
          </w:tcPr>
          <w:p w14:paraId="212572E2" w14:textId="110788A6" w:rsidR="006F4D48" w:rsidRPr="0024327D" w:rsidRDefault="00DA5C0F" w:rsidP="00785FA1">
            <w:pPr>
              <w:rPr>
                <w:lang w:val="uk-UA"/>
              </w:rPr>
            </w:pPr>
            <w:r w:rsidRPr="0024327D">
              <w:rPr>
                <w:lang w:val="uk-UA"/>
              </w:rPr>
              <w:t>Г</w:t>
            </w:r>
            <w:r w:rsidR="00E02721" w:rsidRPr="0024327D">
              <w:rPr>
                <w:lang w:val="uk-UA"/>
              </w:rPr>
              <w:t>рафік погашення</w:t>
            </w:r>
            <w:r w:rsidR="00EE3476" w:rsidRPr="0024327D">
              <w:rPr>
                <w:lang w:val="uk-UA"/>
              </w:rPr>
              <w:t>,</w:t>
            </w:r>
            <w:r w:rsidR="00E02721" w:rsidRPr="0024327D">
              <w:rPr>
                <w:lang w:val="uk-UA"/>
              </w:rPr>
              <w:t xml:space="preserve"> яки</w:t>
            </w:r>
            <w:r w:rsidRPr="0024327D">
              <w:rPr>
                <w:lang w:val="uk-UA"/>
              </w:rPr>
              <w:t>й</w:t>
            </w:r>
            <w:r w:rsidR="00E02721" w:rsidRPr="0024327D">
              <w:rPr>
                <w:lang w:val="uk-UA"/>
              </w:rPr>
              <w:t xml:space="preserve"> </w:t>
            </w:r>
            <w:r w:rsidR="00E61513" w:rsidRPr="0024327D">
              <w:rPr>
                <w:lang w:val="uk-UA"/>
              </w:rPr>
              <w:t xml:space="preserve">частково </w:t>
            </w:r>
            <w:r w:rsidR="00E02721" w:rsidRPr="0024327D">
              <w:rPr>
                <w:lang w:val="uk-UA"/>
              </w:rPr>
              <w:t xml:space="preserve">залежить від отримання надходжень від </w:t>
            </w:r>
            <w:r w:rsidR="00785FA1" w:rsidRPr="0024327D">
              <w:rPr>
                <w:lang w:val="uk-UA"/>
              </w:rPr>
              <w:t xml:space="preserve"> покриття</w:t>
            </w:r>
          </w:p>
        </w:tc>
        <w:tc>
          <w:tcPr>
            <w:tcW w:w="0" w:type="auto"/>
            <w:shd w:val="clear" w:color="auto" w:fill="auto"/>
          </w:tcPr>
          <w:p w14:paraId="34B50BC3" w14:textId="6911F2DD" w:rsidR="006F4D48" w:rsidRPr="0024327D" w:rsidRDefault="006F4D48" w:rsidP="00785FA1">
            <w:pPr>
              <w:rPr>
                <w:lang w:val="uk-UA"/>
              </w:rPr>
            </w:pPr>
            <w:r w:rsidRPr="0024327D">
              <w:rPr>
                <w:lang w:val="uk-UA"/>
              </w:rPr>
              <w:t xml:space="preserve">Домовленість щодо </w:t>
            </w:r>
            <w:r w:rsidR="00645A85" w:rsidRPr="0024327D">
              <w:rPr>
                <w:lang w:val="uk-UA"/>
              </w:rPr>
              <w:t>облігацій з покриттям</w:t>
            </w:r>
            <w:r w:rsidRPr="0024327D">
              <w:rPr>
                <w:lang w:val="uk-UA"/>
              </w:rPr>
              <w:t xml:space="preserve">, визначена </w:t>
            </w:r>
            <w:r w:rsidR="006F08F5" w:rsidRPr="0024327D">
              <w:rPr>
                <w:lang w:val="uk-UA"/>
              </w:rPr>
              <w:t xml:space="preserve">договором </w:t>
            </w:r>
            <w:r w:rsidRPr="0024327D">
              <w:rPr>
                <w:lang w:val="uk-UA"/>
              </w:rPr>
              <w:t xml:space="preserve">або законом (наразі лише в Польщі) для вирішення потенційної нездатності емітента, що опинився у важкій ситуації, виконати зобов'язання за </w:t>
            </w:r>
            <w:r w:rsidR="00645A85" w:rsidRPr="0024327D">
              <w:rPr>
                <w:lang w:val="uk-UA"/>
              </w:rPr>
              <w:t>облігаціями з покриттям</w:t>
            </w:r>
            <w:r w:rsidRPr="0024327D">
              <w:rPr>
                <w:lang w:val="uk-UA"/>
              </w:rPr>
              <w:t xml:space="preserve"> при настанні строку їх погашення. Зазвичай вказується, що неможливість погашення облігацій на заплановану дату погашення не є випадком невиконання зобов’язань. У такому випадку базова облігація конвертується у цінний папір з плаваючою ставкою після запланованого строку погашення і буде погашена в той момент, коли активи</w:t>
            </w:r>
            <w:r w:rsidR="00714615" w:rsidRPr="0024327D">
              <w:rPr>
                <w:lang w:val="uk-UA"/>
              </w:rPr>
              <w:t>, включені до складу</w:t>
            </w:r>
            <w:r w:rsidRPr="0024327D">
              <w:rPr>
                <w:lang w:val="uk-UA"/>
              </w:rPr>
              <w:t xml:space="preserve"> </w:t>
            </w:r>
            <w:r w:rsidR="00785FA1" w:rsidRPr="0024327D">
              <w:rPr>
                <w:lang w:val="uk-UA"/>
              </w:rPr>
              <w:t xml:space="preserve"> покриття</w:t>
            </w:r>
            <w:r w:rsidRPr="0024327D">
              <w:rPr>
                <w:lang w:val="uk-UA"/>
              </w:rPr>
              <w:t>, можуть бути ліквідовані за достатні надходження для повного погашення</w:t>
            </w:r>
            <w:r w:rsidR="008A2B95" w:rsidRPr="0024327D">
              <w:rPr>
                <w:lang w:val="uk-UA"/>
              </w:rPr>
              <w:t xml:space="preserve"> зобов’язань за облігаціями</w:t>
            </w:r>
            <w:r w:rsidRPr="0024327D">
              <w:rPr>
                <w:lang w:val="uk-UA"/>
              </w:rPr>
              <w:t>. Використовується замість структур</w:t>
            </w:r>
            <w:r w:rsidRPr="0024327D">
              <w:rPr>
                <w:rFonts w:eastAsiaTheme="minorHAnsi"/>
                <w:lang w:val="uk-UA"/>
              </w:rPr>
              <w:t xml:space="preserve"> з </w:t>
            </w:r>
            <w:r w:rsidRPr="0024327D">
              <w:rPr>
                <w:lang w:val="uk-UA"/>
              </w:rPr>
              <w:t>жорстким графіком погашення та</w:t>
            </w:r>
            <w:r w:rsidRPr="0024327D">
              <w:rPr>
                <w:rFonts w:eastAsiaTheme="minorHAnsi"/>
                <w:lang w:val="uk-UA"/>
              </w:rPr>
              <w:t xml:space="preserve"> </w:t>
            </w:r>
            <w:r w:rsidRPr="0024327D">
              <w:rPr>
                <w:lang w:val="uk-UA"/>
              </w:rPr>
              <w:t>гнучким графіком погашення.</w:t>
            </w:r>
          </w:p>
        </w:tc>
      </w:tr>
      <w:tr w:rsidR="00182FC4" w:rsidRPr="0024327D" w14:paraId="5B4DFB0F" w14:textId="77777777" w:rsidTr="00C117C8">
        <w:tc>
          <w:tcPr>
            <w:tcW w:w="0" w:type="auto"/>
            <w:shd w:val="clear" w:color="auto" w:fill="auto"/>
          </w:tcPr>
          <w:p w14:paraId="787FB075" w14:textId="6746C001" w:rsidR="006F4D48" w:rsidRPr="0024327D" w:rsidRDefault="006F4D48" w:rsidP="00C117C8">
            <w:pPr>
              <w:rPr>
                <w:lang w:val="uk-UA"/>
              </w:rPr>
            </w:pPr>
            <w:r w:rsidRPr="0024327D">
              <w:rPr>
                <w:lang w:val="uk-UA"/>
              </w:rPr>
              <w:t xml:space="preserve">Договірне </w:t>
            </w:r>
            <w:r w:rsidR="00F1104C" w:rsidRPr="0024327D">
              <w:rPr>
                <w:lang w:val="uk-UA"/>
              </w:rPr>
              <w:t xml:space="preserve">надлишкове </w:t>
            </w:r>
            <w:r w:rsidRPr="0024327D">
              <w:rPr>
                <w:lang w:val="uk-UA"/>
              </w:rPr>
              <w:t>забезпечення</w:t>
            </w:r>
          </w:p>
        </w:tc>
        <w:tc>
          <w:tcPr>
            <w:tcW w:w="0" w:type="auto"/>
            <w:shd w:val="clear" w:color="auto" w:fill="auto"/>
          </w:tcPr>
          <w:p w14:paraId="55A1714A" w14:textId="709EE8B7" w:rsidR="006F4D48" w:rsidRPr="0024327D" w:rsidRDefault="006F4D48" w:rsidP="00C117C8">
            <w:pPr>
              <w:rPr>
                <w:lang w:val="uk-UA"/>
              </w:rPr>
            </w:pPr>
            <w:r w:rsidRPr="0024327D">
              <w:rPr>
                <w:lang w:val="uk-UA"/>
              </w:rPr>
              <w:t xml:space="preserve">Така сума </w:t>
            </w:r>
            <w:r w:rsidR="00F1104C" w:rsidRPr="0024327D">
              <w:rPr>
                <w:lang w:val="uk-UA"/>
              </w:rPr>
              <w:t xml:space="preserve">надлишкового </w:t>
            </w:r>
            <w:r w:rsidRPr="0024327D">
              <w:rPr>
                <w:lang w:val="uk-UA"/>
              </w:rPr>
              <w:t xml:space="preserve">забезпечення в пулі </w:t>
            </w:r>
            <w:r w:rsidR="00785FA1" w:rsidRPr="0024327D">
              <w:rPr>
                <w:lang w:val="uk-UA"/>
              </w:rPr>
              <w:t>покриття</w:t>
            </w:r>
            <w:r w:rsidRPr="0024327D">
              <w:rPr>
                <w:lang w:val="uk-UA"/>
              </w:rPr>
              <w:t>, яка включається в силу договірних зобов’язань, добровільно прийнятих емітентом. Як правило, міститься у положеннях про договірні зобов’язання</w:t>
            </w:r>
            <w:r w:rsidR="001F6B34" w:rsidRPr="0024327D">
              <w:rPr>
                <w:lang w:val="uk-UA"/>
              </w:rPr>
              <w:t xml:space="preserve"> в</w:t>
            </w:r>
            <w:r w:rsidRPr="0024327D">
              <w:rPr>
                <w:lang w:val="uk-UA"/>
              </w:rPr>
              <w:t xml:space="preserve"> боргових</w:t>
            </w:r>
            <w:r w:rsidR="00373F95" w:rsidRPr="0024327D">
              <w:rPr>
                <w:lang w:val="uk-UA"/>
              </w:rPr>
              <w:t xml:space="preserve"> </w:t>
            </w:r>
            <w:r w:rsidRPr="0024327D">
              <w:rPr>
                <w:lang w:val="uk-UA"/>
              </w:rPr>
              <w:t>документ</w:t>
            </w:r>
            <w:r w:rsidR="001F6B34" w:rsidRPr="0024327D">
              <w:rPr>
                <w:lang w:val="uk-UA"/>
              </w:rPr>
              <w:t>ах</w:t>
            </w:r>
            <w:r w:rsidRPr="0024327D">
              <w:rPr>
                <w:lang w:val="uk-UA"/>
              </w:rPr>
              <w:t xml:space="preserve">. </w:t>
            </w:r>
          </w:p>
          <w:p w14:paraId="2D83F63B" w14:textId="1B52ABEB" w:rsidR="006F4D48" w:rsidRPr="0024327D" w:rsidRDefault="006F4D48" w:rsidP="00C117C8">
            <w:pPr>
              <w:rPr>
                <w:lang w:val="uk-UA"/>
              </w:rPr>
            </w:pPr>
            <w:r w:rsidRPr="0024327D">
              <w:rPr>
                <w:lang w:val="uk-UA"/>
              </w:rPr>
              <w:t xml:space="preserve">У випадку </w:t>
            </w:r>
            <w:r w:rsidR="00645A85" w:rsidRPr="0024327D">
              <w:rPr>
                <w:lang w:val="uk-UA"/>
              </w:rPr>
              <w:t>облігацій з покриттям</w:t>
            </w:r>
            <w:r w:rsidRPr="0024327D">
              <w:rPr>
                <w:lang w:val="uk-UA"/>
              </w:rPr>
              <w:t>, як правило, перевищує встановлен</w:t>
            </w:r>
            <w:r w:rsidR="001F6B34" w:rsidRPr="0024327D">
              <w:rPr>
                <w:lang w:val="uk-UA"/>
              </w:rPr>
              <w:t>ий</w:t>
            </w:r>
            <w:r w:rsidRPr="0024327D">
              <w:rPr>
                <w:lang w:val="uk-UA"/>
              </w:rPr>
              <w:t xml:space="preserve"> законом </w:t>
            </w:r>
            <w:r w:rsidR="001F6B34" w:rsidRPr="0024327D">
              <w:rPr>
                <w:lang w:val="uk-UA"/>
              </w:rPr>
              <w:t xml:space="preserve">рівень надлишкового </w:t>
            </w:r>
            <w:r w:rsidR="00785FA1" w:rsidRPr="0024327D">
              <w:rPr>
                <w:lang w:val="uk-UA"/>
              </w:rPr>
              <w:t xml:space="preserve"> покриття</w:t>
            </w:r>
            <w:r w:rsidRPr="0024327D">
              <w:rPr>
                <w:lang w:val="uk-UA"/>
              </w:rPr>
              <w:t xml:space="preserve">. У випадку сек'юритизації, як правило, не існує </w:t>
            </w:r>
            <w:r w:rsidR="00D24591" w:rsidRPr="0024327D">
              <w:rPr>
                <w:lang w:val="uk-UA"/>
              </w:rPr>
              <w:t xml:space="preserve">встановленого законодавством </w:t>
            </w:r>
            <w:r w:rsidRPr="0024327D">
              <w:rPr>
                <w:lang w:val="uk-UA"/>
              </w:rPr>
              <w:t>мінімальн</w:t>
            </w:r>
            <w:r w:rsidR="00D24591" w:rsidRPr="0024327D">
              <w:rPr>
                <w:lang w:val="uk-UA"/>
              </w:rPr>
              <w:t>ого</w:t>
            </w:r>
            <w:r w:rsidRPr="0024327D">
              <w:rPr>
                <w:lang w:val="uk-UA"/>
              </w:rPr>
              <w:t xml:space="preserve"> розмір</w:t>
            </w:r>
            <w:r w:rsidR="00D24591" w:rsidRPr="0024327D">
              <w:rPr>
                <w:lang w:val="uk-UA"/>
              </w:rPr>
              <w:t xml:space="preserve">у </w:t>
            </w:r>
            <w:r w:rsidR="001F6B34" w:rsidRPr="0024327D">
              <w:rPr>
                <w:lang w:val="uk-UA"/>
              </w:rPr>
              <w:t xml:space="preserve">надлишкового </w:t>
            </w:r>
            <w:r w:rsidRPr="0024327D">
              <w:rPr>
                <w:lang w:val="uk-UA"/>
              </w:rPr>
              <w:t xml:space="preserve">забезпечення. </w:t>
            </w:r>
          </w:p>
          <w:p w14:paraId="3A8A00D0" w14:textId="77777777" w:rsidR="006F4D48" w:rsidRPr="0024327D" w:rsidRDefault="006F4D48" w:rsidP="00C117C8">
            <w:pPr>
              <w:rPr>
                <w:lang w:val="uk-UA"/>
              </w:rPr>
            </w:pPr>
            <w:r w:rsidRPr="0024327D">
              <w:rPr>
                <w:lang w:val="uk-UA"/>
              </w:rPr>
              <w:t>Використовується для підтримки кредитного рейтингу облігацій.</w:t>
            </w:r>
          </w:p>
        </w:tc>
      </w:tr>
      <w:tr w:rsidR="00182FC4" w:rsidRPr="0024327D" w14:paraId="13AD92A2" w14:textId="77777777" w:rsidTr="00C117C8">
        <w:tc>
          <w:tcPr>
            <w:tcW w:w="0" w:type="auto"/>
            <w:shd w:val="clear" w:color="auto" w:fill="auto"/>
          </w:tcPr>
          <w:p w14:paraId="59A563EF" w14:textId="4D9A1E87" w:rsidR="006F4D48" w:rsidRPr="0024327D" w:rsidRDefault="006F4D48" w:rsidP="00785FA1">
            <w:pPr>
              <w:rPr>
                <w:lang w:val="uk-UA"/>
              </w:rPr>
            </w:pPr>
            <w:r w:rsidRPr="0024327D">
              <w:rPr>
                <w:lang w:val="uk-UA"/>
              </w:rPr>
              <w:t xml:space="preserve">Пул </w:t>
            </w:r>
            <w:r w:rsidR="00785FA1" w:rsidRPr="0024327D">
              <w:rPr>
                <w:lang w:val="uk-UA"/>
              </w:rPr>
              <w:t xml:space="preserve"> покриття</w:t>
            </w:r>
          </w:p>
        </w:tc>
        <w:tc>
          <w:tcPr>
            <w:tcW w:w="0" w:type="auto"/>
            <w:shd w:val="clear" w:color="auto" w:fill="auto"/>
          </w:tcPr>
          <w:p w14:paraId="38F7C0D6" w14:textId="2C91F7D0" w:rsidR="006F4D48" w:rsidRPr="0024327D" w:rsidRDefault="006F4D48" w:rsidP="00C117C8">
            <w:pPr>
              <w:rPr>
                <w:lang w:val="uk-UA"/>
              </w:rPr>
            </w:pPr>
            <w:r w:rsidRPr="0024327D">
              <w:rPr>
                <w:lang w:val="uk-UA"/>
              </w:rPr>
              <w:t xml:space="preserve">Активи, які становлять забезпечення для облігацій (та пов'язаних з ними </w:t>
            </w:r>
            <w:r w:rsidR="00467508" w:rsidRPr="0024327D">
              <w:rPr>
                <w:lang w:val="uk-UA"/>
              </w:rPr>
              <w:t xml:space="preserve">пріоритетних </w:t>
            </w:r>
            <w:r w:rsidRPr="0024327D">
              <w:rPr>
                <w:lang w:val="uk-UA"/>
              </w:rPr>
              <w:t>боргових зобов'язань, наприклад перед контрагентами за</w:t>
            </w:r>
            <w:r w:rsidR="00467508" w:rsidRPr="0024327D">
              <w:rPr>
                <w:lang w:val="uk-UA"/>
              </w:rPr>
              <w:t xml:space="preserve"> деривативними контрактами</w:t>
            </w:r>
            <w:r w:rsidRPr="0024327D">
              <w:rPr>
                <w:lang w:val="uk-UA"/>
              </w:rPr>
              <w:t xml:space="preserve">). Складається як з основних, так і з вторинних активів. Зазвичай підпадають під юридичні заходи щодо їх відокремлення від інших активів, що належать </w:t>
            </w:r>
            <w:r w:rsidR="00643B4F" w:rsidRPr="0024327D">
              <w:rPr>
                <w:lang w:val="uk-UA"/>
              </w:rPr>
              <w:t>е</w:t>
            </w:r>
            <w:r w:rsidRPr="0024327D">
              <w:rPr>
                <w:lang w:val="uk-UA"/>
              </w:rPr>
              <w:t>мітенту, з метою забезпечення визначеності</w:t>
            </w:r>
            <w:r w:rsidR="004573C2" w:rsidRPr="0024327D">
              <w:rPr>
                <w:lang w:val="uk-UA"/>
              </w:rPr>
              <w:t xml:space="preserve"> щодо</w:t>
            </w:r>
            <w:r w:rsidRPr="0024327D">
              <w:rPr>
                <w:lang w:val="uk-UA"/>
              </w:rPr>
              <w:t xml:space="preserve"> </w:t>
            </w:r>
            <w:r w:rsidR="00AD58CF" w:rsidRPr="0024327D">
              <w:rPr>
                <w:lang w:val="uk-UA"/>
              </w:rPr>
              <w:t xml:space="preserve">прав </w:t>
            </w:r>
            <w:r w:rsidRPr="0024327D">
              <w:rPr>
                <w:lang w:val="uk-UA"/>
              </w:rPr>
              <w:t>вимоги власник</w:t>
            </w:r>
            <w:r w:rsidR="004573C2" w:rsidRPr="0024327D">
              <w:rPr>
                <w:lang w:val="uk-UA"/>
              </w:rPr>
              <w:t>ів</w:t>
            </w:r>
            <w:r w:rsidRPr="0024327D">
              <w:rPr>
                <w:lang w:val="uk-UA"/>
              </w:rPr>
              <w:t xml:space="preserve"> облігацій.</w:t>
            </w:r>
          </w:p>
        </w:tc>
      </w:tr>
      <w:tr w:rsidR="00182FC4" w:rsidRPr="0024327D" w14:paraId="0428A9FE" w14:textId="77777777" w:rsidTr="00C117C8">
        <w:tc>
          <w:tcPr>
            <w:tcW w:w="0" w:type="auto"/>
            <w:shd w:val="clear" w:color="auto" w:fill="auto"/>
          </w:tcPr>
          <w:p w14:paraId="04DF0FDF" w14:textId="76DCA713" w:rsidR="006F4D48" w:rsidRPr="0024327D" w:rsidRDefault="006F4D48" w:rsidP="00785FA1">
            <w:pPr>
              <w:rPr>
                <w:lang w:val="uk-UA"/>
              </w:rPr>
            </w:pPr>
            <w:r w:rsidRPr="0024327D">
              <w:rPr>
                <w:lang w:val="uk-UA"/>
              </w:rPr>
              <w:t xml:space="preserve">Реєстр </w:t>
            </w:r>
            <w:r w:rsidR="00785FA1" w:rsidRPr="0024327D">
              <w:rPr>
                <w:lang w:val="uk-UA"/>
              </w:rPr>
              <w:t xml:space="preserve"> покриття</w:t>
            </w:r>
          </w:p>
        </w:tc>
        <w:tc>
          <w:tcPr>
            <w:tcW w:w="0" w:type="auto"/>
            <w:shd w:val="clear" w:color="auto" w:fill="auto"/>
          </w:tcPr>
          <w:p w14:paraId="7C708845" w14:textId="2CF09114" w:rsidR="006F4D48" w:rsidRPr="0024327D" w:rsidRDefault="006F4D48" w:rsidP="00785FA1">
            <w:pPr>
              <w:rPr>
                <w:lang w:val="uk-UA"/>
              </w:rPr>
            </w:pPr>
            <w:r w:rsidRPr="0024327D">
              <w:rPr>
                <w:lang w:val="uk-UA"/>
              </w:rPr>
              <w:t xml:space="preserve">Реєстр, </w:t>
            </w:r>
            <w:r w:rsidR="00490B31" w:rsidRPr="0024327D">
              <w:rPr>
                <w:lang w:val="uk-UA"/>
              </w:rPr>
              <w:t>юридичний статус та форма якого, як правило, визначаються законом,</w:t>
            </w:r>
            <w:r w:rsidRPr="0024327D">
              <w:rPr>
                <w:lang w:val="uk-UA"/>
              </w:rPr>
              <w:t xml:space="preserve"> який містить інформацію про активи в пулі </w:t>
            </w:r>
            <w:r w:rsidR="00785FA1" w:rsidRPr="0024327D">
              <w:rPr>
                <w:lang w:val="uk-UA"/>
              </w:rPr>
              <w:t xml:space="preserve"> покриття</w:t>
            </w:r>
            <w:r w:rsidRPr="0024327D">
              <w:rPr>
                <w:lang w:val="uk-UA"/>
              </w:rPr>
              <w:t>.</w:t>
            </w:r>
          </w:p>
        </w:tc>
      </w:tr>
      <w:tr w:rsidR="00182FC4" w:rsidRPr="0024327D" w14:paraId="67E35040" w14:textId="77777777" w:rsidTr="00C117C8">
        <w:tc>
          <w:tcPr>
            <w:tcW w:w="0" w:type="auto"/>
            <w:shd w:val="clear" w:color="auto" w:fill="auto"/>
          </w:tcPr>
          <w:p w14:paraId="270E308B" w14:textId="23FA7912" w:rsidR="006F4D48" w:rsidRPr="0024327D" w:rsidRDefault="00773289" w:rsidP="00785FA1">
            <w:pPr>
              <w:jc w:val="left"/>
              <w:rPr>
                <w:lang w:val="uk-UA"/>
              </w:rPr>
            </w:pPr>
            <w:r w:rsidRPr="0024327D">
              <w:rPr>
                <w:lang w:val="uk-UA"/>
              </w:rPr>
              <w:lastRenderedPageBreak/>
              <w:t xml:space="preserve">Контролер </w:t>
            </w:r>
            <w:r w:rsidR="006F4D48" w:rsidRPr="0024327D">
              <w:rPr>
                <w:lang w:val="uk-UA"/>
              </w:rPr>
              <w:t xml:space="preserve">за пулом </w:t>
            </w:r>
            <w:r w:rsidR="00785FA1" w:rsidRPr="0024327D">
              <w:rPr>
                <w:lang w:val="uk-UA"/>
              </w:rPr>
              <w:t xml:space="preserve"> покриття</w:t>
            </w:r>
          </w:p>
        </w:tc>
        <w:tc>
          <w:tcPr>
            <w:tcW w:w="0" w:type="auto"/>
            <w:shd w:val="clear" w:color="auto" w:fill="auto"/>
          </w:tcPr>
          <w:p w14:paraId="666911F8" w14:textId="2BD2CE19" w:rsidR="006F4D48" w:rsidRPr="0024327D" w:rsidRDefault="006F4D48" w:rsidP="00785FA1">
            <w:pPr>
              <w:rPr>
                <w:lang w:val="uk-UA"/>
              </w:rPr>
            </w:pPr>
            <w:r w:rsidRPr="0024327D">
              <w:rPr>
                <w:lang w:val="uk-UA"/>
              </w:rPr>
              <w:t xml:space="preserve">У трансакціях з </w:t>
            </w:r>
            <w:r w:rsidR="00645A85" w:rsidRPr="0024327D">
              <w:rPr>
                <w:lang w:val="uk-UA"/>
              </w:rPr>
              <w:t>облігаціями з покриттям</w:t>
            </w:r>
            <w:r w:rsidRPr="0024327D">
              <w:rPr>
                <w:lang w:val="uk-UA"/>
              </w:rPr>
              <w:t xml:space="preserve"> фізична або юридична особа, незалежна як від </w:t>
            </w:r>
            <w:r w:rsidR="00643B4F" w:rsidRPr="0024327D">
              <w:rPr>
                <w:lang w:val="uk-UA"/>
              </w:rPr>
              <w:t>е</w:t>
            </w:r>
            <w:r w:rsidRPr="0024327D">
              <w:rPr>
                <w:lang w:val="uk-UA"/>
              </w:rPr>
              <w:t>мітента, так і від органу</w:t>
            </w:r>
            <w:r w:rsidR="00773289" w:rsidRPr="0024327D">
              <w:rPr>
                <w:lang w:val="uk-UA"/>
              </w:rPr>
              <w:t>, що здійснює нагляд</w:t>
            </w:r>
            <w:r w:rsidRPr="0024327D">
              <w:rPr>
                <w:lang w:val="uk-UA"/>
              </w:rPr>
              <w:t xml:space="preserve">, зобов’язання якої визначаються відповідно до чинного законодавства про </w:t>
            </w:r>
            <w:r w:rsidR="00FB118B" w:rsidRPr="0024327D">
              <w:rPr>
                <w:lang w:val="uk-UA"/>
              </w:rPr>
              <w:t>облігації з покриттям</w:t>
            </w:r>
            <w:r w:rsidRPr="0024327D">
              <w:rPr>
                <w:lang w:val="uk-UA"/>
              </w:rPr>
              <w:t xml:space="preserve">. Основне зобов’язання </w:t>
            </w:r>
            <w:r w:rsidR="00773289" w:rsidRPr="0024327D">
              <w:rPr>
                <w:lang w:val="uk-UA"/>
              </w:rPr>
              <w:t xml:space="preserve">Контролера </w:t>
            </w:r>
            <w:r w:rsidRPr="0024327D">
              <w:rPr>
                <w:lang w:val="uk-UA"/>
              </w:rPr>
              <w:t xml:space="preserve">за пулом </w:t>
            </w:r>
            <w:r w:rsidR="00785FA1" w:rsidRPr="0024327D">
              <w:rPr>
                <w:lang w:val="uk-UA"/>
              </w:rPr>
              <w:t xml:space="preserve">покриття </w:t>
            </w:r>
            <w:r w:rsidRPr="0024327D">
              <w:rPr>
                <w:lang w:val="uk-UA"/>
              </w:rPr>
              <w:t xml:space="preserve">полягає у забезпеченні випуску та управління </w:t>
            </w:r>
            <w:r w:rsidR="00645A85" w:rsidRPr="0024327D">
              <w:rPr>
                <w:lang w:val="uk-UA"/>
              </w:rPr>
              <w:t>облігаціями з покриттям</w:t>
            </w:r>
            <w:r w:rsidRPr="0024327D">
              <w:rPr>
                <w:lang w:val="uk-UA"/>
              </w:rPr>
              <w:t xml:space="preserve"> відповідно до законодавства. Різні держави-члени мають дещо різні визначення та назви цього суб’єкта.</w:t>
            </w:r>
          </w:p>
        </w:tc>
      </w:tr>
      <w:tr w:rsidR="00182FC4" w:rsidRPr="0024327D" w14:paraId="297F1310" w14:textId="77777777" w:rsidTr="00C117C8">
        <w:tc>
          <w:tcPr>
            <w:tcW w:w="0" w:type="auto"/>
            <w:shd w:val="clear" w:color="auto" w:fill="auto"/>
          </w:tcPr>
          <w:p w14:paraId="168A9C71" w14:textId="77777777" w:rsidR="006F4D48" w:rsidRPr="0024327D" w:rsidRDefault="006F4D48" w:rsidP="00C117C8">
            <w:pPr>
              <w:rPr>
                <w:lang w:val="uk-UA"/>
              </w:rPr>
            </w:pPr>
            <w:r w:rsidRPr="0024327D">
              <w:rPr>
                <w:lang w:val="uk-UA"/>
              </w:rPr>
              <w:t>Тест на покриття</w:t>
            </w:r>
          </w:p>
        </w:tc>
        <w:tc>
          <w:tcPr>
            <w:tcW w:w="0" w:type="auto"/>
            <w:shd w:val="clear" w:color="auto" w:fill="auto"/>
          </w:tcPr>
          <w:p w14:paraId="5EA051D2" w14:textId="729E7647" w:rsidR="006F4D48" w:rsidRPr="0024327D" w:rsidRDefault="006F4D48" w:rsidP="00C117C8">
            <w:pPr>
              <w:rPr>
                <w:lang w:val="uk-UA"/>
              </w:rPr>
            </w:pPr>
            <w:r w:rsidRPr="0024327D">
              <w:rPr>
                <w:lang w:val="uk-UA"/>
              </w:rPr>
              <w:t xml:space="preserve">У трансакціях з </w:t>
            </w:r>
            <w:r w:rsidR="00645A85" w:rsidRPr="0024327D">
              <w:rPr>
                <w:lang w:val="uk-UA"/>
              </w:rPr>
              <w:t>облігаціями з покриттям</w:t>
            </w:r>
            <w:r w:rsidRPr="0024327D">
              <w:rPr>
                <w:lang w:val="uk-UA"/>
              </w:rPr>
              <w:t xml:space="preserve"> - тест, визначений законом або</w:t>
            </w:r>
            <w:r w:rsidR="00773289" w:rsidRPr="0024327D">
              <w:rPr>
                <w:lang w:val="uk-UA"/>
              </w:rPr>
              <w:t xml:space="preserve"> договором</w:t>
            </w:r>
            <w:r w:rsidRPr="0024327D">
              <w:rPr>
                <w:lang w:val="uk-UA"/>
              </w:rPr>
              <w:t xml:space="preserve">, який вимірює дотримання </w:t>
            </w:r>
            <w:r w:rsidR="00643B4F" w:rsidRPr="0024327D">
              <w:rPr>
                <w:lang w:val="uk-UA"/>
              </w:rPr>
              <w:t>е</w:t>
            </w:r>
            <w:r w:rsidRPr="0024327D">
              <w:rPr>
                <w:lang w:val="uk-UA"/>
              </w:rPr>
              <w:t xml:space="preserve">мітентом зобов’язань щодо підтримки достатнього пулу </w:t>
            </w:r>
            <w:r w:rsidR="00785FA1" w:rsidRPr="0024327D">
              <w:rPr>
                <w:lang w:val="uk-UA"/>
              </w:rPr>
              <w:t>покриття</w:t>
            </w:r>
            <w:r w:rsidR="00785FA1" w:rsidRPr="0024327D" w:rsidDel="00785FA1">
              <w:rPr>
                <w:lang w:val="uk-UA"/>
              </w:rPr>
              <w:t xml:space="preserve"> </w:t>
            </w:r>
            <w:r w:rsidRPr="0024327D">
              <w:rPr>
                <w:lang w:val="uk-UA"/>
              </w:rPr>
              <w:t xml:space="preserve">для </w:t>
            </w:r>
            <w:r w:rsidR="00785FA1" w:rsidRPr="0024327D">
              <w:rPr>
                <w:lang w:val="uk-UA"/>
              </w:rPr>
              <w:t xml:space="preserve">забезпечення </w:t>
            </w:r>
            <w:r w:rsidRPr="0024327D">
              <w:rPr>
                <w:lang w:val="uk-UA"/>
              </w:rPr>
              <w:t>непогашених облігацій.</w:t>
            </w:r>
          </w:p>
          <w:p w14:paraId="476FDD06" w14:textId="78B7FA13" w:rsidR="006F4D48" w:rsidRPr="0024327D" w:rsidRDefault="006F4D48" w:rsidP="00C117C8">
            <w:pPr>
              <w:rPr>
                <w:lang w:val="uk-UA"/>
              </w:rPr>
            </w:pPr>
            <w:r w:rsidRPr="0024327D">
              <w:rPr>
                <w:lang w:val="uk-UA"/>
              </w:rPr>
              <w:t xml:space="preserve">У трансакціях із сек'юритизацією тест не використовується, оскільки не існує постійних зобов'язань щодо </w:t>
            </w:r>
            <w:r w:rsidR="00912702" w:rsidRPr="0024327D">
              <w:rPr>
                <w:lang w:val="uk-UA"/>
              </w:rPr>
              <w:t xml:space="preserve">заміни активів в </w:t>
            </w:r>
            <w:r w:rsidRPr="0024327D">
              <w:rPr>
                <w:lang w:val="uk-UA"/>
              </w:rPr>
              <w:t>пул</w:t>
            </w:r>
            <w:r w:rsidR="00912702" w:rsidRPr="0024327D">
              <w:rPr>
                <w:lang w:val="uk-UA"/>
              </w:rPr>
              <w:t>і</w:t>
            </w:r>
            <w:r w:rsidRPr="0024327D">
              <w:rPr>
                <w:lang w:val="uk-UA"/>
              </w:rPr>
              <w:t xml:space="preserve"> </w:t>
            </w:r>
            <w:r w:rsidR="00C93CE0" w:rsidRPr="0024327D">
              <w:rPr>
                <w:lang w:val="uk-UA"/>
              </w:rPr>
              <w:t>покриття</w:t>
            </w:r>
            <w:r w:rsidRPr="0024327D">
              <w:rPr>
                <w:lang w:val="uk-UA"/>
              </w:rPr>
              <w:t xml:space="preserve">. </w:t>
            </w:r>
          </w:p>
        </w:tc>
      </w:tr>
      <w:tr w:rsidR="00182FC4" w:rsidRPr="0024327D" w14:paraId="49C54BDE" w14:textId="77777777" w:rsidTr="00C117C8">
        <w:tc>
          <w:tcPr>
            <w:tcW w:w="0" w:type="auto"/>
            <w:shd w:val="clear" w:color="auto" w:fill="auto"/>
          </w:tcPr>
          <w:p w14:paraId="0B0B052A" w14:textId="2FDD5AAC" w:rsidR="006F4D48" w:rsidRPr="0024327D" w:rsidRDefault="006F4D48" w:rsidP="00C117C8">
            <w:pPr>
              <w:jc w:val="left"/>
              <w:rPr>
                <w:lang w:val="uk-UA"/>
              </w:rPr>
            </w:pPr>
            <w:r w:rsidRPr="0024327D">
              <w:rPr>
                <w:lang w:val="uk-UA"/>
              </w:rPr>
              <w:t xml:space="preserve">Директива про </w:t>
            </w:r>
            <w:r w:rsidR="00FB118B" w:rsidRPr="0024327D">
              <w:rPr>
                <w:lang w:val="uk-UA"/>
              </w:rPr>
              <w:t>облігації з покриттям</w:t>
            </w:r>
            <w:r w:rsidRPr="0024327D">
              <w:rPr>
                <w:lang w:val="uk-UA"/>
              </w:rPr>
              <w:t xml:space="preserve"> </w:t>
            </w:r>
          </w:p>
        </w:tc>
        <w:tc>
          <w:tcPr>
            <w:tcW w:w="0" w:type="auto"/>
            <w:shd w:val="clear" w:color="auto" w:fill="auto"/>
          </w:tcPr>
          <w:p w14:paraId="40D1C026" w14:textId="685C472D" w:rsidR="006F4D48" w:rsidRPr="0024327D" w:rsidRDefault="006F4D48" w:rsidP="00D110D5">
            <w:pPr>
              <w:rPr>
                <w:lang w:val="uk-UA"/>
              </w:rPr>
            </w:pPr>
            <w:r w:rsidRPr="0024327D">
              <w:rPr>
                <w:lang w:val="uk-UA"/>
              </w:rPr>
              <w:t xml:space="preserve">Директива (ЄС) </w:t>
            </w:r>
            <w:r w:rsidR="00D110D5" w:rsidRPr="0024327D">
              <w:rPr>
                <w:shd w:val="clear" w:color="auto" w:fill="FFFFFF"/>
                <w:lang w:val="uk-UA"/>
              </w:rPr>
              <w:t>2019</w:t>
            </w:r>
            <w:r w:rsidR="00D110D5" w:rsidRPr="0024327D">
              <w:rPr>
                <w:rFonts w:cstheme="minorHAnsi"/>
                <w:shd w:val="clear" w:color="auto" w:fill="FFFFFF"/>
                <w:lang w:val="uk-UA"/>
              </w:rPr>
              <w:t>/2162</w:t>
            </w:r>
            <w:r w:rsidR="00D110D5" w:rsidRPr="0024327D">
              <w:rPr>
                <w:shd w:val="clear" w:color="auto" w:fill="FFFFFF"/>
                <w:lang w:val="uk-UA"/>
              </w:rPr>
              <w:t xml:space="preserve"> Європейського Парламенту та Ради </w:t>
            </w:r>
            <w:r w:rsidR="00D110D5" w:rsidRPr="0024327D">
              <w:rPr>
                <w:rFonts w:cstheme="minorHAnsi"/>
                <w:shd w:val="clear" w:color="auto" w:fill="FFFFFF"/>
                <w:lang w:val="uk-UA"/>
              </w:rPr>
              <w:t>від 27</w:t>
            </w:r>
            <w:r w:rsidR="00333233" w:rsidRPr="0024327D">
              <w:rPr>
                <w:rFonts w:cstheme="minorHAnsi"/>
                <w:shd w:val="clear" w:color="auto" w:fill="FFFFFF"/>
                <w:lang w:val="en-US"/>
              </w:rPr>
              <w:t> </w:t>
            </w:r>
            <w:r w:rsidR="00D110D5" w:rsidRPr="0024327D">
              <w:rPr>
                <w:rFonts w:cstheme="minorHAnsi"/>
                <w:shd w:val="clear" w:color="auto" w:fill="FFFFFF"/>
                <w:lang w:val="uk-UA"/>
              </w:rPr>
              <w:t>листопада 2019 р.</w:t>
            </w:r>
            <w:r w:rsidR="00A74577" w:rsidRPr="0024327D">
              <w:rPr>
                <w:rFonts w:cstheme="minorHAnsi"/>
                <w:shd w:val="clear" w:color="auto" w:fill="FFFFFF"/>
                <w:lang w:val="uk-UA"/>
              </w:rPr>
              <w:t xml:space="preserve"> </w:t>
            </w:r>
            <w:r w:rsidRPr="0024327D">
              <w:rPr>
                <w:lang w:val="uk-UA"/>
              </w:rPr>
              <w:t xml:space="preserve">щодо випуску </w:t>
            </w:r>
            <w:r w:rsidR="00645A85" w:rsidRPr="0024327D">
              <w:rPr>
                <w:lang w:val="uk-UA"/>
              </w:rPr>
              <w:t>облігацій з покриттям</w:t>
            </w:r>
            <w:r w:rsidRPr="0024327D">
              <w:rPr>
                <w:lang w:val="uk-UA"/>
              </w:rPr>
              <w:t xml:space="preserve"> та державного нагляду за </w:t>
            </w:r>
            <w:r w:rsidR="00645A85" w:rsidRPr="0024327D">
              <w:rPr>
                <w:lang w:val="uk-UA"/>
              </w:rPr>
              <w:t>облігаціями з покриттям</w:t>
            </w:r>
            <w:r w:rsidRPr="0024327D">
              <w:rPr>
                <w:lang w:val="uk-UA"/>
              </w:rPr>
              <w:t>, яка вносить зміни до Директиви 2009/65/ЄС та Директиви 2014/59/ЄС.</w:t>
            </w:r>
          </w:p>
        </w:tc>
      </w:tr>
      <w:tr w:rsidR="00182FC4" w:rsidRPr="0024327D" w14:paraId="09048E6F" w14:textId="77777777" w:rsidTr="00C117C8">
        <w:tc>
          <w:tcPr>
            <w:tcW w:w="0" w:type="auto"/>
            <w:shd w:val="clear" w:color="auto" w:fill="auto"/>
          </w:tcPr>
          <w:p w14:paraId="30FC6A3A" w14:textId="77777777" w:rsidR="006F4D48" w:rsidRPr="0024327D" w:rsidRDefault="006F4D48" w:rsidP="00C117C8">
            <w:pPr>
              <w:rPr>
                <w:lang w:val="uk-UA"/>
              </w:rPr>
            </w:pPr>
            <w:r w:rsidRPr="0024327D">
              <w:rPr>
                <w:lang w:val="uk-UA"/>
              </w:rPr>
              <w:t>Зниження кредитного ризику</w:t>
            </w:r>
          </w:p>
        </w:tc>
        <w:tc>
          <w:tcPr>
            <w:tcW w:w="0" w:type="auto"/>
            <w:shd w:val="clear" w:color="auto" w:fill="auto"/>
          </w:tcPr>
          <w:p w14:paraId="5E840018" w14:textId="37237DC9" w:rsidR="006F4D48" w:rsidRPr="0024327D" w:rsidRDefault="006F4D48" w:rsidP="00C117C8">
            <w:pPr>
              <w:rPr>
                <w:lang w:val="uk-UA"/>
              </w:rPr>
            </w:pPr>
            <w:r w:rsidRPr="0024327D">
              <w:rPr>
                <w:lang w:val="uk-UA"/>
              </w:rPr>
              <w:t xml:space="preserve">Це загальний термін для заходів, що вживаються </w:t>
            </w:r>
            <w:r w:rsidR="001732D3" w:rsidRPr="0024327D">
              <w:rPr>
                <w:lang w:val="uk-UA"/>
              </w:rPr>
              <w:t>о</w:t>
            </w:r>
            <w:r w:rsidRPr="0024327D">
              <w:rPr>
                <w:lang w:val="uk-UA"/>
              </w:rPr>
              <w:t xml:space="preserve">ригінатором у структурі трансакції для підвищення надійності, </w:t>
            </w:r>
            <w:r w:rsidR="00840B38" w:rsidRPr="0024327D">
              <w:rPr>
                <w:lang w:val="uk-UA"/>
              </w:rPr>
              <w:t>кредитної якості</w:t>
            </w:r>
            <w:r w:rsidR="00373F95" w:rsidRPr="0024327D">
              <w:rPr>
                <w:lang w:val="uk-UA"/>
              </w:rPr>
              <w:t xml:space="preserve"> </w:t>
            </w:r>
            <w:r w:rsidRPr="0024327D">
              <w:rPr>
                <w:lang w:val="uk-UA"/>
              </w:rPr>
              <w:t xml:space="preserve">або рейтингу облігацій. Забезпечення готівкою, утримання прибутку та гарантії/поруки третіх осіб можуть служити такими заходами як для </w:t>
            </w:r>
            <w:r w:rsidR="00645A85" w:rsidRPr="0024327D">
              <w:rPr>
                <w:lang w:val="uk-UA"/>
              </w:rPr>
              <w:t>облігацій з покриттям</w:t>
            </w:r>
            <w:r w:rsidRPr="0024327D">
              <w:rPr>
                <w:lang w:val="uk-UA"/>
              </w:rPr>
              <w:t xml:space="preserve">, так і для сек'юритизації. </w:t>
            </w:r>
            <w:r w:rsidRPr="0024327D">
              <w:rPr>
                <w:lang w:val="uk-UA"/>
              </w:rPr>
              <w:br/>
              <w:t xml:space="preserve">У випадку лише сек'юритизації субординовані облігації можуть також сприяти зниженню кредитного ризику для більш пріоритетних облігацій. </w:t>
            </w:r>
          </w:p>
        </w:tc>
      </w:tr>
      <w:tr w:rsidR="00182FC4" w:rsidRPr="0024327D" w14:paraId="7CC8A1AA" w14:textId="77777777" w:rsidTr="00C117C8">
        <w:tc>
          <w:tcPr>
            <w:tcW w:w="0" w:type="auto"/>
            <w:shd w:val="clear" w:color="auto" w:fill="auto"/>
          </w:tcPr>
          <w:p w14:paraId="6A2653B5" w14:textId="77777777" w:rsidR="006F4D48" w:rsidRPr="0024327D" w:rsidRDefault="006F4D48" w:rsidP="00C117C8">
            <w:pPr>
              <w:rPr>
                <w:lang w:val="uk-UA"/>
              </w:rPr>
            </w:pPr>
            <w:r w:rsidRPr="0024327D">
              <w:rPr>
                <w:lang w:val="uk-UA"/>
              </w:rPr>
              <w:t>Облігації з жорстким графіком погашення</w:t>
            </w:r>
          </w:p>
        </w:tc>
        <w:tc>
          <w:tcPr>
            <w:tcW w:w="0" w:type="auto"/>
            <w:shd w:val="clear" w:color="auto" w:fill="auto"/>
          </w:tcPr>
          <w:p w14:paraId="5B664096" w14:textId="61769089" w:rsidR="006F4D48" w:rsidRPr="0024327D" w:rsidRDefault="00FB118B" w:rsidP="00C117C8">
            <w:pPr>
              <w:rPr>
                <w:lang w:val="uk-UA"/>
              </w:rPr>
            </w:pPr>
            <w:r w:rsidRPr="0024327D">
              <w:rPr>
                <w:lang w:val="uk-UA"/>
              </w:rPr>
              <w:t>Облігації з покриттям</w:t>
            </w:r>
            <w:r w:rsidR="006F4D48" w:rsidRPr="0024327D">
              <w:rPr>
                <w:lang w:val="uk-UA"/>
              </w:rPr>
              <w:t xml:space="preserve">, в яких неповернення основного боргу на заплановану дату погашення становить випадок невиконання зобов’язань. Див. також </w:t>
            </w:r>
            <w:r w:rsidR="00D6173A" w:rsidRPr="0024327D">
              <w:rPr>
                <w:i/>
                <w:iCs/>
                <w:lang w:val="uk-UA"/>
              </w:rPr>
              <w:t>Г</w:t>
            </w:r>
            <w:r w:rsidR="006F4D48" w:rsidRPr="0024327D">
              <w:rPr>
                <w:i/>
                <w:iCs/>
                <w:lang w:val="uk-UA"/>
              </w:rPr>
              <w:t>нучки</w:t>
            </w:r>
            <w:r w:rsidR="00D6173A" w:rsidRPr="0024327D">
              <w:rPr>
                <w:i/>
                <w:iCs/>
                <w:lang w:val="uk-UA"/>
              </w:rPr>
              <w:t>й</w:t>
            </w:r>
            <w:r w:rsidR="006F4D48" w:rsidRPr="0024327D">
              <w:rPr>
                <w:i/>
                <w:iCs/>
                <w:lang w:val="uk-UA"/>
              </w:rPr>
              <w:t xml:space="preserve"> графік погашення</w:t>
            </w:r>
            <w:r w:rsidR="006F4D48" w:rsidRPr="0024327D">
              <w:rPr>
                <w:lang w:val="uk-UA"/>
              </w:rPr>
              <w:t xml:space="preserve"> та </w:t>
            </w:r>
            <w:r w:rsidR="00D6173A" w:rsidRPr="0024327D">
              <w:rPr>
                <w:i/>
                <w:iCs/>
                <w:lang w:val="uk-UA"/>
              </w:rPr>
              <w:t>Г</w:t>
            </w:r>
            <w:r w:rsidR="006F4D48" w:rsidRPr="0024327D">
              <w:rPr>
                <w:i/>
                <w:iCs/>
                <w:lang w:val="uk-UA"/>
              </w:rPr>
              <w:t>рафік погашення</w:t>
            </w:r>
            <w:r w:rsidR="00D6173A" w:rsidRPr="0024327D">
              <w:rPr>
                <w:i/>
                <w:iCs/>
                <w:lang w:val="uk-UA"/>
              </w:rPr>
              <w:t>,</w:t>
            </w:r>
            <w:r w:rsidR="006F4D48" w:rsidRPr="0024327D">
              <w:rPr>
                <w:i/>
                <w:iCs/>
                <w:lang w:val="uk-UA"/>
              </w:rPr>
              <w:t xml:space="preserve"> яки</w:t>
            </w:r>
            <w:r w:rsidR="00D6173A" w:rsidRPr="0024327D">
              <w:rPr>
                <w:i/>
                <w:iCs/>
                <w:lang w:val="uk-UA"/>
              </w:rPr>
              <w:t>й</w:t>
            </w:r>
            <w:r w:rsidR="006F4D48" w:rsidRPr="0024327D">
              <w:rPr>
                <w:i/>
                <w:iCs/>
                <w:lang w:val="uk-UA"/>
              </w:rPr>
              <w:t xml:space="preserve"> </w:t>
            </w:r>
            <w:r w:rsidR="00EE3476" w:rsidRPr="0024327D">
              <w:rPr>
                <w:i/>
                <w:iCs/>
                <w:lang w:val="uk-UA"/>
              </w:rPr>
              <w:t xml:space="preserve">частково </w:t>
            </w:r>
            <w:r w:rsidR="006F4D48" w:rsidRPr="0024327D">
              <w:rPr>
                <w:i/>
                <w:iCs/>
                <w:lang w:val="uk-UA"/>
              </w:rPr>
              <w:t>залежить від отримання надходжень від забезпечення</w:t>
            </w:r>
            <w:r w:rsidR="006F4D48" w:rsidRPr="0024327D">
              <w:rPr>
                <w:lang w:val="uk-UA"/>
              </w:rPr>
              <w:t>.</w:t>
            </w:r>
          </w:p>
        </w:tc>
      </w:tr>
      <w:tr w:rsidR="00182FC4" w:rsidRPr="0024327D" w14:paraId="03194D5B" w14:textId="77777777" w:rsidTr="00C117C8">
        <w:tc>
          <w:tcPr>
            <w:tcW w:w="0" w:type="auto"/>
            <w:shd w:val="clear" w:color="auto" w:fill="auto"/>
          </w:tcPr>
          <w:p w14:paraId="37EEFB88" w14:textId="77777777" w:rsidR="006F4D48" w:rsidRPr="0024327D" w:rsidRDefault="006F4D48" w:rsidP="00C117C8">
            <w:pPr>
              <w:rPr>
                <w:lang w:val="uk-UA"/>
              </w:rPr>
            </w:pPr>
            <w:r w:rsidRPr="0024327D">
              <w:rPr>
                <w:lang w:val="uk-UA"/>
              </w:rPr>
              <w:t>Емітент</w:t>
            </w:r>
          </w:p>
        </w:tc>
        <w:tc>
          <w:tcPr>
            <w:tcW w:w="0" w:type="auto"/>
            <w:shd w:val="clear" w:color="auto" w:fill="auto"/>
          </w:tcPr>
          <w:p w14:paraId="66346526" w14:textId="1D4CB4C0" w:rsidR="006F4D48" w:rsidRPr="0024327D" w:rsidRDefault="006F4D48" w:rsidP="00C117C8">
            <w:pPr>
              <w:rPr>
                <w:lang w:val="uk-UA"/>
              </w:rPr>
            </w:pPr>
            <w:r w:rsidRPr="0024327D">
              <w:rPr>
                <w:lang w:val="uk-UA"/>
              </w:rPr>
              <w:t xml:space="preserve">У трансакціях із сек'юритизацією саме компанія спеціального призначення випускає цінні папери інвесторам. У контексті </w:t>
            </w:r>
            <w:r w:rsidR="00645A85" w:rsidRPr="0024327D">
              <w:rPr>
                <w:lang w:val="uk-UA"/>
              </w:rPr>
              <w:t>облігацій з покриттям</w:t>
            </w:r>
            <w:r w:rsidRPr="0024327D">
              <w:rPr>
                <w:lang w:val="uk-UA"/>
              </w:rPr>
              <w:t xml:space="preserve"> такою особою є сам </w:t>
            </w:r>
            <w:r w:rsidR="001732D3" w:rsidRPr="0024327D">
              <w:rPr>
                <w:lang w:val="uk-UA"/>
              </w:rPr>
              <w:t>о</w:t>
            </w:r>
            <w:r w:rsidRPr="0024327D">
              <w:rPr>
                <w:lang w:val="uk-UA"/>
              </w:rPr>
              <w:t xml:space="preserve">ригінатор активів, </w:t>
            </w:r>
            <w:r w:rsidR="00D341EB" w:rsidRPr="0024327D">
              <w:rPr>
                <w:lang w:val="uk-UA"/>
              </w:rPr>
              <w:t xml:space="preserve">наприклад </w:t>
            </w:r>
            <w:r w:rsidRPr="0024327D">
              <w:rPr>
                <w:lang w:val="uk-UA"/>
              </w:rPr>
              <w:t>банк.</w:t>
            </w:r>
          </w:p>
        </w:tc>
      </w:tr>
      <w:tr w:rsidR="00182FC4" w:rsidRPr="0024327D" w14:paraId="780627EE" w14:textId="77777777" w:rsidTr="00C117C8">
        <w:tc>
          <w:tcPr>
            <w:tcW w:w="0" w:type="auto"/>
            <w:shd w:val="clear" w:color="auto" w:fill="auto"/>
          </w:tcPr>
          <w:p w14:paraId="7CB95AC5" w14:textId="77777777" w:rsidR="006F4D48" w:rsidRPr="0024327D" w:rsidRDefault="006F4D48" w:rsidP="00C117C8">
            <w:pPr>
              <w:rPr>
                <w:lang w:val="uk-UA"/>
              </w:rPr>
            </w:pPr>
            <w:r w:rsidRPr="0024327D">
              <w:rPr>
                <w:lang w:val="uk-UA"/>
              </w:rPr>
              <w:t>Буфер ліквідності</w:t>
            </w:r>
          </w:p>
        </w:tc>
        <w:tc>
          <w:tcPr>
            <w:tcW w:w="0" w:type="auto"/>
            <w:shd w:val="clear" w:color="auto" w:fill="auto"/>
          </w:tcPr>
          <w:p w14:paraId="6DDC390B" w14:textId="102B40E2" w:rsidR="006F4D48" w:rsidRPr="0024327D" w:rsidRDefault="006F4D48" w:rsidP="00C117C8">
            <w:pPr>
              <w:rPr>
                <w:lang w:val="uk-UA"/>
              </w:rPr>
            </w:pPr>
            <w:r w:rsidRPr="0024327D">
              <w:rPr>
                <w:lang w:val="uk-UA"/>
              </w:rPr>
              <w:t>В облігаціях</w:t>
            </w:r>
            <w:r w:rsidR="00D110D5" w:rsidRPr="0024327D">
              <w:rPr>
                <w:lang w:val="uk-UA"/>
              </w:rPr>
              <w:t xml:space="preserve"> з покриттям</w:t>
            </w:r>
            <w:r w:rsidRPr="0024327D">
              <w:rPr>
                <w:lang w:val="uk-UA"/>
              </w:rPr>
              <w:t xml:space="preserve"> пул активів, відмінних від первинних активів, як правило, грошові кошти або активи з дуже короткостроковими, високоліквідними характеристиками, що зберігаються в пулі </w:t>
            </w:r>
            <w:r w:rsidR="00785FA1" w:rsidRPr="0024327D">
              <w:rPr>
                <w:lang w:val="uk-UA"/>
              </w:rPr>
              <w:t xml:space="preserve"> покриття </w:t>
            </w:r>
            <w:r w:rsidRPr="0024327D">
              <w:rPr>
                <w:lang w:val="uk-UA"/>
              </w:rPr>
              <w:t>для того, щоб забезпечити достатню кількість готівкових коштів, щоб емітент міг здійснювати виплати основної суми та відсотків, коли вони підлягають сплаті, не вдаючись до ліквідації первинних активів.</w:t>
            </w:r>
          </w:p>
          <w:p w14:paraId="3485471E" w14:textId="009F365F" w:rsidR="006F4D48" w:rsidRPr="0024327D" w:rsidRDefault="006F4D48" w:rsidP="00C117C8">
            <w:pPr>
              <w:rPr>
                <w:lang w:val="uk-UA"/>
              </w:rPr>
            </w:pPr>
            <w:r w:rsidRPr="0024327D">
              <w:rPr>
                <w:lang w:val="uk-UA"/>
              </w:rPr>
              <w:t xml:space="preserve">У трансакціях із сек'юритизацією можуть </w:t>
            </w:r>
            <w:r w:rsidR="005907EF" w:rsidRPr="0024327D">
              <w:rPr>
                <w:lang w:val="uk-UA"/>
              </w:rPr>
              <w:t xml:space="preserve">мати місце </w:t>
            </w:r>
            <w:r w:rsidR="00102D73" w:rsidRPr="0024327D">
              <w:rPr>
                <w:lang w:val="uk-UA"/>
              </w:rPr>
              <w:t>активи для забезпечення ліквідності</w:t>
            </w:r>
            <w:r w:rsidRPr="0024327D">
              <w:rPr>
                <w:lang w:val="uk-UA"/>
              </w:rPr>
              <w:t xml:space="preserve">, але їх використання набагато менш </w:t>
            </w:r>
            <w:r w:rsidRPr="0024327D">
              <w:rPr>
                <w:lang w:val="uk-UA"/>
              </w:rPr>
              <w:lastRenderedPageBreak/>
              <w:t xml:space="preserve">поширене через відсутність графіку виплат із фіксованим строком погашення. </w:t>
            </w:r>
          </w:p>
        </w:tc>
      </w:tr>
      <w:tr w:rsidR="00182FC4" w:rsidRPr="0024327D" w14:paraId="73947771" w14:textId="77777777" w:rsidTr="00C117C8">
        <w:tc>
          <w:tcPr>
            <w:tcW w:w="0" w:type="auto"/>
            <w:shd w:val="clear" w:color="auto" w:fill="auto"/>
          </w:tcPr>
          <w:p w14:paraId="1F36D418" w14:textId="0B506F95" w:rsidR="006F4D48" w:rsidRPr="0024327D" w:rsidRDefault="006F4D48" w:rsidP="00C117C8">
            <w:pPr>
              <w:rPr>
                <w:lang w:val="uk-UA"/>
              </w:rPr>
            </w:pPr>
            <w:r w:rsidRPr="0024327D">
              <w:rPr>
                <w:lang w:val="uk-UA"/>
              </w:rPr>
              <w:lastRenderedPageBreak/>
              <w:t xml:space="preserve">Коефіцієнт </w:t>
            </w:r>
            <w:r w:rsidR="00DF4A7D" w:rsidRPr="0024327D">
              <w:rPr>
                <w:lang w:val="uk-UA"/>
              </w:rPr>
              <w:t xml:space="preserve">покриття ліквідністю </w:t>
            </w:r>
            <w:r w:rsidRPr="0024327D">
              <w:rPr>
                <w:lang w:val="uk-UA"/>
              </w:rPr>
              <w:t>(</w:t>
            </w:r>
            <w:r w:rsidR="00A16F44" w:rsidRPr="0024327D">
              <w:rPr>
                <w:lang w:val="uk-UA"/>
              </w:rPr>
              <w:t>“</w:t>
            </w:r>
            <w:r w:rsidR="00884D23" w:rsidRPr="0024327D">
              <w:rPr>
                <w:lang w:val="uk-UA"/>
              </w:rPr>
              <w:t>LCR</w:t>
            </w:r>
            <w:r w:rsidR="00A16F44" w:rsidRPr="0024327D">
              <w:rPr>
                <w:lang w:val="uk-UA"/>
              </w:rPr>
              <w:t>”</w:t>
            </w:r>
            <w:r w:rsidRPr="0024327D">
              <w:rPr>
                <w:lang w:val="uk-UA"/>
              </w:rPr>
              <w:t>)</w:t>
            </w:r>
          </w:p>
        </w:tc>
        <w:tc>
          <w:tcPr>
            <w:tcW w:w="0" w:type="auto"/>
            <w:shd w:val="clear" w:color="auto" w:fill="auto"/>
          </w:tcPr>
          <w:p w14:paraId="15734F4C" w14:textId="40F5E77A" w:rsidR="006F4D48" w:rsidRPr="0024327D" w:rsidRDefault="006F4D48" w:rsidP="00C117C8">
            <w:pPr>
              <w:rPr>
                <w:lang w:val="uk-UA"/>
              </w:rPr>
            </w:pPr>
            <w:r w:rsidRPr="0024327D">
              <w:rPr>
                <w:lang w:val="uk-UA"/>
              </w:rPr>
              <w:t xml:space="preserve">Правила, що визначають активи, якими повинні володіти кредитні установи, щоб зменшити ризик неможливості виконати зобов'язання, що підлягають погашенню в </w:t>
            </w:r>
            <w:r w:rsidR="007B5609" w:rsidRPr="0024327D">
              <w:rPr>
                <w:lang w:val="uk-UA"/>
              </w:rPr>
              <w:t xml:space="preserve">стресових </w:t>
            </w:r>
            <w:r w:rsidRPr="0024327D">
              <w:rPr>
                <w:lang w:val="uk-UA"/>
              </w:rPr>
              <w:t>умовах</w:t>
            </w:r>
            <w:r w:rsidR="007B5609" w:rsidRPr="0024327D">
              <w:rPr>
                <w:lang w:val="uk-UA"/>
              </w:rPr>
              <w:t xml:space="preserve"> на ринку</w:t>
            </w:r>
            <w:r w:rsidRPr="0024327D">
              <w:rPr>
                <w:lang w:val="uk-UA"/>
              </w:rPr>
              <w:t>. Визначено в Регламенті про вимоги до капіталу та Делегованому регламенті Комісії ЄС 2015/61 про вимоги щодо покриття ліквідн</w:t>
            </w:r>
            <w:r w:rsidR="00666CA4" w:rsidRPr="0024327D">
              <w:rPr>
                <w:lang w:val="uk-UA"/>
              </w:rPr>
              <w:t>істю</w:t>
            </w:r>
            <w:r w:rsidRPr="0024327D">
              <w:rPr>
                <w:lang w:val="uk-UA"/>
              </w:rPr>
              <w:t xml:space="preserve"> для кредитних установ.</w:t>
            </w:r>
          </w:p>
          <w:p w14:paraId="03B5E164" w14:textId="69E635C5" w:rsidR="006F4D48" w:rsidRPr="0024327D" w:rsidRDefault="00FB118B" w:rsidP="00C117C8">
            <w:pPr>
              <w:rPr>
                <w:lang w:val="uk-UA"/>
              </w:rPr>
            </w:pPr>
            <w:r w:rsidRPr="0024327D">
              <w:rPr>
                <w:lang w:val="uk-UA"/>
              </w:rPr>
              <w:t>Облігації з покриттям</w:t>
            </w:r>
            <w:r w:rsidR="006F4D48" w:rsidRPr="0024327D">
              <w:rPr>
                <w:lang w:val="uk-UA"/>
              </w:rPr>
              <w:t xml:space="preserve"> можуть претендувати на категорії 1B, 2A або 2B, залежно від їх характеристик. На даний момент сек'юритизації можуть претендувати лише на рівень 2B.</w:t>
            </w:r>
          </w:p>
        </w:tc>
      </w:tr>
      <w:tr w:rsidR="00182FC4" w:rsidRPr="0024327D" w14:paraId="3732C86B" w14:textId="77777777" w:rsidTr="00C117C8">
        <w:tc>
          <w:tcPr>
            <w:tcW w:w="0" w:type="auto"/>
            <w:shd w:val="clear" w:color="auto" w:fill="auto"/>
          </w:tcPr>
          <w:p w14:paraId="21B71A25" w14:textId="27EB4C21" w:rsidR="006F4D48" w:rsidRPr="0024327D" w:rsidRDefault="006F4D48" w:rsidP="00C117C8">
            <w:pPr>
              <w:rPr>
                <w:lang w:val="uk-UA"/>
              </w:rPr>
            </w:pPr>
            <w:r w:rsidRPr="0024327D">
              <w:rPr>
                <w:lang w:val="uk-UA"/>
              </w:rPr>
              <w:t xml:space="preserve">Співвідношення розміру кредиту </w:t>
            </w:r>
            <w:r w:rsidR="0056413B" w:rsidRPr="0024327D">
              <w:rPr>
                <w:lang w:val="uk-UA"/>
              </w:rPr>
              <w:t>до</w:t>
            </w:r>
            <w:r w:rsidRPr="0024327D">
              <w:rPr>
                <w:lang w:val="uk-UA"/>
              </w:rPr>
              <w:t xml:space="preserve"> вартості </w:t>
            </w:r>
            <w:r w:rsidR="0056413B" w:rsidRPr="0024327D">
              <w:rPr>
                <w:lang w:val="uk-UA"/>
              </w:rPr>
              <w:t>забезпечення</w:t>
            </w:r>
          </w:p>
        </w:tc>
        <w:tc>
          <w:tcPr>
            <w:tcW w:w="0" w:type="auto"/>
            <w:shd w:val="clear" w:color="auto" w:fill="auto"/>
          </w:tcPr>
          <w:p w14:paraId="0872CD18" w14:textId="77777777" w:rsidR="006F4D48" w:rsidRPr="0024327D" w:rsidRDefault="006F4D48" w:rsidP="00C117C8">
            <w:pPr>
              <w:rPr>
                <w:lang w:val="uk-UA"/>
              </w:rPr>
            </w:pPr>
            <w:r w:rsidRPr="0024327D">
              <w:rPr>
                <w:lang w:val="uk-UA"/>
              </w:rPr>
              <w:t>Що стосується іпотечних кредитів, співвідношення між залишком заборгованості за позикою (або на даний момент, або на момент отримання позики) та вартістю майна, наданого в якості забезпечення суми заборгованості за цим кредитом.</w:t>
            </w:r>
          </w:p>
        </w:tc>
      </w:tr>
      <w:tr w:rsidR="00182FC4" w:rsidRPr="0024327D" w14:paraId="02419E4D" w14:textId="77777777" w:rsidTr="00C117C8">
        <w:tc>
          <w:tcPr>
            <w:tcW w:w="0" w:type="auto"/>
            <w:shd w:val="clear" w:color="auto" w:fill="auto"/>
          </w:tcPr>
          <w:p w14:paraId="323F7B47" w14:textId="6664D03A" w:rsidR="006F4D48" w:rsidRPr="0024327D" w:rsidRDefault="00767449" w:rsidP="00C117C8">
            <w:pPr>
              <w:rPr>
                <w:lang w:val="uk-UA"/>
              </w:rPr>
            </w:pPr>
            <w:r w:rsidRPr="0024327D">
              <w:rPr>
                <w:lang w:val="uk-UA"/>
              </w:rPr>
              <w:t xml:space="preserve">Облігації, забезпечені </w:t>
            </w:r>
            <w:r w:rsidR="00196C98" w:rsidRPr="0024327D">
              <w:rPr>
                <w:lang w:val="uk-UA"/>
              </w:rPr>
              <w:t>іпотекою</w:t>
            </w:r>
            <w:r w:rsidR="006F4D48" w:rsidRPr="0024327D">
              <w:rPr>
                <w:lang w:val="uk-UA"/>
              </w:rPr>
              <w:t xml:space="preserve"> </w:t>
            </w:r>
          </w:p>
        </w:tc>
        <w:tc>
          <w:tcPr>
            <w:tcW w:w="0" w:type="auto"/>
            <w:shd w:val="clear" w:color="auto" w:fill="auto"/>
          </w:tcPr>
          <w:p w14:paraId="4869146E" w14:textId="3FA9C845" w:rsidR="006F4D48" w:rsidRPr="0024327D" w:rsidRDefault="006F4D48" w:rsidP="00C117C8">
            <w:pPr>
              <w:rPr>
                <w:lang w:val="uk-UA"/>
              </w:rPr>
            </w:pPr>
            <w:r w:rsidRPr="0024327D">
              <w:rPr>
                <w:lang w:val="uk-UA"/>
              </w:rPr>
              <w:t xml:space="preserve">Зазвичай використовується для позначення сек'юритизацій (на відміну від </w:t>
            </w:r>
            <w:r w:rsidR="00645A85" w:rsidRPr="0024327D">
              <w:rPr>
                <w:lang w:val="uk-UA"/>
              </w:rPr>
              <w:t>облігацій з покриттям</w:t>
            </w:r>
            <w:r w:rsidRPr="0024327D">
              <w:rPr>
                <w:lang w:val="uk-UA"/>
              </w:rPr>
              <w:t xml:space="preserve">). Також </w:t>
            </w:r>
            <w:r w:rsidR="005100E2" w:rsidRPr="0024327D">
              <w:rPr>
                <w:lang w:val="uk-UA"/>
              </w:rPr>
              <w:t>поді</w:t>
            </w:r>
            <w:r w:rsidR="0048309E" w:rsidRPr="0024327D">
              <w:rPr>
                <w:lang w:val="uk-UA"/>
              </w:rPr>
              <w:t>л</w:t>
            </w:r>
            <w:r w:rsidR="005100E2" w:rsidRPr="0024327D">
              <w:rPr>
                <w:lang w:val="uk-UA"/>
              </w:rPr>
              <w:t xml:space="preserve">яються на </w:t>
            </w:r>
            <w:r w:rsidRPr="0024327D">
              <w:rPr>
                <w:lang w:val="uk-UA"/>
              </w:rPr>
              <w:t xml:space="preserve">житлові </w:t>
            </w:r>
            <w:r w:rsidR="005100E2" w:rsidRPr="0024327D">
              <w:rPr>
                <w:lang w:val="uk-UA"/>
              </w:rPr>
              <w:t xml:space="preserve">іпотечні цінні папери та </w:t>
            </w:r>
            <w:r w:rsidRPr="0024327D">
              <w:rPr>
                <w:lang w:val="uk-UA"/>
              </w:rPr>
              <w:t>комерційні</w:t>
            </w:r>
            <w:r w:rsidR="0048309E" w:rsidRPr="0024327D">
              <w:rPr>
                <w:lang w:val="uk-UA"/>
              </w:rPr>
              <w:t xml:space="preserve"> іпотечні цінні папери</w:t>
            </w:r>
            <w:r w:rsidRPr="0024327D">
              <w:rPr>
                <w:lang w:val="uk-UA"/>
              </w:rPr>
              <w:t>.</w:t>
            </w:r>
          </w:p>
        </w:tc>
      </w:tr>
      <w:tr w:rsidR="00182FC4" w:rsidRPr="0024327D" w14:paraId="477747C6" w14:textId="77777777" w:rsidTr="00C117C8">
        <w:tc>
          <w:tcPr>
            <w:tcW w:w="0" w:type="auto"/>
            <w:shd w:val="clear" w:color="auto" w:fill="auto"/>
          </w:tcPr>
          <w:p w14:paraId="2A629763" w14:textId="77777777" w:rsidR="006F4D48" w:rsidRPr="0024327D" w:rsidRDefault="006F4D48" w:rsidP="00C117C8">
            <w:pPr>
              <w:rPr>
                <w:lang w:val="uk-UA"/>
              </w:rPr>
            </w:pPr>
            <w:r w:rsidRPr="0024327D">
              <w:rPr>
                <w:lang w:val="uk-UA"/>
              </w:rPr>
              <w:t>Закон про іпотечні облігації</w:t>
            </w:r>
          </w:p>
        </w:tc>
        <w:tc>
          <w:tcPr>
            <w:tcW w:w="0" w:type="auto"/>
            <w:shd w:val="clear" w:color="auto" w:fill="auto"/>
          </w:tcPr>
          <w:p w14:paraId="23567946" w14:textId="15F92183" w:rsidR="006F4D48" w:rsidRPr="0024327D" w:rsidRDefault="006F4D48" w:rsidP="00C117C8">
            <w:pPr>
              <w:rPr>
                <w:lang w:val="uk-UA"/>
              </w:rPr>
            </w:pPr>
            <w:r w:rsidRPr="0024327D">
              <w:rPr>
                <w:lang w:val="uk-UA"/>
              </w:rPr>
              <w:t xml:space="preserve">Закон України </w:t>
            </w:r>
            <w:r w:rsidR="00465D35" w:rsidRPr="0024327D">
              <w:rPr>
                <w:lang w:val="uk-UA"/>
              </w:rPr>
              <w:t>“</w:t>
            </w:r>
            <w:r w:rsidRPr="0024327D">
              <w:rPr>
                <w:lang w:val="uk-UA"/>
              </w:rPr>
              <w:t>Про іпотечні облігації</w:t>
            </w:r>
            <w:r w:rsidR="00465D35" w:rsidRPr="0024327D">
              <w:rPr>
                <w:lang w:val="uk-UA"/>
              </w:rPr>
              <w:t>”</w:t>
            </w:r>
            <w:r w:rsidRPr="0024327D">
              <w:rPr>
                <w:lang w:val="uk-UA"/>
              </w:rPr>
              <w:t xml:space="preserve"> № 3273-IV від 22 грудня 2005 року.</w:t>
            </w:r>
          </w:p>
        </w:tc>
      </w:tr>
      <w:tr w:rsidR="00182FC4" w:rsidRPr="0024327D" w14:paraId="4213D4C8" w14:textId="77777777" w:rsidTr="00C117C8">
        <w:tc>
          <w:tcPr>
            <w:tcW w:w="0" w:type="auto"/>
            <w:shd w:val="clear" w:color="auto" w:fill="auto"/>
          </w:tcPr>
          <w:p w14:paraId="46094C7F" w14:textId="4C822C91" w:rsidR="006F4D48" w:rsidRPr="0024327D" w:rsidRDefault="006F4D48" w:rsidP="00C117C8">
            <w:pPr>
              <w:rPr>
                <w:lang w:val="uk-UA"/>
              </w:rPr>
            </w:pPr>
            <w:r w:rsidRPr="0024327D">
              <w:rPr>
                <w:lang w:val="uk-UA"/>
              </w:rPr>
              <w:t xml:space="preserve">Чиста </w:t>
            </w:r>
            <w:r w:rsidR="0048309E" w:rsidRPr="0024327D">
              <w:rPr>
                <w:lang w:val="uk-UA"/>
              </w:rPr>
              <w:t xml:space="preserve">теперішня </w:t>
            </w:r>
            <w:r w:rsidRPr="0024327D">
              <w:rPr>
                <w:lang w:val="uk-UA"/>
              </w:rPr>
              <w:t>вартість (</w:t>
            </w:r>
            <w:r w:rsidR="00A16F44" w:rsidRPr="0024327D">
              <w:rPr>
                <w:lang w:val="uk-UA"/>
              </w:rPr>
              <w:t>“</w:t>
            </w:r>
            <w:r w:rsidRPr="0024327D">
              <w:rPr>
                <w:lang w:val="uk-UA"/>
              </w:rPr>
              <w:t>Ч</w:t>
            </w:r>
            <w:r w:rsidR="0048309E" w:rsidRPr="0024327D">
              <w:rPr>
                <w:lang w:val="uk-UA"/>
              </w:rPr>
              <w:t>Т</w:t>
            </w:r>
            <w:r w:rsidRPr="0024327D">
              <w:rPr>
                <w:lang w:val="uk-UA"/>
              </w:rPr>
              <w:t>В</w:t>
            </w:r>
            <w:r w:rsidR="00A16F44" w:rsidRPr="0024327D">
              <w:rPr>
                <w:lang w:val="uk-UA"/>
              </w:rPr>
              <w:t>”</w:t>
            </w:r>
            <w:r w:rsidRPr="0024327D">
              <w:rPr>
                <w:lang w:val="uk-UA"/>
              </w:rPr>
              <w:t>)</w:t>
            </w:r>
          </w:p>
        </w:tc>
        <w:tc>
          <w:tcPr>
            <w:tcW w:w="0" w:type="auto"/>
            <w:shd w:val="clear" w:color="auto" w:fill="auto"/>
          </w:tcPr>
          <w:p w14:paraId="6DC88E9B" w14:textId="6F74C2A6" w:rsidR="006F4D48" w:rsidRPr="0024327D" w:rsidRDefault="006F4D48" w:rsidP="00C117C8">
            <w:pPr>
              <w:rPr>
                <w:lang w:val="uk-UA"/>
              </w:rPr>
            </w:pPr>
            <w:r w:rsidRPr="0024327D">
              <w:rPr>
                <w:lang w:val="uk-UA"/>
              </w:rPr>
              <w:t xml:space="preserve">У контексті розрахунків покриття майбутня вартість активів або зобов'язань, дисконтованих згідно з методологією, яка зазвичай визначена в національному законодавстві або нормативних актах про </w:t>
            </w:r>
            <w:r w:rsidR="00FB118B" w:rsidRPr="0024327D">
              <w:rPr>
                <w:lang w:val="uk-UA"/>
              </w:rPr>
              <w:t>облігації з покриттям</w:t>
            </w:r>
            <w:r w:rsidRPr="0024327D">
              <w:rPr>
                <w:lang w:val="uk-UA"/>
              </w:rPr>
              <w:t>.</w:t>
            </w:r>
          </w:p>
        </w:tc>
      </w:tr>
      <w:tr w:rsidR="00182FC4" w:rsidRPr="0024327D" w14:paraId="576D81B7" w14:textId="77777777" w:rsidTr="00C117C8">
        <w:tc>
          <w:tcPr>
            <w:tcW w:w="0" w:type="auto"/>
            <w:shd w:val="clear" w:color="auto" w:fill="auto"/>
          </w:tcPr>
          <w:p w14:paraId="0DD6DBE5" w14:textId="38F4A472" w:rsidR="006F4D48" w:rsidRPr="0024327D" w:rsidRDefault="00EA0075" w:rsidP="00C117C8">
            <w:pPr>
              <w:rPr>
                <w:lang w:val="uk-UA"/>
              </w:rPr>
            </w:pPr>
            <w:r w:rsidRPr="0024327D">
              <w:rPr>
                <w:lang w:val="uk-UA"/>
              </w:rPr>
              <w:t xml:space="preserve">Надлишкове </w:t>
            </w:r>
            <w:r w:rsidR="006F4D48" w:rsidRPr="0024327D">
              <w:rPr>
                <w:lang w:val="uk-UA"/>
              </w:rPr>
              <w:t>забезпечення</w:t>
            </w:r>
          </w:p>
        </w:tc>
        <w:tc>
          <w:tcPr>
            <w:tcW w:w="0" w:type="auto"/>
            <w:shd w:val="clear" w:color="auto" w:fill="auto"/>
          </w:tcPr>
          <w:p w14:paraId="06BE8E80" w14:textId="44952EC4" w:rsidR="006F4D48" w:rsidRPr="0024327D" w:rsidRDefault="006F4D48" w:rsidP="00785FA1">
            <w:pPr>
              <w:rPr>
                <w:lang w:val="uk-UA"/>
              </w:rPr>
            </w:pPr>
            <w:r w:rsidRPr="0024327D">
              <w:rPr>
                <w:lang w:val="uk-UA"/>
              </w:rPr>
              <w:t xml:space="preserve">Різниця між вартістю пулу </w:t>
            </w:r>
            <w:r w:rsidR="00785FA1" w:rsidRPr="0024327D">
              <w:rPr>
                <w:lang w:val="uk-UA"/>
              </w:rPr>
              <w:t xml:space="preserve">покриття </w:t>
            </w:r>
            <w:r w:rsidRPr="0024327D">
              <w:rPr>
                <w:lang w:val="uk-UA"/>
              </w:rPr>
              <w:t xml:space="preserve">та вартістю зобов'язань, для яких він виступає забезпеченням. Зазвичай обчислюється на основі номінальної або </w:t>
            </w:r>
            <w:r w:rsidR="003D7D48" w:rsidRPr="0024327D">
              <w:rPr>
                <w:lang w:val="uk-UA"/>
              </w:rPr>
              <w:t xml:space="preserve">теперішньої </w:t>
            </w:r>
            <w:r w:rsidRPr="0024327D">
              <w:rPr>
                <w:lang w:val="uk-UA"/>
              </w:rPr>
              <w:t>вартості. Активи та зобов'язання визначаються по-різному для цих цілей у різних державах-членах.</w:t>
            </w:r>
          </w:p>
        </w:tc>
      </w:tr>
      <w:tr w:rsidR="00182FC4" w:rsidRPr="0024327D" w14:paraId="58DA9DD7" w14:textId="77777777" w:rsidTr="00C117C8">
        <w:tc>
          <w:tcPr>
            <w:tcW w:w="0" w:type="auto"/>
            <w:shd w:val="clear" w:color="auto" w:fill="auto"/>
          </w:tcPr>
          <w:p w14:paraId="1F1632AF" w14:textId="77777777" w:rsidR="006F4D48" w:rsidRPr="0024327D" w:rsidRDefault="006F4D48" w:rsidP="00C117C8">
            <w:pPr>
              <w:rPr>
                <w:lang w:val="uk-UA"/>
              </w:rPr>
            </w:pPr>
            <w:r w:rsidRPr="0024327D">
              <w:rPr>
                <w:lang w:val="uk-UA"/>
              </w:rPr>
              <w:t>Оригінатор</w:t>
            </w:r>
          </w:p>
        </w:tc>
        <w:tc>
          <w:tcPr>
            <w:tcW w:w="0" w:type="auto"/>
            <w:shd w:val="clear" w:color="auto" w:fill="auto"/>
          </w:tcPr>
          <w:p w14:paraId="31A317F3" w14:textId="76D51752" w:rsidR="006F4D48" w:rsidRPr="0024327D" w:rsidRDefault="006F4D48" w:rsidP="00C117C8">
            <w:pPr>
              <w:rPr>
                <w:lang w:val="uk-UA"/>
              </w:rPr>
            </w:pPr>
            <w:r w:rsidRPr="0024327D">
              <w:rPr>
                <w:lang w:val="uk-UA"/>
              </w:rPr>
              <w:t xml:space="preserve">Суб'єкт господарювання, який </w:t>
            </w:r>
            <w:r w:rsidR="00A40D61" w:rsidRPr="0024327D">
              <w:rPr>
                <w:lang w:val="uk-UA"/>
              </w:rPr>
              <w:t>відступає (</w:t>
            </w:r>
            <w:r w:rsidRPr="0024327D">
              <w:rPr>
                <w:lang w:val="uk-UA"/>
              </w:rPr>
              <w:t>передає</w:t>
            </w:r>
            <w:r w:rsidR="00A40D61" w:rsidRPr="0024327D">
              <w:rPr>
                <w:lang w:val="uk-UA"/>
              </w:rPr>
              <w:t>)</w:t>
            </w:r>
            <w:r w:rsidRPr="0024327D">
              <w:rPr>
                <w:lang w:val="uk-UA"/>
              </w:rPr>
              <w:t xml:space="preserve"> активи у рамках трансакції (тобто </w:t>
            </w:r>
            <w:r w:rsidR="005C5DB0" w:rsidRPr="0024327D">
              <w:rPr>
                <w:lang w:val="uk-UA"/>
              </w:rPr>
              <w:t xml:space="preserve">первісний </w:t>
            </w:r>
            <w:r w:rsidRPr="0024327D">
              <w:rPr>
                <w:lang w:val="uk-UA"/>
              </w:rPr>
              <w:t>власник активів)</w:t>
            </w:r>
            <w:r w:rsidR="0048739D" w:rsidRPr="0024327D">
              <w:rPr>
                <w:lang w:val="uk-UA"/>
              </w:rPr>
              <w:t>, або, у контексті синтетичної сек’юритизації, власник активів, який передає ризики за допомогою інструментів передачі ризиків (</w:t>
            </w:r>
            <w:r w:rsidR="00D83F9D" w:rsidRPr="0024327D">
              <w:rPr>
                <w:lang w:val="uk-UA"/>
              </w:rPr>
              <w:t>зазвичай, кредитного дефолтного свопа)</w:t>
            </w:r>
            <w:r w:rsidRPr="0024327D">
              <w:rPr>
                <w:lang w:val="uk-UA"/>
              </w:rPr>
              <w:t>.</w:t>
            </w:r>
          </w:p>
        </w:tc>
      </w:tr>
      <w:tr w:rsidR="00182FC4" w:rsidRPr="0024327D" w14:paraId="72E6FAFD" w14:textId="77777777" w:rsidTr="00C117C8">
        <w:tc>
          <w:tcPr>
            <w:tcW w:w="0" w:type="auto"/>
            <w:shd w:val="clear" w:color="auto" w:fill="auto"/>
          </w:tcPr>
          <w:p w14:paraId="55E635C5" w14:textId="29E03453" w:rsidR="006F4D48" w:rsidRPr="0024327D" w:rsidRDefault="002F3C63" w:rsidP="00C117C8">
            <w:pPr>
              <w:rPr>
                <w:lang w:val="uk-UA"/>
              </w:rPr>
            </w:pPr>
            <w:r w:rsidRPr="0024327D">
              <w:rPr>
                <w:lang w:val="uk-UA"/>
              </w:rPr>
              <w:t>Г</w:t>
            </w:r>
            <w:r w:rsidR="006F4D48" w:rsidRPr="0024327D">
              <w:rPr>
                <w:lang w:val="uk-UA"/>
              </w:rPr>
              <w:t>рафік погашення</w:t>
            </w:r>
            <w:r w:rsidRPr="0024327D">
              <w:rPr>
                <w:lang w:val="uk-UA"/>
              </w:rPr>
              <w:t>,</w:t>
            </w:r>
            <w:r w:rsidR="006F4D48" w:rsidRPr="0024327D">
              <w:rPr>
                <w:lang w:val="uk-UA"/>
              </w:rPr>
              <w:t xml:space="preserve"> яки</w:t>
            </w:r>
            <w:r w:rsidRPr="0024327D">
              <w:rPr>
                <w:lang w:val="uk-UA"/>
              </w:rPr>
              <w:t>й</w:t>
            </w:r>
            <w:r w:rsidR="006F4D48" w:rsidRPr="0024327D">
              <w:rPr>
                <w:lang w:val="uk-UA"/>
              </w:rPr>
              <w:t xml:space="preserve"> залежить від отримання надходжень від забезпечення</w:t>
            </w:r>
          </w:p>
        </w:tc>
        <w:tc>
          <w:tcPr>
            <w:tcW w:w="0" w:type="auto"/>
            <w:shd w:val="clear" w:color="auto" w:fill="auto"/>
          </w:tcPr>
          <w:p w14:paraId="7BA99949" w14:textId="19440E39" w:rsidR="006F4D48" w:rsidRPr="0024327D" w:rsidRDefault="006F4D48" w:rsidP="00C117C8">
            <w:pPr>
              <w:rPr>
                <w:lang w:val="uk-UA"/>
              </w:rPr>
            </w:pPr>
            <w:r w:rsidRPr="0024327D">
              <w:rPr>
                <w:lang w:val="uk-UA"/>
              </w:rPr>
              <w:t>Спосіб платеж</w:t>
            </w:r>
            <w:r w:rsidR="002F3C63" w:rsidRPr="0024327D">
              <w:rPr>
                <w:lang w:val="uk-UA"/>
              </w:rPr>
              <w:t>ів</w:t>
            </w:r>
            <w:r w:rsidRPr="0024327D">
              <w:rPr>
                <w:lang w:val="uk-UA"/>
              </w:rPr>
              <w:t>, коли виплати інвесторам відбуваються в ті самі періоди часу і зазнають тих самих коливань, що і дебіторська заборгованість. Застосовуючи цей метод, грошовий потік, який регулярно збирається за дебіторською заборгованістю, регулярно передається інвесторам.</w:t>
            </w:r>
          </w:p>
          <w:p w14:paraId="346A73BD" w14:textId="2A2FEC0C" w:rsidR="006F4D48" w:rsidRPr="0024327D" w:rsidRDefault="006F4D48" w:rsidP="00495619">
            <w:pPr>
              <w:rPr>
                <w:lang w:val="uk-UA"/>
              </w:rPr>
            </w:pPr>
            <w:r w:rsidRPr="0024327D">
              <w:rPr>
                <w:lang w:val="uk-UA"/>
              </w:rPr>
              <w:t>Зазвичай використовується при сек'юритизації та лише у виняткових обставинах при облігаціях</w:t>
            </w:r>
            <w:r w:rsidR="00495619" w:rsidRPr="0024327D">
              <w:rPr>
                <w:lang w:val="uk-UA"/>
              </w:rPr>
              <w:t xml:space="preserve"> з покриттям</w:t>
            </w:r>
            <w:r w:rsidRPr="0024327D">
              <w:rPr>
                <w:lang w:val="uk-UA"/>
              </w:rPr>
              <w:t>.</w:t>
            </w:r>
          </w:p>
        </w:tc>
      </w:tr>
      <w:tr w:rsidR="00182FC4" w:rsidRPr="0024327D" w14:paraId="7F41111D" w14:textId="77777777" w:rsidTr="00C117C8">
        <w:tc>
          <w:tcPr>
            <w:tcW w:w="0" w:type="auto"/>
            <w:shd w:val="clear" w:color="auto" w:fill="auto"/>
          </w:tcPr>
          <w:p w14:paraId="2237BA3E" w14:textId="77777777" w:rsidR="006F4D48" w:rsidRPr="0024327D" w:rsidRDefault="006F4D48" w:rsidP="00C117C8">
            <w:pPr>
              <w:rPr>
                <w:lang w:val="uk-UA"/>
              </w:rPr>
            </w:pPr>
            <w:r w:rsidRPr="0024327D">
              <w:rPr>
                <w:lang w:val="uk-UA"/>
              </w:rPr>
              <w:lastRenderedPageBreak/>
              <w:t>Первинні активи</w:t>
            </w:r>
          </w:p>
        </w:tc>
        <w:tc>
          <w:tcPr>
            <w:tcW w:w="0" w:type="auto"/>
            <w:shd w:val="clear" w:color="auto" w:fill="auto"/>
          </w:tcPr>
          <w:p w14:paraId="4EF09997" w14:textId="2E26CFE3" w:rsidR="006F4D48" w:rsidRPr="0024327D" w:rsidRDefault="006F4D48" w:rsidP="00785FA1">
            <w:pPr>
              <w:rPr>
                <w:lang w:val="uk-UA"/>
              </w:rPr>
            </w:pPr>
            <w:r w:rsidRPr="0024327D">
              <w:rPr>
                <w:lang w:val="uk-UA"/>
              </w:rPr>
              <w:t xml:space="preserve">Ті активи, для </w:t>
            </w:r>
            <w:r w:rsidR="00AE4B87" w:rsidRPr="0024327D">
              <w:rPr>
                <w:lang w:val="uk-UA"/>
              </w:rPr>
              <w:t>ре</w:t>
            </w:r>
            <w:r w:rsidRPr="0024327D">
              <w:rPr>
                <w:lang w:val="uk-UA"/>
              </w:rPr>
              <w:t xml:space="preserve">фінансування яких була створена програма </w:t>
            </w:r>
            <w:r w:rsidR="00645A85" w:rsidRPr="0024327D">
              <w:rPr>
                <w:lang w:val="uk-UA"/>
              </w:rPr>
              <w:t>облігацій з покриттям</w:t>
            </w:r>
            <w:r w:rsidRPr="0024327D">
              <w:rPr>
                <w:lang w:val="uk-UA"/>
              </w:rPr>
              <w:t>. Відмінні від дериватив</w:t>
            </w:r>
            <w:r w:rsidR="00785FA1" w:rsidRPr="0024327D">
              <w:rPr>
                <w:lang w:val="uk-UA"/>
              </w:rPr>
              <w:t xml:space="preserve">них </w:t>
            </w:r>
            <w:r w:rsidR="001846F5" w:rsidRPr="0024327D">
              <w:rPr>
                <w:lang w:val="uk-UA"/>
              </w:rPr>
              <w:t>фінансових інструментів</w:t>
            </w:r>
            <w:r w:rsidR="00AE4B87" w:rsidRPr="0024327D">
              <w:rPr>
                <w:lang w:val="uk-UA"/>
              </w:rPr>
              <w:t>,</w:t>
            </w:r>
            <w:r w:rsidRPr="0024327D">
              <w:rPr>
                <w:lang w:val="uk-UA"/>
              </w:rPr>
              <w:t xml:space="preserve"> активів</w:t>
            </w:r>
            <w:r w:rsidR="00AE4B87" w:rsidRPr="0024327D">
              <w:rPr>
                <w:lang w:val="uk-UA"/>
              </w:rPr>
              <w:t>-замінників</w:t>
            </w:r>
            <w:r w:rsidRPr="0024327D">
              <w:rPr>
                <w:lang w:val="uk-UA"/>
              </w:rPr>
              <w:t xml:space="preserve"> або активів</w:t>
            </w:r>
            <w:r w:rsidR="00AE4B87" w:rsidRPr="0024327D">
              <w:rPr>
                <w:lang w:val="uk-UA"/>
              </w:rPr>
              <w:t xml:space="preserve"> для підтримання ліквідності</w:t>
            </w:r>
            <w:r w:rsidRPr="0024327D">
              <w:rPr>
                <w:lang w:val="uk-UA"/>
              </w:rPr>
              <w:t>.</w:t>
            </w:r>
          </w:p>
        </w:tc>
      </w:tr>
      <w:tr w:rsidR="00182FC4" w:rsidRPr="0024327D" w14:paraId="2D186DE0" w14:textId="77777777" w:rsidTr="00C117C8">
        <w:tc>
          <w:tcPr>
            <w:tcW w:w="0" w:type="auto"/>
            <w:shd w:val="clear" w:color="auto" w:fill="auto"/>
          </w:tcPr>
          <w:p w14:paraId="7E3A8EE0" w14:textId="77777777" w:rsidR="006F4D48" w:rsidRPr="0024327D" w:rsidRDefault="006F4D48" w:rsidP="00C117C8">
            <w:pPr>
              <w:rPr>
                <w:lang w:val="uk-UA"/>
              </w:rPr>
            </w:pPr>
            <w:r w:rsidRPr="0024327D">
              <w:rPr>
                <w:lang w:val="uk-UA"/>
              </w:rPr>
              <w:t>Сервісний агент</w:t>
            </w:r>
          </w:p>
        </w:tc>
        <w:tc>
          <w:tcPr>
            <w:tcW w:w="0" w:type="auto"/>
            <w:shd w:val="clear" w:color="auto" w:fill="auto"/>
          </w:tcPr>
          <w:p w14:paraId="278825A2" w14:textId="2201F6B5" w:rsidR="006F4D48" w:rsidRPr="0024327D" w:rsidRDefault="006F4D48" w:rsidP="00C117C8">
            <w:pPr>
              <w:rPr>
                <w:lang w:val="uk-UA"/>
              </w:rPr>
            </w:pPr>
            <w:r w:rsidRPr="0024327D">
              <w:rPr>
                <w:lang w:val="uk-UA"/>
              </w:rPr>
              <w:t xml:space="preserve">Суб'єкт господарювання, який стягує основну суму та проценти з боржників та управляє активами після закриття трансакції. Поширеною практикою є те, що </w:t>
            </w:r>
            <w:r w:rsidR="001732D3" w:rsidRPr="0024327D">
              <w:rPr>
                <w:lang w:val="uk-UA"/>
              </w:rPr>
              <w:t>о</w:t>
            </w:r>
            <w:r w:rsidRPr="0024327D">
              <w:rPr>
                <w:lang w:val="uk-UA"/>
              </w:rPr>
              <w:t>ригінатори виступають в ролі Сервісних агентів, однак можуть застосовуватися винятки (див. Резервний сервісний агент).</w:t>
            </w:r>
          </w:p>
        </w:tc>
      </w:tr>
      <w:tr w:rsidR="00182FC4" w:rsidRPr="0024327D" w14:paraId="21DF9B23" w14:textId="77777777" w:rsidTr="00C117C8">
        <w:tc>
          <w:tcPr>
            <w:tcW w:w="0" w:type="auto"/>
            <w:shd w:val="clear" w:color="auto" w:fill="auto"/>
          </w:tcPr>
          <w:p w14:paraId="1D3C02CB" w14:textId="2A8640E6" w:rsidR="006F4D48" w:rsidRPr="0024327D" w:rsidRDefault="00B82303" w:rsidP="00C117C8">
            <w:pPr>
              <w:rPr>
                <w:lang w:val="uk-UA"/>
              </w:rPr>
            </w:pPr>
            <w:r w:rsidRPr="0024327D">
              <w:rPr>
                <w:lang w:val="uk-UA"/>
              </w:rPr>
              <w:t xml:space="preserve">Гнучкий </w:t>
            </w:r>
            <w:r w:rsidR="006F4D48" w:rsidRPr="0024327D">
              <w:rPr>
                <w:lang w:val="uk-UA"/>
              </w:rPr>
              <w:t>графік погашення</w:t>
            </w:r>
          </w:p>
        </w:tc>
        <w:tc>
          <w:tcPr>
            <w:tcW w:w="0" w:type="auto"/>
            <w:shd w:val="clear" w:color="auto" w:fill="auto"/>
          </w:tcPr>
          <w:p w14:paraId="2243E61D" w14:textId="13C7E1EF" w:rsidR="006F4D48" w:rsidRPr="0024327D" w:rsidRDefault="006F4D48" w:rsidP="000F5FA8">
            <w:pPr>
              <w:rPr>
                <w:lang w:val="uk-UA"/>
              </w:rPr>
            </w:pPr>
            <w:r w:rsidRPr="0024327D">
              <w:rPr>
                <w:lang w:val="uk-UA"/>
              </w:rPr>
              <w:t xml:space="preserve">Домовленість щодо </w:t>
            </w:r>
            <w:r w:rsidR="00645A85" w:rsidRPr="0024327D">
              <w:rPr>
                <w:lang w:val="uk-UA"/>
              </w:rPr>
              <w:t>облігацій з покриттям</w:t>
            </w:r>
            <w:r w:rsidRPr="0024327D">
              <w:rPr>
                <w:lang w:val="uk-UA"/>
              </w:rPr>
              <w:t xml:space="preserve">, визначена </w:t>
            </w:r>
            <w:r w:rsidR="00B82303" w:rsidRPr="0024327D">
              <w:rPr>
                <w:lang w:val="uk-UA"/>
              </w:rPr>
              <w:t xml:space="preserve">договором </w:t>
            </w:r>
            <w:r w:rsidRPr="0024327D">
              <w:rPr>
                <w:lang w:val="uk-UA"/>
              </w:rPr>
              <w:t xml:space="preserve">для вирішення потенційної нездатності емітента, що опинився у важкій ситуації, виконати зобов'язання за </w:t>
            </w:r>
            <w:r w:rsidR="00645A85" w:rsidRPr="0024327D">
              <w:rPr>
                <w:lang w:val="uk-UA"/>
              </w:rPr>
              <w:t>облігаціями з покриттям</w:t>
            </w:r>
            <w:r w:rsidRPr="0024327D">
              <w:rPr>
                <w:lang w:val="uk-UA"/>
              </w:rPr>
              <w:t xml:space="preserve"> при настанні строку їх погашення. Зазвичай вказується, що неможливість погашення облігацій на заплановану дату погашення не є випадком невиконання зобов’язань. У такому випадку базова облігація конвертується у цінний папір з плаваючою ставкою після запланованого строку погашення і буде погашена в той момент, коли активи</w:t>
            </w:r>
            <w:r w:rsidR="000C5ACA" w:rsidRPr="0024327D">
              <w:rPr>
                <w:lang w:val="uk-UA"/>
              </w:rPr>
              <w:t>, включені до</w:t>
            </w:r>
            <w:r w:rsidRPr="0024327D">
              <w:rPr>
                <w:lang w:val="uk-UA"/>
              </w:rPr>
              <w:t xml:space="preserve"> </w:t>
            </w:r>
            <w:r w:rsidR="000F5FA8" w:rsidRPr="0024327D">
              <w:rPr>
                <w:lang w:val="uk-UA"/>
              </w:rPr>
              <w:t xml:space="preserve"> покриття</w:t>
            </w:r>
            <w:r w:rsidR="000C5ACA" w:rsidRPr="0024327D">
              <w:rPr>
                <w:lang w:val="uk-UA"/>
              </w:rPr>
              <w:t>,</w:t>
            </w:r>
            <w:r w:rsidRPr="0024327D">
              <w:rPr>
                <w:lang w:val="uk-UA"/>
              </w:rPr>
              <w:t xml:space="preserve"> можуть бути ліквідовані за достатні надходження для повного погашення до заздалегідь визначеної дати, як правило, через рік після запланованої дати погашення. Використовується замість структур, в яких графік погашення </w:t>
            </w:r>
            <w:r w:rsidR="00FE1B33" w:rsidRPr="0024327D">
              <w:rPr>
                <w:lang w:val="uk-UA"/>
              </w:rPr>
              <w:t>частково</w:t>
            </w:r>
            <w:r w:rsidR="00373F95" w:rsidRPr="0024327D">
              <w:rPr>
                <w:lang w:val="uk-UA"/>
              </w:rPr>
              <w:t xml:space="preserve"> </w:t>
            </w:r>
            <w:r w:rsidRPr="0024327D">
              <w:rPr>
                <w:lang w:val="uk-UA"/>
              </w:rPr>
              <w:t xml:space="preserve">залежить від отримання надходжень від </w:t>
            </w:r>
            <w:r w:rsidR="000F5FA8" w:rsidRPr="0024327D">
              <w:rPr>
                <w:lang w:val="uk-UA"/>
              </w:rPr>
              <w:t xml:space="preserve"> покриття </w:t>
            </w:r>
            <w:r w:rsidRPr="0024327D">
              <w:rPr>
                <w:lang w:val="uk-UA"/>
              </w:rPr>
              <w:t>та структур з жорстким графіком погашення.</w:t>
            </w:r>
          </w:p>
        </w:tc>
      </w:tr>
      <w:tr w:rsidR="00182FC4" w:rsidRPr="0024327D" w14:paraId="75CF48B3" w14:textId="77777777" w:rsidTr="00C117C8">
        <w:tc>
          <w:tcPr>
            <w:tcW w:w="0" w:type="auto"/>
            <w:shd w:val="clear" w:color="auto" w:fill="auto"/>
          </w:tcPr>
          <w:p w14:paraId="1A4F54D3" w14:textId="50E3D4E5" w:rsidR="006F4D48" w:rsidRPr="0024327D" w:rsidRDefault="006F4D48" w:rsidP="00C117C8">
            <w:pPr>
              <w:rPr>
                <w:lang w:val="uk-UA"/>
              </w:rPr>
            </w:pPr>
            <w:r w:rsidRPr="0024327D">
              <w:rPr>
                <w:lang w:val="uk-UA"/>
              </w:rPr>
              <w:t xml:space="preserve">Спеціальний </w:t>
            </w:r>
            <w:r w:rsidR="00CC330A" w:rsidRPr="0024327D">
              <w:rPr>
                <w:lang w:val="uk-UA"/>
              </w:rPr>
              <w:t>адміністратор</w:t>
            </w:r>
          </w:p>
        </w:tc>
        <w:tc>
          <w:tcPr>
            <w:tcW w:w="0" w:type="auto"/>
            <w:shd w:val="clear" w:color="auto" w:fill="auto"/>
          </w:tcPr>
          <w:p w14:paraId="7075E496" w14:textId="4DDAF099" w:rsidR="006F4D48" w:rsidRPr="0024327D" w:rsidRDefault="006F4D48" w:rsidP="00C117C8">
            <w:pPr>
              <w:rPr>
                <w:lang w:val="uk-UA"/>
              </w:rPr>
            </w:pPr>
            <w:r w:rsidRPr="0024327D">
              <w:rPr>
                <w:lang w:val="uk-UA"/>
              </w:rPr>
              <w:t xml:space="preserve">Організація, відповідальна за адміністрування пулу </w:t>
            </w:r>
            <w:r w:rsidR="00645A85" w:rsidRPr="0024327D">
              <w:rPr>
                <w:lang w:val="uk-UA"/>
              </w:rPr>
              <w:t>облігацій з покриттям</w:t>
            </w:r>
            <w:r w:rsidRPr="0024327D">
              <w:rPr>
                <w:lang w:val="uk-UA"/>
              </w:rPr>
              <w:t xml:space="preserve"> та програми на користь власників </w:t>
            </w:r>
            <w:r w:rsidR="00645A85" w:rsidRPr="0024327D">
              <w:rPr>
                <w:lang w:val="uk-UA"/>
              </w:rPr>
              <w:t>облігацій з покриттям</w:t>
            </w:r>
            <w:r w:rsidRPr="0024327D">
              <w:rPr>
                <w:lang w:val="uk-UA"/>
              </w:rPr>
              <w:t xml:space="preserve"> після неплатоспроможності емітента або спонсора.</w:t>
            </w:r>
          </w:p>
        </w:tc>
      </w:tr>
      <w:tr w:rsidR="00182FC4" w:rsidRPr="0024327D" w14:paraId="33DB0E9E" w14:textId="77777777" w:rsidTr="00C117C8">
        <w:tc>
          <w:tcPr>
            <w:tcW w:w="0" w:type="auto"/>
            <w:shd w:val="clear" w:color="auto" w:fill="auto"/>
          </w:tcPr>
          <w:p w14:paraId="2C24DEC2" w14:textId="77777777" w:rsidR="006F4D48" w:rsidRPr="0024327D" w:rsidRDefault="006F4D48" w:rsidP="00C117C8">
            <w:pPr>
              <w:rPr>
                <w:lang w:val="uk-UA"/>
              </w:rPr>
            </w:pPr>
            <w:r w:rsidRPr="0024327D">
              <w:rPr>
                <w:lang w:val="uk-UA"/>
              </w:rPr>
              <w:t>Спеціальний банк</w:t>
            </w:r>
          </w:p>
        </w:tc>
        <w:tc>
          <w:tcPr>
            <w:tcW w:w="0" w:type="auto"/>
            <w:shd w:val="clear" w:color="auto" w:fill="auto"/>
          </w:tcPr>
          <w:p w14:paraId="1D828954" w14:textId="634D0C8D" w:rsidR="006F4D48" w:rsidRPr="0024327D" w:rsidRDefault="006F4D48" w:rsidP="00C117C8">
            <w:pPr>
              <w:rPr>
                <w:lang w:val="uk-UA"/>
              </w:rPr>
            </w:pPr>
            <w:r w:rsidRPr="0024327D">
              <w:rPr>
                <w:lang w:val="uk-UA"/>
              </w:rPr>
              <w:t xml:space="preserve">Кредитна установа, створена для та діяльність якої обмежена випуском </w:t>
            </w:r>
            <w:r w:rsidR="00645A85" w:rsidRPr="0024327D">
              <w:rPr>
                <w:lang w:val="uk-UA"/>
              </w:rPr>
              <w:t>облігацій з покриттям</w:t>
            </w:r>
            <w:r w:rsidRPr="0024327D">
              <w:rPr>
                <w:lang w:val="uk-UA"/>
              </w:rPr>
              <w:t>, придбанням активів для їх забезпечення та певних інших допоміжних видів діяльності. Відмінна від компанії спеціального призначення.</w:t>
            </w:r>
          </w:p>
        </w:tc>
      </w:tr>
      <w:tr w:rsidR="00182FC4" w:rsidRPr="0024327D" w14:paraId="3007658C" w14:textId="77777777" w:rsidTr="00C117C8">
        <w:tc>
          <w:tcPr>
            <w:tcW w:w="0" w:type="auto"/>
            <w:shd w:val="clear" w:color="auto" w:fill="auto"/>
          </w:tcPr>
          <w:p w14:paraId="75CC9897" w14:textId="77777777" w:rsidR="006F4D48" w:rsidRPr="0024327D" w:rsidRDefault="006F4D48" w:rsidP="00C117C8">
            <w:pPr>
              <w:rPr>
                <w:lang w:val="uk-UA"/>
              </w:rPr>
            </w:pPr>
            <w:r w:rsidRPr="0024327D">
              <w:rPr>
                <w:lang w:val="uk-UA"/>
              </w:rPr>
              <w:t>Спеціальний державний нагляд</w:t>
            </w:r>
          </w:p>
        </w:tc>
        <w:tc>
          <w:tcPr>
            <w:tcW w:w="0" w:type="auto"/>
            <w:shd w:val="clear" w:color="auto" w:fill="auto"/>
          </w:tcPr>
          <w:p w14:paraId="4506C6DA" w14:textId="76334A23" w:rsidR="006F4D48" w:rsidRPr="0024327D" w:rsidRDefault="006F4D48" w:rsidP="000F5FA8">
            <w:pPr>
              <w:rPr>
                <w:lang w:val="uk-UA"/>
              </w:rPr>
            </w:pPr>
            <w:r w:rsidRPr="0024327D">
              <w:rPr>
                <w:lang w:val="uk-UA"/>
              </w:rPr>
              <w:t xml:space="preserve">Нагляд за емітентами </w:t>
            </w:r>
            <w:r w:rsidR="00645A85" w:rsidRPr="0024327D">
              <w:rPr>
                <w:lang w:val="uk-UA"/>
              </w:rPr>
              <w:t>облігацій з покриттям</w:t>
            </w:r>
            <w:r w:rsidRPr="0024327D">
              <w:rPr>
                <w:lang w:val="uk-UA"/>
              </w:rPr>
              <w:t xml:space="preserve">, програмами та пулами </w:t>
            </w:r>
            <w:r w:rsidR="000F5FA8" w:rsidRPr="0024327D">
              <w:rPr>
                <w:lang w:val="uk-UA"/>
              </w:rPr>
              <w:t xml:space="preserve"> покриття</w:t>
            </w:r>
            <w:r w:rsidRPr="0024327D">
              <w:rPr>
                <w:lang w:val="uk-UA"/>
              </w:rPr>
              <w:t xml:space="preserve">, що здійснюються спеціально для захисту інтересів власників </w:t>
            </w:r>
            <w:r w:rsidR="00645A85" w:rsidRPr="0024327D">
              <w:rPr>
                <w:lang w:val="uk-UA"/>
              </w:rPr>
              <w:t>облігацій з покриттям</w:t>
            </w:r>
            <w:r w:rsidRPr="0024327D">
              <w:rPr>
                <w:lang w:val="uk-UA"/>
              </w:rPr>
              <w:t>, додатково до звичайних наглядових процесів для кредитних установ.</w:t>
            </w:r>
          </w:p>
        </w:tc>
      </w:tr>
      <w:tr w:rsidR="00182FC4" w:rsidRPr="0024327D" w14:paraId="02F41E48" w14:textId="77777777" w:rsidTr="00C117C8">
        <w:tc>
          <w:tcPr>
            <w:tcW w:w="0" w:type="auto"/>
            <w:shd w:val="clear" w:color="auto" w:fill="auto"/>
          </w:tcPr>
          <w:p w14:paraId="26CF8939" w14:textId="77777777" w:rsidR="006F4D48" w:rsidRPr="0024327D" w:rsidRDefault="006F4D48" w:rsidP="00C117C8">
            <w:pPr>
              <w:rPr>
                <w:lang w:val="uk-UA"/>
              </w:rPr>
            </w:pPr>
            <w:r w:rsidRPr="0024327D">
              <w:rPr>
                <w:lang w:val="uk-UA"/>
              </w:rPr>
              <w:t>Компанія спеціального призначення</w:t>
            </w:r>
          </w:p>
        </w:tc>
        <w:tc>
          <w:tcPr>
            <w:tcW w:w="0" w:type="auto"/>
            <w:shd w:val="clear" w:color="auto" w:fill="auto"/>
          </w:tcPr>
          <w:p w14:paraId="02D00FA0" w14:textId="4F6B47C2" w:rsidR="006F4D48" w:rsidRPr="0024327D" w:rsidRDefault="006F4D48" w:rsidP="00C117C8">
            <w:pPr>
              <w:rPr>
                <w:lang w:val="uk-UA"/>
              </w:rPr>
            </w:pPr>
            <w:r w:rsidRPr="0024327D">
              <w:rPr>
                <w:lang w:val="uk-UA"/>
              </w:rPr>
              <w:t xml:space="preserve">Незалежна юридична особа, яка використовується в деяких юрисдикціях для утримання активів з метою забезпечення </w:t>
            </w:r>
            <w:r w:rsidR="00A7683B" w:rsidRPr="0024327D">
              <w:rPr>
                <w:lang w:val="uk-UA"/>
              </w:rPr>
              <w:t>прав</w:t>
            </w:r>
            <w:r w:rsidR="00182FC4" w:rsidRPr="0024327D">
              <w:rPr>
                <w:lang w:val="uk-UA"/>
              </w:rPr>
              <w:t>о</w:t>
            </w:r>
            <w:r w:rsidR="00A7683B" w:rsidRPr="0024327D">
              <w:rPr>
                <w:lang w:val="uk-UA"/>
              </w:rPr>
              <w:t xml:space="preserve">вої визначеності щодо права на активи </w:t>
            </w:r>
            <w:r w:rsidR="00182FC4" w:rsidRPr="0024327D">
              <w:rPr>
                <w:lang w:val="uk-UA"/>
              </w:rPr>
              <w:t xml:space="preserve">для </w:t>
            </w:r>
            <w:r w:rsidRPr="0024327D">
              <w:rPr>
                <w:lang w:val="uk-UA"/>
              </w:rPr>
              <w:t>власників облігацій. Відмінна від Спеціального банку.</w:t>
            </w:r>
          </w:p>
        </w:tc>
      </w:tr>
      <w:tr w:rsidR="00182FC4" w:rsidRPr="0024327D" w14:paraId="528CC29D" w14:textId="77777777" w:rsidTr="00C117C8">
        <w:tc>
          <w:tcPr>
            <w:tcW w:w="0" w:type="auto"/>
            <w:shd w:val="clear" w:color="auto" w:fill="auto"/>
          </w:tcPr>
          <w:p w14:paraId="6A3A69A0" w14:textId="61ACACE6" w:rsidR="006F4D48" w:rsidRPr="0024327D" w:rsidRDefault="006F4D48" w:rsidP="00C117C8">
            <w:pPr>
              <w:rPr>
                <w:lang w:val="uk-UA"/>
              </w:rPr>
            </w:pPr>
            <w:r w:rsidRPr="0024327D">
              <w:rPr>
                <w:lang w:val="uk-UA"/>
              </w:rPr>
              <w:t xml:space="preserve">Законодавчо закріплене </w:t>
            </w:r>
            <w:r w:rsidR="00182FC4" w:rsidRPr="0024327D">
              <w:rPr>
                <w:lang w:val="uk-UA"/>
              </w:rPr>
              <w:t xml:space="preserve">надлишкове </w:t>
            </w:r>
            <w:r w:rsidRPr="0024327D">
              <w:rPr>
                <w:lang w:val="uk-UA"/>
              </w:rPr>
              <w:t>забезпечення</w:t>
            </w:r>
          </w:p>
        </w:tc>
        <w:tc>
          <w:tcPr>
            <w:tcW w:w="0" w:type="auto"/>
            <w:shd w:val="clear" w:color="auto" w:fill="auto"/>
          </w:tcPr>
          <w:p w14:paraId="5DF31C2D" w14:textId="28B02963" w:rsidR="006F4D48" w:rsidRPr="0024327D" w:rsidRDefault="006F4D48" w:rsidP="00495619">
            <w:pPr>
              <w:rPr>
                <w:lang w:val="uk-UA"/>
              </w:rPr>
            </w:pPr>
            <w:r w:rsidRPr="0024327D">
              <w:rPr>
                <w:lang w:val="uk-UA"/>
              </w:rPr>
              <w:t>В облігаціях</w:t>
            </w:r>
            <w:r w:rsidR="00495619" w:rsidRPr="0024327D">
              <w:rPr>
                <w:lang w:val="uk-UA"/>
              </w:rPr>
              <w:t xml:space="preserve"> з покриттям</w:t>
            </w:r>
            <w:r w:rsidRPr="0024327D">
              <w:rPr>
                <w:lang w:val="uk-UA"/>
              </w:rPr>
              <w:t xml:space="preserve"> така сума надмірного забезпечення, яка вимагається або законом, або нормативними актами, прийнятими компетентним органом для регулювання та нагляду за емітентом.</w:t>
            </w:r>
          </w:p>
        </w:tc>
      </w:tr>
      <w:tr w:rsidR="00182FC4" w:rsidRPr="0024327D" w14:paraId="1A7FFC48" w14:textId="77777777" w:rsidTr="00C117C8">
        <w:tc>
          <w:tcPr>
            <w:tcW w:w="0" w:type="auto"/>
            <w:shd w:val="clear" w:color="auto" w:fill="auto"/>
          </w:tcPr>
          <w:p w14:paraId="7D12D9D2" w14:textId="03FAC9AC" w:rsidR="006F4D48" w:rsidRPr="0024327D" w:rsidRDefault="00182FC4" w:rsidP="00C117C8">
            <w:pPr>
              <w:rPr>
                <w:lang w:val="uk-UA"/>
              </w:rPr>
            </w:pPr>
            <w:r w:rsidRPr="0024327D">
              <w:rPr>
                <w:lang w:val="uk-UA"/>
              </w:rPr>
              <w:lastRenderedPageBreak/>
              <w:t>А</w:t>
            </w:r>
            <w:r w:rsidR="006F4D48" w:rsidRPr="0024327D">
              <w:rPr>
                <w:lang w:val="uk-UA"/>
              </w:rPr>
              <w:t>ктиви</w:t>
            </w:r>
            <w:r w:rsidRPr="0024327D">
              <w:rPr>
                <w:lang w:val="uk-UA"/>
              </w:rPr>
              <w:t>-замінники</w:t>
            </w:r>
          </w:p>
        </w:tc>
        <w:tc>
          <w:tcPr>
            <w:tcW w:w="0" w:type="auto"/>
            <w:shd w:val="clear" w:color="auto" w:fill="auto"/>
          </w:tcPr>
          <w:p w14:paraId="573B56DB" w14:textId="09307A6F" w:rsidR="006F4D48" w:rsidRPr="0024327D" w:rsidRDefault="006F4D48" w:rsidP="001846F5">
            <w:pPr>
              <w:rPr>
                <w:lang w:val="uk-UA"/>
              </w:rPr>
            </w:pPr>
            <w:r w:rsidRPr="0024327D">
              <w:rPr>
                <w:lang w:val="uk-UA"/>
              </w:rPr>
              <w:t xml:space="preserve">Активи, що </w:t>
            </w:r>
            <w:r w:rsidR="00182FC4" w:rsidRPr="0024327D">
              <w:rPr>
                <w:lang w:val="uk-UA"/>
              </w:rPr>
              <w:t xml:space="preserve">включаються до забезпечення </w:t>
            </w:r>
            <w:r w:rsidRPr="0024327D">
              <w:rPr>
                <w:lang w:val="uk-UA"/>
              </w:rPr>
              <w:t>додатково до первинних активів, як правило, це дериватив</w:t>
            </w:r>
            <w:r w:rsidR="000F5FA8" w:rsidRPr="0024327D">
              <w:rPr>
                <w:lang w:val="uk-UA"/>
              </w:rPr>
              <w:t xml:space="preserve">ні </w:t>
            </w:r>
            <w:r w:rsidR="001846F5" w:rsidRPr="0024327D">
              <w:rPr>
                <w:lang w:val="uk-UA"/>
              </w:rPr>
              <w:t xml:space="preserve">фінансові інструменти </w:t>
            </w:r>
            <w:r w:rsidRPr="0024327D">
              <w:rPr>
                <w:lang w:val="uk-UA"/>
              </w:rPr>
              <w:t xml:space="preserve">та активи, що </w:t>
            </w:r>
            <w:r w:rsidR="00182FC4" w:rsidRPr="0024327D">
              <w:rPr>
                <w:lang w:val="uk-UA"/>
              </w:rPr>
              <w:t xml:space="preserve">включаються </w:t>
            </w:r>
            <w:r w:rsidRPr="0024327D">
              <w:rPr>
                <w:lang w:val="uk-UA"/>
              </w:rPr>
              <w:t xml:space="preserve">для цілей </w:t>
            </w:r>
            <w:r w:rsidR="00182FC4" w:rsidRPr="0024327D">
              <w:rPr>
                <w:lang w:val="uk-UA"/>
              </w:rPr>
              <w:t xml:space="preserve">забезпечення </w:t>
            </w:r>
            <w:r w:rsidRPr="0024327D">
              <w:rPr>
                <w:lang w:val="uk-UA"/>
              </w:rPr>
              <w:t>ліквідності.</w:t>
            </w:r>
          </w:p>
        </w:tc>
      </w:tr>
      <w:tr w:rsidR="00182FC4" w:rsidRPr="0024327D" w14:paraId="2F356DB1" w14:textId="77777777" w:rsidTr="00C117C8">
        <w:tc>
          <w:tcPr>
            <w:tcW w:w="0" w:type="auto"/>
            <w:shd w:val="clear" w:color="auto" w:fill="auto"/>
          </w:tcPr>
          <w:p w14:paraId="3AFE1F23" w14:textId="7A94F69E" w:rsidR="006F4D48" w:rsidRPr="0024327D" w:rsidRDefault="006F4D48" w:rsidP="00C117C8">
            <w:pPr>
              <w:rPr>
                <w:lang w:val="uk-UA"/>
              </w:rPr>
            </w:pPr>
            <w:r w:rsidRPr="0024327D">
              <w:rPr>
                <w:lang w:val="uk-UA"/>
              </w:rPr>
              <w:t>Довірчий управитель</w:t>
            </w:r>
            <w:r w:rsidR="007D6D8D" w:rsidRPr="0024327D">
              <w:rPr>
                <w:lang w:val="uk-UA"/>
              </w:rPr>
              <w:t xml:space="preserve"> (адміністратор за </w:t>
            </w:r>
            <w:r w:rsidR="00827D48" w:rsidRPr="0024327D">
              <w:rPr>
                <w:lang w:val="uk-UA"/>
              </w:rPr>
              <w:t>випуском</w:t>
            </w:r>
            <w:r w:rsidR="007D6D8D" w:rsidRPr="0024327D">
              <w:rPr>
                <w:lang w:val="uk-UA"/>
              </w:rPr>
              <w:t xml:space="preserve"> облігацій)</w:t>
            </w:r>
          </w:p>
        </w:tc>
        <w:tc>
          <w:tcPr>
            <w:tcW w:w="0" w:type="auto"/>
            <w:shd w:val="clear" w:color="auto" w:fill="auto"/>
          </w:tcPr>
          <w:p w14:paraId="41FD5868" w14:textId="77777777" w:rsidR="006F4D48" w:rsidRPr="0024327D" w:rsidRDefault="006F4D48" w:rsidP="00C117C8">
            <w:pPr>
              <w:rPr>
                <w:lang w:val="uk-UA"/>
              </w:rPr>
            </w:pPr>
            <w:r w:rsidRPr="0024327D">
              <w:rPr>
                <w:lang w:val="uk-UA"/>
              </w:rPr>
              <w:t>Третя особа, призначена діяти від імені інвесторів.</w:t>
            </w:r>
          </w:p>
        </w:tc>
      </w:tr>
    </w:tbl>
    <w:p w14:paraId="09CCE59E" w14:textId="77777777" w:rsidR="00973194" w:rsidRPr="0024327D" w:rsidRDefault="00973194" w:rsidP="00501D25">
      <w:pPr>
        <w:rPr>
          <w:lang w:val="uk-UA"/>
        </w:rPr>
      </w:pPr>
    </w:p>
    <w:p w14:paraId="7C4F3FC5" w14:textId="77777777" w:rsidR="006F4D48" w:rsidRPr="0024327D" w:rsidRDefault="006F4D48" w:rsidP="006F4D48">
      <w:pPr>
        <w:pStyle w:val="1"/>
        <w:numPr>
          <w:ilvl w:val="0"/>
          <w:numId w:val="0"/>
        </w:numPr>
        <w:rPr>
          <w:lang w:val="uk-UA"/>
        </w:rPr>
      </w:pPr>
      <w:bookmarkStart w:id="200" w:name="_Toc462854302"/>
      <w:bookmarkStart w:id="201" w:name="_Toc464582323"/>
      <w:bookmarkStart w:id="202" w:name="_Toc513553407"/>
      <w:bookmarkStart w:id="203" w:name="_Ref520809106"/>
      <w:bookmarkStart w:id="204" w:name="_Toc6942273"/>
      <w:bookmarkStart w:id="205" w:name="_Toc5081063"/>
      <w:bookmarkStart w:id="206" w:name="_Toc27153483"/>
      <w:bookmarkStart w:id="207" w:name="_Toc32498766"/>
      <w:bookmarkStart w:id="208" w:name="_Toc95481032"/>
      <w:r w:rsidRPr="0024327D">
        <w:rPr>
          <w:lang w:val="uk-UA"/>
        </w:rPr>
        <w:lastRenderedPageBreak/>
        <w:t xml:space="preserve">Додаток 3: </w:t>
      </w:r>
      <w:bookmarkEnd w:id="200"/>
      <w:bookmarkEnd w:id="201"/>
      <w:bookmarkEnd w:id="202"/>
      <w:bookmarkEnd w:id="203"/>
      <w:bookmarkEnd w:id="204"/>
      <w:bookmarkEnd w:id="205"/>
      <w:bookmarkEnd w:id="206"/>
      <w:bookmarkEnd w:id="207"/>
      <w:r w:rsidRPr="0024327D">
        <w:rPr>
          <w:lang w:val="uk-UA"/>
        </w:rPr>
        <w:t>Законодавчий процес у ЄС</w:t>
      </w:r>
      <w:bookmarkEnd w:id="208"/>
    </w:p>
    <w:p w14:paraId="5CF00C33" w14:textId="74BC5EE4" w:rsidR="00222666" w:rsidRPr="0024327D" w:rsidRDefault="006F4D48" w:rsidP="00725E8B">
      <w:pPr>
        <w:rPr>
          <w:lang w:val="uk-UA"/>
        </w:rPr>
      </w:pPr>
      <w:r w:rsidRPr="0024327D">
        <w:rPr>
          <w:lang w:val="uk-UA"/>
        </w:rPr>
        <w:t xml:space="preserve">В рамках Ініціативи </w:t>
      </w:r>
      <w:r w:rsidR="00853F07" w:rsidRPr="0024327D">
        <w:rPr>
          <w:lang w:val="uk-UA"/>
        </w:rPr>
        <w:t>С</w:t>
      </w:r>
      <w:r w:rsidRPr="0024327D">
        <w:rPr>
          <w:lang w:val="uk-UA"/>
        </w:rPr>
        <w:t xml:space="preserve">оюзу ринків капіталу </w:t>
      </w:r>
      <w:r w:rsidR="00853F07" w:rsidRPr="0024327D">
        <w:rPr>
          <w:lang w:val="uk-UA"/>
        </w:rPr>
        <w:t>(CMU)</w:t>
      </w:r>
      <w:r w:rsidR="00193F87" w:rsidRPr="0024327D">
        <w:rPr>
          <w:lang w:val="uk-UA"/>
        </w:rPr>
        <w:t xml:space="preserve"> </w:t>
      </w:r>
      <w:r w:rsidRPr="0024327D">
        <w:rPr>
          <w:lang w:val="uk-UA"/>
        </w:rPr>
        <w:t xml:space="preserve">були розроблені директиви </w:t>
      </w:r>
      <w:r w:rsidR="00D11600" w:rsidRPr="0024327D">
        <w:rPr>
          <w:lang w:val="uk-UA"/>
        </w:rPr>
        <w:t xml:space="preserve">та регламенти </w:t>
      </w:r>
      <w:r w:rsidRPr="0024327D">
        <w:rPr>
          <w:lang w:val="uk-UA"/>
        </w:rPr>
        <w:t>щодо обох інструментів.</w:t>
      </w:r>
    </w:p>
    <w:p w14:paraId="074E597D" w14:textId="04CA39B3" w:rsidR="006F4D48" w:rsidRPr="0024327D" w:rsidRDefault="006F4D48" w:rsidP="00725E8B">
      <w:pPr>
        <w:rPr>
          <w:lang w:val="uk-UA"/>
        </w:rPr>
      </w:pPr>
      <w:r w:rsidRPr="0024327D">
        <w:rPr>
          <w:b/>
          <w:bCs/>
          <w:lang w:val="uk-UA"/>
        </w:rPr>
        <w:t>Сек'юритизація</w:t>
      </w:r>
      <w:r w:rsidRPr="0024327D">
        <w:rPr>
          <w:b/>
          <w:lang w:val="uk-UA"/>
        </w:rPr>
        <w:t xml:space="preserve"> </w:t>
      </w:r>
      <w:r w:rsidRPr="0024327D">
        <w:rPr>
          <w:b/>
          <w:lang w:val="uk-UA"/>
        </w:rPr>
        <w:br/>
      </w:r>
    </w:p>
    <w:p w14:paraId="63CBB9B2" w14:textId="4D127326" w:rsidR="006F4D48" w:rsidRPr="0024327D" w:rsidRDefault="006F4D48" w:rsidP="006F4D48">
      <w:pPr>
        <w:rPr>
          <w:lang w:val="uk-UA"/>
        </w:rPr>
      </w:pPr>
      <w:r w:rsidRPr="0024327D">
        <w:rPr>
          <w:lang w:val="uk-UA"/>
        </w:rPr>
        <w:t>Сек</w:t>
      </w:r>
      <w:r w:rsidRPr="0024327D">
        <w:rPr>
          <w:b/>
          <w:bCs/>
          <w:lang w:val="uk-UA"/>
        </w:rPr>
        <w:t>'</w:t>
      </w:r>
      <w:r w:rsidRPr="0024327D">
        <w:rPr>
          <w:lang w:val="uk-UA"/>
        </w:rPr>
        <w:t xml:space="preserve">юритизація </w:t>
      </w:r>
      <w:r w:rsidR="00193F87" w:rsidRPr="0024327D">
        <w:rPr>
          <w:lang w:val="uk-UA"/>
        </w:rPr>
        <w:t xml:space="preserve">регулюється </w:t>
      </w:r>
      <w:r w:rsidRPr="0024327D">
        <w:rPr>
          <w:lang w:val="uk-UA"/>
        </w:rPr>
        <w:t>Регламент</w:t>
      </w:r>
      <w:r w:rsidR="00193F87" w:rsidRPr="0024327D">
        <w:rPr>
          <w:lang w:val="uk-UA"/>
        </w:rPr>
        <w:t>ом</w:t>
      </w:r>
      <w:r w:rsidRPr="0024327D">
        <w:rPr>
          <w:lang w:val="uk-UA"/>
        </w:rPr>
        <w:t xml:space="preserve"> STS, який передбачає певний </w:t>
      </w:r>
      <w:r w:rsidR="00193F87" w:rsidRPr="0024327D">
        <w:rPr>
          <w:lang w:val="uk-UA"/>
        </w:rPr>
        <w:t xml:space="preserve">пільговий </w:t>
      </w:r>
      <w:r w:rsidRPr="0024327D">
        <w:rPr>
          <w:lang w:val="uk-UA"/>
        </w:rPr>
        <w:t xml:space="preserve">пруденційний режим для інвесторів в операціях з сек'юритизації, які відповідають високим стандартам якості. Незважаючи на те, що цей регламент зараз </w:t>
      </w:r>
      <w:r w:rsidR="00193F87" w:rsidRPr="0024327D">
        <w:rPr>
          <w:lang w:val="uk-UA"/>
        </w:rPr>
        <w:t xml:space="preserve">прийнято та він є частиною </w:t>
      </w:r>
      <w:r w:rsidRPr="0024327D">
        <w:rPr>
          <w:lang w:val="uk-UA"/>
        </w:rPr>
        <w:t xml:space="preserve">законодавства ЄС, </w:t>
      </w:r>
      <w:r w:rsidR="00B4132D" w:rsidRPr="0024327D">
        <w:rPr>
          <w:lang w:val="uk-UA"/>
        </w:rPr>
        <w:t xml:space="preserve">над </w:t>
      </w:r>
      <w:r w:rsidRPr="0024327D">
        <w:rPr>
          <w:lang w:val="uk-UA"/>
        </w:rPr>
        <w:t>деяк</w:t>
      </w:r>
      <w:r w:rsidR="00B4132D" w:rsidRPr="0024327D">
        <w:rPr>
          <w:lang w:val="uk-UA"/>
        </w:rPr>
        <w:t>ими</w:t>
      </w:r>
      <w:r w:rsidRPr="0024327D">
        <w:rPr>
          <w:lang w:val="uk-UA"/>
        </w:rPr>
        <w:t xml:space="preserve"> детал</w:t>
      </w:r>
      <w:r w:rsidR="00B4132D" w:rsidRPr="0024327D">
        <w:rPr>
          <w:lang w:val="uk-UA"/>
        </w:rPr>
        <w:t>ями</w:t>
      </w:r>
      <w:r w:rsidRPr="0024327D">
        <w:rPr>
          <w:lang w:val="uk-UA"/>
        </w:rPr>
        <w:t xml:space="preserve"> щодо </w:t>
      </w:r>
      <w:r w:rsidR="00B4132D" w:rsidRPr="0024327D">
        <w:rPr>
          <w:lang w:val="uk-UA"/>
        </w:rPr>
        <w:t xml:space="preserve">його імплементації на сьогодні ще продовжують працювати </w:t>
      </w:r>
      <w:r w:rsidRPr="0024327D">
        <w:rPr>
          <w:lang w:val="uk-UA"/>
        </w:rPr>
        <w:t xml:space="preserve">як </w:t>
      </w:r>
      <w:r w:rsidR="00655947" w:rsidRPr="0024327D">
        <w:rPr>
          <w:lang w:val="uk-UA"/>
        </w:rPr>
        <w:t>Європейська служба банківського нагляду (EBA)</w:t>
      </w:r>
      <w:r w:rsidR="00373F95" w:rsidRPr="0024327D">
        <w:rPr>
          <w:lang w:val="uk-UA"/>
        </w:rPr>
        <w:t>,</w:t>
      </w:r>
      <w:r w:rsidRPr="0024327D">
        <w:rPr>
          <w:lang w:val="uk-UA"/>
        </w:rPr>
        <w:t xml:space="preserve"> так і Європейськ</w:t>
      </w:r>
      <w:r w:rsidR="00B4132D" w:rsidRPr="0024327D">
        <w:rPr>
          <w:lang w:val="uk-UA"/>
        </w:rPr>
        <w:t>е</w:t>
      </w:r>
      <w:r w:rsidRPr="0024327D">
        <w:rPr>
          <w:lang w:val="uk-UA"/>
        </w:rPr>
        <w:t xml:space="preserve"> управління з цінних паперів та ринків</w:t>
      </w:r>
      <w:r w:rsidR="004240DA" w:rsidRPr="0024327D">
        <w:rPr>
          <w:lang w:val="uk-UA"/>
        </w:rPr>
        <w:t xml:space="preserve"> (ESMA)</w:t>
      </w:r>
      <w:r w:rsidRPr="0024327D">
        <w:rPr>
          <w:lang w:val="uk-UA"/>
        </w:rPr>
        <w:t>.</w:t>
      </w:r>
    </w:p>
    <w:p w14:paraId="199FBEBA" w14:textId="77777777" w:rsidR="006F4D48" w:rsidRPr="0024327D" w:rsidRDefault="006F4D48" w:rsidP="006F4D48">
      <w:pPr>
        <w:rPr>
          <w:lang w:val="uk-UA"/>
        </w:rPr>
      </w:pPr>
      <w:r w:rsidRPr="0024327D">
        <w:rPr>
          <w:lang w:val="uk-UA"/>
        </w:rPr>
        <w:t>Деякі з ключових моментів регламенту полягають у наступному:</w:t>
      </w:r>
    </w:p>
    <w:p w14:paraId="2064AFFA" w14:textId="56B69716" w:rsidR="006F4D48" w:rsidRPr="0024327D" w:rsidRDefault="006F4D48" w:rsidP="006F4D48">
      <w:pPr>
        <w:pStyle w:val="a4"/>
        <w:numPr>
          <w:ilvl w:val="0"/>
          <w:numId w:val="3"/>
        </w:numPr>
        <w:rPr>
          <w:lang w:val="uk-UA"/>
        </w:rPr>
      </w:pPr>
      <w:r w:rsidRPr="0024327D">
        <w:rPr>
          <w:lang w:val="uk-UA"/>
        </w:rPr>
        <w:t>Оригінатор повинен збер</w:t>
      </w:r>
      <w:r w:rsidR="005F7130" w:rsidRPr="0024327D">
        <w:rPr>
          <w:lang w:val="uk-UA"/>
        </w:rPr>
        <w:t>і</w:t>
      </w:r>
      <w:r w:rsidRPr="0024327D">
        <w:rPr>
          <w:lang w:val="uk-UA"/>
        </w:rPr>
        <w:t>г</w:t>
      </w:r>
      <w:r w:rsidR="005F7130" w:rsidRPr="0024327D">
        <w:rPr>
          <w:lang w:val="uk-UA"/>
        </w:rPr>
        <w:t>а</w:t>
      </w:r>
      <w:r w:rsidRPr="0024327D">
        <w:rPr>
          <w:lang w:val="uk-UA"/>
        </w:rPr>
        <w:t>ти певн</w:t>
      </w:r>
      <w:r w:rsidR="005F7130" w:rsidRPr="0024327D">
        <w:rPr>
          <w:lang w:val="uk-UA"/>
        </w:rPr>
        <w:t>ий</w:t>
      </w:r>
      <w:r w:rsidRPr="0024327D">
        <w:rPr>
          <w:lang w:val="uk-UA"/>
        </w:rPr>
        <w:t xml:space="preserve"> економічн</w:t>
      </w:r>
      <w:r w:rsidR="005F7130" w:rsidRPr="0024327D">
        <w:rPr>
          <w:lang w:val="uk-UA"/>
        </w:rPr>
        <w:t>ий ризик за активами, включеними до забезпечення</w:t>
      </w:r>
      <w:r w:rsidR="00373F95" w:rsidRPr="0024327D">
        <w:rPr>
          <w:lang w:val="uk-UA"/>
        </w:rPr>
        <w:t>,</w:t>
      </w:r>
      <w:r w:rsidRPr="0024327D">
        <w:rPr>
          <w:lang w:val="uk-UA"/>
        </w:rPr>
        <w:t xml:space="preserve"> що становить щонайменше 5% від загального ризику. Яким чином розраховується цей ризик, визначено у технічних стандартах</w:t>
      </w:r>
      <w:r w:rsidR="005D319C" w:rsidRPr="0024327D">
        <w:rPr>
          <w:lang w:val="uk-UA"/>
        </w:rPr>
        <w:t>.</w:t>
      </w:r>
      <w:r w:rsidRPr="0024327D">
        <w:rPr>
          <w:lang w:val="uk-UA"/>
        </w:rPr>
        <w:t xml:space="preserve"> </w:t>
      </w:r>
      <w:r w:rsidR="005D319C" w:rsidRPr="0024327D">
        <w:rPr>
          <w:lang w:val="uk-UA"/>
        </w:rPr>
        <w:t>П</w:t>
      </w:r>
      <w:r w:rsidRPr="0024327D">
        <w:rPr>
          <w:lang w:val="uk-UA"/>
        </w:rPr>
        <w:t>одібне правило в США допускає різні способи, за допомогою яких оригінатори можуть інтерпретувати значення 5%.</w:t>
      </w:r>
    </w:p>
    <w:p w14:paraId="51BFCB75" w14:textId="77777777" w:rsidR="006F4D48" w:rsidRPr="0024327D" w:rsidRDefault="006F4D48" w:rsidP="006F4D48">
      <w:pPr>
        <w:pStyle w:val="a4"/>
        <w:numPr>
          <w:ilvl w:val="0"/>
          <w:numId w:val="3"/>
        </w:numPr>
        <w:rPr>
          <w:lang w:val="uk-UA"/>
        </w:rPr>
      </w:pPr>
      <w:r w:rsidRPr="0024327D">
        <w:rPr>
          <w:lang w:val="uk-UA"/>
        </w:rPr>
        <w:t>Інвестори повинні провести аудит, щоб, серед іншого, забезпечити отримання достатньої інформації, зрозуміти структуру сек'юритизації та мати достатні механізми управління та контролю ризиків.</w:t>
      </w:r>
    </w:p>
    <w:p w14:paraId="45ED25D7" w14:textId="3D0BD619" w:rsidR="006F4D48" w:rsidRPr="0024327D" w:rsidRDefault="006F4D48" w:rsidP="006F4D48">
      <w:pPr>
        <w:pStyle w:val="a4"/>
        <w:numPr>
          <w:ilvl w:val="0"/>
          <w:numId w:val="3"/>
        </w:numPr>
        <w:rPr>
          <w:lang w:val="uk-UA"/>
        </w:rPr>
      </w:pPr>
      <w:r w:rsidRPr="0024327D">
        <w:rPr>
          <w:lang w:val="uk-UA"/>
        </w:rPr>
        <w:t xml:space="preserve">Повинен бути високий стандарт прозорості стосовно трансакційної документації, історичних показників </w:t>
      </w:r>
      <w:r w:rsidR="008F3C50" w:rsidRPr="0024327D">
        <w:rPr>
          <w:lang w:val="uk-UA"/>
        </w:rPr>
        <w:t xml:space="preserve">схожих </w:t>
      </w:r>
      <w:r w:rsidRPr="0024327D">
        <w:rPr>
          <w:lang w:val="uk-UA"/>
        </w:rPr>
        <w:t>активів та якості активів</w:t>
      </w:r>
      <w:r w:rsidR="008F3C50" w:rsidRPr="0024327D">
        <w:rPr>
          <w:lang w:val="uk-UA"/>
        </w:rPr>
        <w:t>, включених до складу забезпечення</w:t>
      </w:r>
      <w:r w:rsidRPr="0024327D">
        <w:rPr>
          <w:lang w:val="uk-UA"/>
        </w:rPr>
        <w:t xml:space="preserve">, що </w:t>
      </w:r>
      <w:r w:rsidR="00F34E7B" w:rsidRPr="0024327D">
        <w:rPr>
          <w:lang w:val="uk-UA"/>
        </w:rPr>
        <w:t xml:space="preserve">повинні розкриватися </w:t>
      </w:r>
      <w:r w:rsidRPr="0024327D">
        <w:rPr>
          <w:lang w:val="uk-UA"/>
        </w:rPr>
        <w:t xml:space="preserve">принаймні щоквартально. Повинен бути проведений незалежний аудит з високим ступенем довіри, і повинна бути доступна модель руху грошових потоків у рамках трансакції. </w:t>
      </w:r>
    </w:p>
    <w:p w14:paraId="35D176E2" w14:textId="23D5A208" w:rsidR="006F4D48" w:rsidRPr="0024327D" w:rsidRDefault="006F4D48" w:rsidP="006F4D48">
      <w:pPr>
        <w:rPr>
          <w:lang w:val="uk-UA"/>
        </w:rPr>
      </w:pPr>
      <w:r w:rsidRPr="0024327D">
        <w:rPr>
          <w:lang w:val="uk-UA"/>
        </w:rPr>
        <w:t xml:space="preserve">Певні національні мінімальні наглядові стандарти встановлені для того, щоб забезпечити відповідність сек'юритизації регламенту, врахування всіх ризиків, пов’язаних із сек’юритизацією для </w:t>
      </w:r>
      <w:r w:rsidR="00643B4F" w:rsidRPr="0024327D">
        <w:rPr>
          <w:lang w:val="uk-UA"/>
        </w:rPr>
        <w:t>е</w:t>
      </w:r>
      <w:r w:rsidRPr="0024327D">
        <w:rPr>
          <w:lang w:val="uk-UA"/>
        </w:rPr>
        <w:t xml:space="preserve">мітента, а також наявність достатніх правових засобів захисту у разі порушення. Слід зазначити, що це суттєво відрізняється від наглядових стандартів для </w:t>
      </w:r>
      <w:r w:rsidR="00645A85" w:rsidRPr="0024327D">
        <w:rPr>
          <w:lang w:val="uk-UA"/>
        </w:rPr>
        <w:t>облігацій з покриттям</w:t>
      </w:r>
      <w:r w:rsidRPr="0024327D">
        <w:rPr>
          <w:lang w:val="uk-UA"/>
        </w:rPr>
        <w:t xml:space="preserve">, зокрема в тій мірі, в якій стандарти нагляду для </w:t>
      </w:r>
      <w:r w:rsidR="00645A85" w:rsidRPr="0024327D">
        <w:rPr>
          <w:lang w:val="uk-UA"/>
        </w:rPr>
        <w:t>облігацій з покриттям</w:t>
      </w:r>
      <w:r w:rsidRPr="0024327D">
        <w:rPr>
          <w:lang w:val="uk-UA"/>
        </w:rPr>
        <w:t xml:space="preserve"> включають "обов'язок </w:t>
      </w:r>
      <w:r w:rsidR="005671F3" w:rsidRPr="0024327D">
        <w:rPr>
          <w:lang w:val="uk-UA"/>
        </w:rPr>
        <w:t xml:space="preserve">діяти в </w:t>
      </w:r>
      <w:r w:rsidRPr="0024327D">
        <w:rPr>
          <w:lang w:val="uk-UA"/>
        </w:rPr>
        <w:t>інтерес</w:t>
      </w:r>
      <w:r w:rsidR="005671F3" w:rsidRPr="0024327D">
        <w:rPr>
          <w:lang w:val="uk-UA"/>
        </w:rPr>
        <w:t>ах</w:t>
      </w:r>
      <w:r w:rsidRPr="0024327D">
        <w:rPr>
          <w:lang w:val="uk-UA"/>
        </w:rPr>
        <w:t>" інвесторів відповідно до статті 52 (4) Директиви UCITS.</w:t>
      </w:r>
    </w:p>
    <w:p w14:paraId="3FCA8468" w14:textId="77777777" w:rsidR="006F4D48" w:rsidRPr="0024327D" w:rsidRDefault="006F4D48" w:rsidP="006F4D48">
      <w:pPr>
        <w:rPr>
          <w:lang w:val="uk-UA"/>
        </w:rPr>
      </w:pPr>
    </w:p>
    <w:p w14:paraId="57466E7C" w14:textId="17569D5A" w:rsidR="006F4D48" w:rsidRPr="0024327D" w:rsidRDefault="00FB118B" w:rsidP="006F4D48">
      <w:pPr>
        <w:rPr>
          <w:b/>
          <w:lang w:val="uk-UA"/>
        </w:rPr>
      </w:pPr>
      <w:r w:rsidRPr="0024327D">
        <w:rPr>
          <w:b/>
          <w:lang w:val="uk-UA"/>
        </w:rPr>
        <w:t>Облігації з покриттям</w:t>
      </w:r>
    </w:p>
    <w:p w14:paraId="440969AE" w14:textId="70DF4994" w:rsidR="006F4D48" w:rsidRPr="0024327D" w:rsidRDefault="006F4D48" w:rsidP="006F4D48">
      <w:pPr>
        <w:rPr>
          <w:lang w:val="uk-UA"/>
        </w:rPr>
      </w:pPr>
      <w:r w:rsidRPr="0024327D">
        <w:rPr>
          <w:lang w:val="uk-UA"/>
        </w:rPr>
        <w:t xml:space="preserve">Законодавство Європейського Союзу регламентує </w:t>
      </w:r>
      <w:r w:rsidR="00FB118B" w:rsidRPr="0024327D">
        <w:rPr>
          <w:lang w:val="uk-UA"/>
        </w:rPr>
        <w:t>облігації з покриттям</w:t>
      </w:r>
      <w:r w:rsidRPr="0024327D">
        <w:rPr>
          <w:lang w:val="uk-UA"/>
        </w:rPr>
        <w:t xml:space="preserve"> двома основними способами.</w:t>
      </w:r>
    </w:p>
    <w:p w14:paraId="382821DC" w14:textId="3D3CCC40" w:rsidR="006F4D48" w:rsidRPr="0024327D" w:rsidRDefault="006F4D48" w:rsidP="001A3C33">
      <w:pPr>
        <w:spacing w:before="112"/>
        <w:rPr>
          <w:lang w:val="uk-UA"/>
        </w:rPr>
      </w:pPr>
      <w:r w:rsidRPr="0024327D">
        <w:rPr>
          <w:lang w:val="uk-UA"/>
        </w:rPr>
        <w:t xml:space="preserve">По-перше, воно передбачає певні винятки, що полегшують структурування </w:t>
      </w:r>
      <w:r w:rsidR="00645A85" w:rsidRPr="0024327D">
        <w:rPr>
          <w:lang w:val="uk-UA"/>
        </w:rPr>
        <w:t>облігацій з покриттям</w:t>
      </w:r>
      <w:r w:rsidRPr="0024327D">
        <w:rPr>
          <w:lang w:val="uk-UA"/>
        </w:rPr>
        <w:t xml:space="preserve">, а саме: звільнення від конвертації боргу у власний капітал згідно з директивою про санацію та ліквідацію банків та звільнення від зобов'язань щодо клірингу </w:t>
      </w:r>
      <w:r w:rsidR="00D728FF" w:rsidRPr="0024327D">
        <w:rPr>
          <w:lang w:val="uk-UA"/>
        </w:rPr>
        <w:t xml:space="preserve">за </w:t>
      </w:r>
      <w:r w:rsidRPr="0024327D">
        <w:rPr>
          <w:lang w:val="uk-UA"/>
        </w:rPr>
        <w:t>пов'язани</w:t>
      </w:r>
      <w:r w:rsidR="00D728FF" w:rsidRPr="0024327D">
        <w:rPr>
          <w:lang w:val="uk-UA"/>
        </w:rPr>
        <w:t>ми</w:t>
      </w:r>
      <w:r w:rsidRPr="0024327D">
        <w:rPr>
          <w:lang w:val="uk-UA"/>
        </w:rPr>
        <w:t xml:space="preserve"> операці</w:t>
      </w:r>
      <w:r w:rsidR="00D728FF" w:rsidRPr="0024327D">
        <w:rPr>
          <w:lang w:val="uk-UA"/>
        </w:rPr>
        <w:t>ями</w:t>
      </w:r>
      <w:r w:rsidRPr="0024327D">
        <w:rPr>
          <w:lang w:val="uk-UA"/>
        </w:rPr>
        <w:t xml:space="preserve"> з </w:t>
      </w:r>
      <w:r w:rsidR="001846F5" w:rsidRPr="0024327D">
        <w:rPr>
          <w:rFonts w:eastAsia="Times New Roman"/>
          <w:lang w:val="uk-UA"/>
        </w:rPr>
        <w:t>деривативними фінансовими інструментами</w:t>
      </w:r>
      <w:r w:rsidR="001846F5" w:rsidRPr="0024327D">
        <w:rPr>
          <w:lang w:val="uk-UA"/>
        </w:rPr>
        <w:t xml:space="preserve"> </w:t>
      </w:r>
      <w:r w:rsidRPr="0024327D">
        <w:rPr>
          <w:lang w:val="uk-UA"/>
        </w:rPr>
        <w:t xml:space="preserve">згідно з </w:t>
      </w:r>
      <w:r w:rsidR="00DF42AA" w:rsidRPr="0024327D">
        <w:rPr>
          <w:lang w:val="uk-UA"/>
        </w:rPr>
        <w:t xml:space="preserve">Регламентом ЄС </w:t>
      </w:r>
      <w:r w:rsidR="009329C0" w:rsidRPr="0024327D">
        <w:rPr>
          <w:lang w:val="uk-UA"/>
        </w:rPr>
        <w:t xml:space="preserve">про ринок позабіржових деривативів, центральних контрагентів і торгових репозиторіїв </w:t>
      </w:r>
      <w:r w:rsidR="009329C0" w:rsidRPr="0024327D" w:rsidDel="009329C0">
        <w:rPr>
          <w:lang w:val="uk-UA"/>
        </w:rPr>
        <w:t xml:space="preserve"> </w:t>
      </w:r>
      <w:r w:rsidR="007970DF" w:rsidRPr="0024327D">
        <w:rPr>
          <w:lang w:val="uk-UA"/>
        </w:rPr>
        <w:t>(</w:t>
      </w:r>
      <w:r w:rsidRPr="0024327D">
        <w:rPr>
          <w:lang w:val="uk-UA"/>
        </w:rPr>
        <w:t>EMIR</w:t>
      </w:r>
      <w:r w:rsidR="007970DF" w:rsidRPr="0024327D">
        <w:rPr>
          <w:lang w:val="uk-UA"/>
        </w:rPr>
        <w:t>)</w:t>
      </w:r>
      <w:r w:rsidRPr="0024327D">
        <w:rPr>
          <w:lang w:val="uk-UA"/>
        </w:rPr>
        <w:t>.</w:t>
      </w:r>
    </w:p>
    <w:p w14:paraId="76A7D31B" w14:textId="70C335BC" w:rsidR="006F4D48" w:rsidRPr="0024327D" w:rsidRDefault="006F4D48" w:rsidP="006F4D48">
      <w:pPr>
        <w:rPr>
          <w:lang w:val="uk-UA"/>
        </w:rPr>
      </w:pPr>
      <w:r w:rsidRPr="0024327D">
        <w:rPr>
          <w:lang w:val="uk-UA"/>
        </w:rPr>
        <w:t xml:space="preserve">По-друге, Директива про </w:t>
      </w:r>
      <w:r w:rsidR="00FB118B" w:rsidRPr="0024327D">
        <w:rPr>
          <w:lang w:val="uk-UA"/>
        </w:rPr>
        <w:t>облігації з покриттям</w:t>
      </w:r>
      <w:r w:rsidRPr="0024327D">
        <w:rPr>
          <w:lang w:val="uk-UA"/>
        </w:rPr>
        <w:t xml:space="preserve"> та нормативні акти (які, зокрема, вносять зміни до директиви про вимоги до капіталу), визначають </w:t>
      </w:r>
      <w:r w:rsidR="00B35CDA" w:rsidRPr="0024327D">
        <w:rPr>
          <w:lang w:val="uk-UA"/>
        </w:rPr>
        <w:t xml:space="preserve">режим </w:t>
      </w:r>
      <w:r w:rsidR="00645A85" w:rsidRPr="0024327D">
        <w:rPr>
          <w:lang w:val="uk-UA"/>
        </w:rPr>
        <w:t>облігацій з покриттям</w:t>
      </w:r>
      <w:r w:rsidRPr="0024327D">
        <w:rPr>
          <w:lang w:val="uk-UA"/>
        </w:rPr>
        <w:t xml:space="preserve"> </w:t>
      </w:r>
      <w:r w:rsidR="00B35CDA" w:rsidRPr="0024327D">
        <w:rPr>
          <w:lang w:val="uk-UA"/>
        </w:rPr>
        <w:t xml:space="preserve">для </w:t>
      </w:r>
      <w:r w:rsidRPr="0024327D">
        <w:rPr>
          <w:lang w:val="uk-UA"/>
        </w:rPr>
        <w:t>певних класів інвесторів, включаючи, їх регулювання відповідно до меж концентрації для компаній з управління активами, знос основних фондів для страховиків та знос основних фондів та категоризація ліквідності для цілей ліквідності для банківських інвесторів.</w:t>
      </w:r>
    </w:p>
    <w:p w14:paraId="1F5A9903" w14:textId="0BF15753" w:rsidR="006F4D48" w:rsidRPr="0024327D" w:rsidRDefault="006F4D48" w:rsidP="006F4D48">
      <w:pPr>
        <w:rPr>
          <w:lang w:val="uk-UA"/>
        </w:rPr>
      </w:pPr>
      <w:r w:rsidRPr="0024327D">
        <w:rPr>
          <w:lang w:val="uk-UA"/>
        </w:rPr>
        <w:lastRenderedPageBreak/>
        <w:t xml:space="preserve">Директива встановлює певні мінімальні стандарти щодо </w:t>
      </w:r>
      <w:r w:rsidR="00645A85" w:rsidRPr="0024327D">
        <w:rPr>
          <w:lang w:val="uk-UA"/>
        </w:rPr>
        <w:t>облігацій з покриттям</w:t>
      </w:r>
      <w:r w:rsidRPr="0024327D">
        <w:rPr>
          <w:lang w:val="uk-UA"/>
        </w:rPr>
        <w:t>, щоб отримати право на пільговий пруденційний режим. Зокрема, в</w:t>
      </w:r>
      <w:r w:rsidR="00622A26" w:rsidRPr="0024327D">
        <w:rPr>
          <w:lang w:val="uk-UA"/>
        </w:rPr>
        <w:t>она</w:t>
      </w:r>
      <w:r w:rsidRPr="0024327D">
        <w:rPr>
          <w:lang w:val="uk-UA"/>
        </w:rPr>
        <w:t xml:space="preserve"> визначає: </w:t>
      </w:r>
    </w:p>
    <w:p w14:paraId="71ACD8A3" w14:textId="720500A5" w:rsidR="006F4D48" w:rsidRPr="0024327D" w:rsidRDefault="006F4D48" w:rsidP="006F4D48">
      <w:pPr>
        <w:pStyle w:val="a4"/>
        <w:numPr>
          <w:ilvl w:val="0"/>
          <w:numId w:val="3"/>
        </w:numPr>
        <w:rPr>
          <w:lang w:val="uk-UA"/>
        </w:rPr>
      </w:pPr>
      <w:r w:rsidRPr="0024327D">
        <w:rPr>
          <w:lang w:val="uk-UA"/>
        </w:rPr>
        <w:t xml:space="preserve">Необхідні структурні особливості </w:t>
      </w:r>
      <w:r w:rsidR="00645A85" w:rsidRPr="0024327D">
        <w:rPr>
          <w:lang w:val="uk-UA"/>
        </w:rPr>
        <w:t>облігацій з покриттям</w:t>
      </w:r>
      <w:r w:rsidRPr="0024327D">
        <w:rPr>
          <w:lang w:val="uk-UA"/>
        </w:rPr>
        <w:t xml:space="preserve"> (такі як вимоги щодо подвійного регресу, захист від банкрутства), прийнятні активи для забезпечення облігацій (включаючи </w:t>
      </w:r>
      <w:r w:rsidR="001846F5" w:rsidRPr="0024327D">
        <w:rPr>
          <w:rFonts w:eastAsia="Times New Roman"/>
          <w:lang w:val="uk-UA"/>
        </w:rPr>
        <w:t>деривативні фінансові інструменти</w:t>
      </w:r>
      <w:r w:rsidR="001846F5" w:rsidRPr="0024327D">
        <w:rPr>
          <w:lang w:val="uk-UA"/>
        </w:rPr>
        <w:t xml:space="preserve"> </w:t>
      </w:r>
      <w:r w:rsidRPr="0024327D">
        <w:rPr>
          <w:lang w:val="uk-UA"/>
        </w:rPr>
        <w:t>та активи</w:t>
      </w:r>
      <w:r w:rsidR="002740F8" w:rsidRPr="0024327D">
        <w:rPr>
          <w:lang w:val="uk-UA"/>
        </w:rPr>
        <w:t>-замінники</w:t>
      </w:r>
      <w:r w:rsidRPr="0024327D">
        <w:rPr>
          <w:lang w:val="uk-UA"/>
        </w:rPr>
        <w:t xml:space="preserve">), правила, що регулюють дії основних сторін трансакції, такі як </w:t>
      </w:r>
      <w:r w:rsidR="002740F8" w:rsidRPr="0024327D">
        <w:rPr>
          <w:lang w:val="uk-UA"/>
        </w:rPr>
        <w:t xml:space="preserve">Контролер </w:t>
      </w:r>
      <w:r w:rsidRPr="0024327D">
        <w:rPr>
          <w:lang w:val="uk-UA"/>
        </w:rPr>
        <w:t xml:space="preserve">за пулом </w:t>
      </w:r>
      <w:r w:rsidR="00C93CE0" w:rsidRPr="0024327D">
        <w:rPr>
          <w:lang w:val="uk-UA"/>
        </w:rPr>
        <w:t>покриття</w:t>
      </w:r>
      <w:r w:rsidRPr="0024327D">
        <w:rPr>
          <w:lang w:val="uk-UA"/>
        </w:rPr>
        <w:t xml:space="preserve">, вимоги щодо </w:t>
      </w:r>
      <w:r w:rsidR="002740F8" w:rsidRPr="0024327D">
        <w:rPr>
          <w:lang w:val="uk-UA"/>
        </w:rPr>
        <w:t xml:space="preserve">надлишкового забезпечення </w:t>
      </w:r>
      <w:r w:rsidRPr="0024327D">
        <w:rPr>
          <w:lang w:val="uk-UA"/>
        </w:rPr>
        <w:t>та ліквідності.</w:t>
      </w:r>
    </w:p>
    <w:p w14:paraId="0EFFC92C" w14:textId="484A2F72" w:rsidR="006F4D48" w:rsidRPr="0024327D" w:rsidRDefault="006F4D48" w:rsidP="006F4D48">
      <w:pPr>
        <w:pStyle w:val="a4"/>
        <w:numPr>
          <w:ilvl w:val="0"/>
          <w:numId w:val="3"/>
        </w:numPr>
        <w:rPr>
          <w:lang w:val="uk-UA"/>
        </w:rPr>
      </w:pPr>
      <w:r w:rsidRPr="0024327D">
        <w:rPr>
          <w:lang w:val="uk-UA"/>
        </w:rPr>
        <w:t xml:space="preserve">Властивості, необхідні для режиму нагляду за </w:t>
      </w:r>
      <w:r w:rsidR="00645A85" w:rsidRPr="0024327D">
        <w:rPr>
          <w:lang w:val="uk-UA"/>
        </w:rPr>
        <w:t>облігаціями з покриттям</w:t>
      </w:r>
      <w:r w:rsidRPr="0024327D">
        <w:rPr>
          <w:lang w:val="uk-UA"/>
        </w:rPr>
        <w:t xml:space="preserve">, включаючи ліцензування </w:t>
      </w:r>
      <w:r w:rsidR="00643B4F" w:rsidRPr="0024327D">
        <w:rPr>
          <w:lang w:val="uk-UA"/>
        </w:rPr>
        <w:t>е</w:t>
      </w:r>
      <w:r w:rsidRPr="0024327D">
        <w:rPr>
          <w:lang w:val="uk-UA"/>
        </w:rPr>
        <w:t xml:space="preserve">мітентів та </w:t>
      </w:r>
      <w:r w:rsidR="00F46606" w:rsidRPr="0024327D">
        <w:rPr>
          <w:lang w:val="uk-UA"/>
        </w:rPr>
        <w:t xml:space="preserve">режим </w:t>
      </w:r>
      <w:r w:rsidRPr="0024327D">
        <w:rPr>
          <w:lang w:val="uk-UA"/>
        </w:rPr>
        <w:t xml:space="preserve">облігацій у процесі </w:t>
      </w:r>
      <w:r w:rsidR="00233A73" w:rsidRPr="0024327D">
        <w:rPr>
          <w:lang w:val="uk-UA"/>
        </w:rPr>
        <w:t>неплатоспроможності</w:t>
      </w:r>
      <w:r w:rsidR="00373F95" w:rsidRPr="0024327D">
        <w:rPr>
          <w:lang w:val="uk-UA"/>
        </w:rPr>
        <w:t xml:space="preserve"> </w:t>
      </w:r>
      <w:r w:rsidRPr="0024327D">
        <w:rPr>
          <w:lang w:val="uk-UA"/>
        </w:rPr>
        <w:t>або ліквідації.</w:t>
      </w:r>
    </w:p>
    <w:p w14:paraId="687ED5E4" w14:textId="7BBFDFAA" w:rsidR="00BA613A" w:rsidRPr="0024327D" w:rsidRDefault="006F4D48" w:rsidP="006F4D48">
      <w:pPr>
        <w:pStyle w:val="a4"/>
        <w:numPr>
          <w:ilvl w:val="0"/>
          <w:numId w:val="3"/>
        </w:numPr>
        <w:rPr>
          <w:lang w:val="uk-UA"/>
        </w:rPr>
      </w:pPr>
      <w:r w:rsidRPr="0024327D">
        <w:rPr>
          <w:lang w:val="uk-UA"/>
        </w:rPr>
        <w:t xml:space="preserve">Заходи захисту якості та мінімальні критерії для отримання </w:t>
      </w:r>
      <w:r w:rsidR="00D463EE" w:rsidRPr="0024327D">
        <w:rPr>
          <w:lang w:val="uk-UA"/>
        </w:rPr>
        <w:t xml:space="preserve">права на </w:t>
      </w:r>
      <w:r w:rsidRPr="0024327D">
        <w:rPr>
          <w:lang w:val="uk-UA"/>
        </w:rPr>
        <w:t>преференційн</w:t>
      </w:r>
      <w:r w:rsidR="00D463EE" w:rsidRPr="0024327D">
        <w:rPr>
          <w:lang w:val="uk-UA"/>
        </w:rPr>
        <w:t>ий режим</w:t>
      </w:r>
      <w:r w:rsidRPr="0024327D">
        <w:rPr>
          <w:lang w:val="uk-UA"/>
        </w:rPr>
        <w:t xml:space="preserve"> оцінки ризиків </w:t>
      </w:r>
      <w:r w:rsidR="00D463EE" w:rsidRPr="0024327D">
        <w:rPr>
          <w:lang w:val="uk-UA"/>
        </w:rPr>
        <w:t xml:space="preserve">за облігаціями </w:t>
      </w:r>
      <w:r w:rsidRPr="0024327D">
        <w:rPr>
          <w:lang w:val="uk-UA"/>
        </w:rPr>
        <w:t>банківськими інвесторами</w:t>
      </w:r>
      <w:r w:rsidR="00BA613A" w:rsidRPr="0024327D">
        <w:rPr>
          <w:lang w:val="uk-UA"/>
        </w:rPr>
        <w:t>.</w:t>
      </w:r>
      <w:r w:rsidR="00602946" w:rsidRPr="0024327D">
        <w:rPr>
          <w:lang w:val="uk-UA"/>
        </w:rPr>
        <w:t xml:space="preserve"> </w:t>
      </w:r>
    </w:p>
    <w:p w14:paraId="64E088BB" w14:textId="77777777" w:rsidR="00BA613A" w:rsidRPr="0024327D" w:rsidRDefault="00BA613A" w:rsidP="00501D25">
      <w:pPr>
        <w:rPr>
          <w:lang w:val="uk-UA"/>
        </w:rPr>
      </w:pPr>
      <w:r w:rsidRPr="0024327D">
        <w:rPr>
          <w:lang w:val="uk-UA"/>
        </w:rPr>
        <w:t xml:space="preserve"> </w:t>
      </w:r>
    </w:p>
    <w:p w14:paraId="34108E82" w14:textId="4CD07F2D" w:rsidR="00C23F1F" w:rsidRPr="0024327D" w:rsidRDefault="00C23F1F" w:rsidP="00C23F1F">
      <w:pPr>
        <w:keepNext/>
        <w:keepLines/>
        <w:pageBreakBefore/>
        <w:spacing w:before="360" w:after="240" w:line="240" w:lineRule="auto"/>
        <w:outlineLvl w:val="0"/>
        <w:rPr>
          <w:rFonts w:eastAsiaTheme="majorEastAsia" w:cstheme="majorBidi"/>
          <w:color w:val="1F4E79" w:themeColor="accent1" w:themeShade="80"/>
          <w:sz w:val="36"/>
          <w:szCs w:val="32"/>
          <w:lang w:val="uk-UA"/>
        </w:rPr>
      </w:pPr>
      <w:bookmarkStart w:id="209" w:name="_Toc6942274"/>
      <w:bookmarkStart w:id="210" w:name="_Toc5081064"/>
      <w:bookmarkStart w:id="211" w:name="_Toc27153484"/>
      <w:bookmarkStart w:id="212" w:name="_Toc32498767"/>
      <w:bookmarkStart w:id="213" w:name="_Toc95481033"/>
      <w:bookmarkStart w:id="214" w:name="_Toc513553417"/>
      <w:r w:rsidRPr="0024327D">
        <w:rPr>
          <w:rFonts w:eastAsiaTheme="majorEastAsia" w:cstheme="majorBidi"/>
          <w:color w:val="1F4E79" w:themeColor="accent1" w:themeShade="80"/>
          <w:sz w:val="36"/>
          <w:szCs w:val="32"/>
          <w:lang w:val="uk-UA"/>
        </w:rPr>
        <w:lastRenderedPageBreak/>
        <w:t xml:space="preserve">Додаток 4: </w:t>
      </w:r>
      <w:bookmarkEnd w:id="209"/>
      <w:bookmarkEnd w:id="210"/>
      <w:bookmarkEnd w:id="211"/>
      <w:bookmarkEnd w:id="212"/>
      <w:r w:rsidRPr="0024327D">
        <w:rPr>
          <w:rFonts w:eastAsiaTheme="majorEastAsia" w:cstheme="majorBidi"/>
          <w:color w:val="1F4E79" w:themeColor="accent1" w:themeShade="80"/>
          <w:sz w:val="36"/>
          <w:szCs w:val="32"/>
          <w:lang w:val="uk-UA"/>
        </w:rPr>
        <w:t xml:space="preserve">Альтернативні структури </w:t>
      </w:r>
      <w:r w:rsidR="00645A85" w:rsidRPr="0024327D">
        <w:rPr>
          <w:rFonts w:eastAsiaTheme="majorEastAsia" w:cstheme="majorBidi"/>
          <w:color w:val="1F4E79" w:themeColor="accent1" w:themeShade="80"/>
          <w:sz w:val="36"/>
          <w:szCs w:val="32"/>
          <w:lang w:val="uk-UA"/>
        </w:rPr>
        <w:t>облігацій з покриттям</w:t>
      </w:r>
      <w:bookmarkEnd w:id="213"/>
      <w:r w:rsidRPr="0024327D">
        <w:rPr>
          <w:rFonts w:eastAsiaTheme="majorEastAsia" w:cstheme="majorBidi"/>
          <w:color w:val="1F4E79" w:themeColor="accent1" w:themeShade="80"/>
          <w:sz w:val="36"/>
          <w:szCs w:val="32"/>
          <w:lang w:val="uk-UA"/>
        </w:rPr>
        <w:t xml:space="preserve"> </w:t>
      </w:r>
    </w:p>
    <w:p w14:paraId="7A37DD93" w14:textId="75ABCF90" w:rsidR="00C23F1F" w:rsidRPr="0024327D" w:rsidRDefault="00C23F1F" w:rsidP="00C23F1F">
      <w:pPr>
        <w:rPr>
          <w:lang w:val="uk-UA"/>
        </w:rPr>
      </w:pPr>
      <w:r w:rsidRPr="0024327D">
        <w:rPr>
          <w:lang w:val="uk-UA"/>
        </w:rPr>
        <w:t xml:space="preserve">Зазвичай </w:t>
      </w:r>
      <w:r w:rsidR="00FB118B" w:rsidRPr="0024327D">
        <w:rPr>
          <w:lang w:val="uk-UA"/>
        </w:rPr>
        <w:t>облігації з покриттям</w:t>
      </w:r>
      <w:r w:rsidRPr="0024327D">
        <w:rPr>
          <w:lang w:val="uk-UA"/>
        </w:rPr>
        <w:t xml:space="preserve"> структуруються одним із чотирьох способів. Всі ці варіанти широко використовуються, приймаються інвесторами, сумісні із законодавством ЄС та </w:t>
      </w:r>
      <w:r w:rsidRPr="0024327D">
        <w:rPr>
          <w:rFonts w:cstheme="minorHAnsi"/>
          <w:lang w:val="uk-UA"/>
        </w:rPr>
        <w:t xml:space="preserve">рекомендаціями </w:t>
      </w:r>
      <w:r w:rsidR="005B01FE" w:rsidRPr="0024327D">
        <w:rPr>
          <w:rFonts w:cstheme="minorHAnsi"/>
          <w:lang w:val="uk-UA"/>
        </w:rPr>
        <w:t>Європейської служби банківського нагляду (EBA</w:t>
      </w:r>
      <w:r w:rsidR="008A3693" w:rsidRPr="0024327D">
        <w:rPr>
          <w:rFonts w:cstheme="minorHAnsi"/>
          <w:lang w:val="uk-UA"/>
        </w:rPr>
        <w:t>)</w:t>
      </w:r>
      <w:r w:rsidRPr="0024327D">
        <w:rPr>
          <w:rFonts w:cstheme="minorHAnsi"/>
          <w:lang w:val="uk-UA"/>
        </w:rPr>
        <w:t xml:space="preserve"> та забезпечують подібний</w:t>
      </w:r>
      <w:r w:rsidRPr="0024327D">
        <w:rPr>
          <w:lang w:val="uk-UA"/>
        </w:rPr>
        <w:t xml:space="preserve"> ступінь кредитного захисту для інвесторів. Вибір, який варіант застосувати, як правило, ґрунтується на практичних юридичних та комерційних міркуваннях у будь-якій конкретній юрисдикції.</w:t>
      </w:r>
    </w:p>
    <w:p w14:paraId="4C3C5420" w14:textId="77777777" w:rsidR="00C23F1F" w:rsidRPr="0024327D" w:rsidRDefault="00C23F1F" w:rsidP="00C23F1F">
      <w:pPr>
        <w:rPr>
          <w:lang w:val="uk-UA"/>
        </w:rPr>
      </w:pPr>
      <w:r w:rsidRPr="0024327D">
        <w:rPr>
          <w:lang w:val="uk-UA"/>
        </w:rPr>
        <w:t xml:space="preserve">Дві з цих моделей навряд чи будуть актуальними в Україні. </w:t>
      </w:r>
    </w:p>
    <w:p w14:paraId="4174360D" w14:textId="00988FD0" w:rsidR="00C23F1F" w:rsidRPr="0024327D" w:rsidRDefault="00C23F1F" w:rsidP="008E3E69">
      <w:pPr>
        <w:numPr>
          <w:ilvl w:val="0"/>
          <w:numId w:val="2"/>
        </w:numPr>
        <w:contextualSpacing/>
        <w:rPr>
          <w:lang w:val="uk-UA"/>
        </w:rPr>
      </w:pPr>
      <w:r w:rsidRPr="0024327D">
        <w:rPr>
          <w:lang w:val="uk-UA"/>
        </w:rPr>
        <w:t xml:space="preserve">Використання </w:t>
      </w:r>
      <w:r w:rsidR="003F200E" w:rsidRPr="0024327D">
        <w:rPr>
          <w:lang w:val="uk-UA"/>
        </w:rPr>
        <w:t>с</w:t>
      </w:r>
      <w:r w:rsidRPr="0024327D">
        <w:rPr>
          <w:lang w:val="uk-UA"/>
        </w:rPr>
        <w:t xml:space="preserve">пеціальних банків, які обмежуються виключно </w:t>
      </w:r>
      <w:r w:rsidR="00DF76B5" w:rsidRPr="0024327D">
        <w:rPr>
          <w:lang w:val="uk-UA"/>
        </w:rPr>
        <w:t xml:space="preserve">створенням </w:t>
      </w:r>
      <w:r w:rsidRPr="0024327D">
        <w:rPr>
          <w:lang w:val="uk-UA"/>
        </w:rPr>
        <w:t xml:space="preserve">прийнятних активів та їх </w:t>
      </w:r>
      <w:r w:rsidR="001517E0" w:rsidRPr="0024327D">
        <w:rPr>
          <w:lang w:val="uk-UA"/>
        </w:rPr>
        <w:t>ре</w:t>
      </w:r>
      <w:r w:rsidRPr="0024327D">
        <w:rPr>
          <w:lang w:val="uk-UA"/>
        </w:rPr>
        <w:t xml:space="preserve">фінансуванням на ринку </w:t>
      </w:r>
      <w:r w:rsidR="00645A85" w:rsidRPr="0024327D">
        <w:rPr>
          <w:lang w:val="uk-UA"/>
        </w:rPr>
        <w:t>облігацій з покриттям</w:t>
      </w:r>
      <w:r w:rsidRPr="0024327D">
        <w:rPr>
          <w:lang w:val="uk-UA"/>
        </w:rPr>
        <w:t>, несумісне з поточною комерційною структурою банківської галузі, а ї</w:t>
      </w:r>
      <w:r w:rsidR="001517E0" w:rsidRPr="0024327D">
        <w:rPr>
          <w:lang w:val="uk-UA"/>
        </w:rPr>
        <w:t>х</w:t>
      </w:r>
      <w:r w:rsidRPr="0024327D">
        <w:rPr>
          <w:lang w:val="uk-UA"/>
        </w:rPr>
        <w:t xml:space="preserve"> створення вимагатиме значних витрат на розвиток. </w:t>
      </w:r>
    </w:p>
    <w:p w14:paraId="224A762D" w14:textId="467D77F9" w:rsidR="00C23F1F" w:rsidRPr="0024327D" w:rsidRDefault="00C23F1F" w:rsidP="008E3E69">
      <w:pPr>
        <w:numPr>
          <w:ilvl w:val="0"/>
          <w:numId w:val="2"/>
        </w:numPr>
        <w:contextualSpacing/>
        <w:rPr>
          <w:lang w:val="uk-UA"/>
        </w:rPr>
      </w:pPr>
      <w:r w:rsidRPr="0024327D">
        <w:rPr>
          <w:lang w:val="uk-UA"/>
        </w:rPr>
        <w:t xml:space="preserve">Використання агентства з питань іпотечного кредитування для випуску </w:t>
      </w:r>
      <w:r w:rsidR="00645A85" w:rsidRPr="0024327D">
        <w:rPr>
          <w:lang w:val="uk-UA"/>
        </w:rPr>
        <w:t>облігацій з покриттям</w:t>
      </w:r>
      <w:r w:rsidRPr="0024327D">
        <w:rPr>
          <w:lang w:val="uk-UA"/>
        </w:rPr>
        <w:t xml:space="preserve"> - це рідкісна структура в Європі. Незважаючи на те, що воно може генерувати високоякісне фінансування, його складність і покладання на однорідні пули прийнятних активів від кількох оригінаторів знову</w:t>
      </w:r>
      <w:r w:rsidR="00D83B2A" w:rsidRPr="0024327D">
        <w:rPr>
          <w:lang w:val="uk-UA"/>
        </w:rPr>
        <w:t xml:space="preserve"> ж таки </w:t>
      </w:r>
      <w:r w:rsidR="001223A9" w:rsidRPr="0024327D">
        <w:rPr>
          <w:lang w:val="uk-UA"/>
        </w:rPr>
        <w:t>здається</w:t>
      </w:r>
      <w:r w:rsidR="00D83B2A" w:rsidRPr="0024327D">
        <w:rPr>
          <w:lang w:val="uk-UA"/>
        </w:rPr>
        <w:t xml:space="preserve"> </w:t>
      </w:r>
      <w:r w:rsidRPr="0024327D">
        <w:rPr>
          <w:lang w:val="uk-UA"/>
        </w:rPr>
        <w:t xml:space="preserve">несумісним із існуючою комерційною практикою. </w:t>
      </w:r>
    </w:p>
    <w:p w14:paraId="1DA473F1" w14:textId="4453BE44" w:rsidR="00C23F1F" w:rsidRPr="0024327D" w:rsidRDefault="00C23F1F" w:rsidP="00C23F1F">
      <w:pPr>
        <w:rPr>
          <w:lang w:val="uk-UA"/>
        </w:rPr>
      </w:pPr>
      <w:r w:rsidRPr="0024327D">
        <w:rPr>
          <w:lang w:val="uk-UA"/>
        </w:rPr>
        <w:t xml:space="preserve">Тому були розглянуті дві можливі моделі, </w:t>
      </w:r>
      <w:r w:rsidR="00465D35" w:rsidRPr="0024327D">
        <w:rPr>
          <w:lang w:val="uk-UA"/>
        </w:rPr>
        <w:t>“</w:t>
      </w:r>
      <w:r w:rsidRPr="0024327D">
        <w:rPr>
          <w:lang w:val="uk-UA"/>
        </w:rPr>
        <w:t>модель окремого гаранта (компані</w:t>
      </w:r>
      <w:r w:rsidR="000158F4" w:rsidRPr="0024327D">
        <w:rPr>
          <w:lang w:val="uk-UA"/>
        </w:rPr>
        <w:t>ї</w:t>
      </w:r>
      <w:r w:rsidRPr="0024327D">
        <w:rPr>
          <w:lang w:val="uk-UA"/>
        </w:rPr>
        <w:t xml:space="preserve"> спеціального призначення)</w:t>
      </w:r>
      <w:r w:rsidR="00465D35" w:rsidRPr="0024327D">
        <w:rPr>
          <w:lang w:val="uk-UA"/>
        </w:rPr>
        <w:t>”</w:t>
      </w:r>
      <w:r w:rsidRPr="0024327D">
        <w:rPr>
          <w:lang w:val="uk-UA"/>
        </w:rPr>
        <w:t xml:space="preserve">, описана в розділі 4.3.1, та </w:t>
      </w:r>
      <w:r w:rsidR="00465D35" w:rsidRPr="0024327D">
        <w:rPr>
          <w:lang w:val="uk-UA"/>
        </w:rPr>
        <w:t>“</w:t>
      </w:r>
      <w:r w:rsidRPr="0024327D">
        <w:rPr>
          <w:lang w:val="uk-UA"/>
        </w:rPr>
        <w:t xml:space="preserve">модель </w:t>
      </w:r>
      <w:r w:rsidR="000158F4" w:rsidRPr="0024327D">
        <w:rPr>
          <w:lang w:val="uk-UA"/>
        </w:rPr>
        <w:t xml:space="preserve">активів на </w:t>
      </w:r>
      <w:r w:rsidRPr="0024327D">
        <w:rPr>
          <w:lang w:val="uk-UA"/>
        </w:rPr>
        <w:t>баланс</w:t>
      </w:r>
      <w:r w:rsidR="000158F4" w:rsidRPr="0024327D">
        <w:rPr>
          <w:lang w:val="uk-UA"/>
        </w:rPr>
        <w:t>і</w:t>
      </w:r>
      <w:r w:rsidR="00465D35" w:rsidRPr="0024327D">
        <w:rPr>
          <w:lang w:val="uk-UA"/>
        </w:rPr>
        <w:t>”</w:t>
      </w:r>
      <w:r w:rsidRPr="0024327D">
        <w:rPr>
          <w:lang w:val="uk-UA"/>
        </w:rPr>
        <w:t xml:space="preserve">, описана нижче. </w:t>
      </w:r>
    </w:p>
    <w:p w14:paraId="4900A4FD" w14:textId="1733AAFE" w:rsidR="00C23F1F" w:rsidRPr="0024327D" w:rsidRDefault="00C23F1F" w:rsidP="00CE4B52">
      <w:pPr>
        <w:keepNext/>
        <w:keepLines/>
        <w:spacing w:before="360" w:line="240" w:lineRule="auto"/>
        <w:ind w:left="567" w:hanging="567"/>
        <w:outlineLvl w:val="1"/>
        <w:rPr>
          <w:rFonts w:eastAsiaTheme="majorEastAsia" w:cstheme="majorBidi"/>
          <w:color w:val="2E74B5" w:themeColor="accent1" w:themeShade="BF"/>
          <w:sz w:val="32"/>
          <w:szCs w:val="32"/>
          <w:lang w:val="uk-UA"/>
        </w:rPr>
      </w:pPr>
      <w:bookmarkStart w:id="215" w:name="_Toc95481034"/>
      <w:bookmarkStart w:id="216" w:name="_Toc6942275"/>
      <w:bookmarkStart w:id="217" w:name="_Toc5081065"/>
      <w:bookmarkStart w:id="218" w:name="_Toc27153485"/>
      <w:bookmarkStart w:id="219" w:name="_Toc32498768"/>
      <w:r w:rsidRPr="0024327D">
        <w:rPr>
          <w:rFonts w:eastAsiaTheme="majorEastAsia" w:cstheme="majorBidi"/>
          <w:color w:val="2E74B5" w:themeColor="accent1" w:themeShade="BF"/>
          <w:sz w:val="32"/>
          <w:szCs w:val="32"/>
          <w:lang w:val="uk-UA"/>
        </w:rPr>
        <w:t xml:space="preserve">Модель </w:t>
      </w:r>
      <w:r w:rsidR="000158F4" w:rsidRPr="0024327D">
        <w:rPr>
          <w:rFonts w:eastAsiaTheme="majorEastAsia" w:cstheme="majorBidi"/>
          <w:color w:val="2E74B5" w:themeColor="accent1" w:themeShade="BF"/>
          <w:sz w:val="32"/>
          <w:szCs w:val="32"/>
          <w:lang w:val="uk-UA"/>
        </w:rPr>
        <w:t xml:space="preserve">активів на </w:t>
      </w:r>
      <w:r w:rsidRPr="0024327D">
        <w:rPr>
          <w:rFonts w:eastAsiaTheme="majorEastAsia" w:cstheme="majorBidi"/>
          <w:color w:val="2E74B5" w:themeColor="accent1" w:themeShade="BF"/>
          <w:sz w:val="32"/>
          <w:szCs w:val="32"/>
          <w:lang w:val="uk-UA"/>
        </w:rPr>
        <w:t>баланс</w:t>
      </w:r>
      <w:r w:rsidR="000158F4" w:rsidRPr="0024327D">
        <w:rPr>
          <w:rFonts w:eastAsiaTheme="majorEastAsia" w:cstheme="majorBidi"/>
          <w:color w:val="2E74B5" w:themeColor="accent1" w:themeShade="BF"/>
          <w:sz w:val="32"/>
          <w:szCs w:val="32"/>
          <w:lang w:val="uk-UA"/>
        </w:rPr>
        <w:t>і</w:t>
      </w:r>
      <w:bookmarkEnd w:id="215"/>
      <w:r w:rsidRPr="0024327D">
        <w:rPr>
          <w:rFonts w:eastAsiaTheme="majorEastAsia" w:cstheme="majorBidi"/>
          <w:color w:val="2E74B5" w:themeColor="accent1" w:themeShade="BF"/>
          <w:sz w:val="32"/>
          <w:szCs w:val="32"/>
          <w:lang w:val="uk-UA"/>
        </w:rPr>
        <w:t xml:space="preserve"> </w:t>
      </w:r>
      <w:bookmarkEnd w:id="216"/>
      <w:bookmarkEnd w:id="217"/>
      <w:bookmarkEnd w:id="218"/>
      <w:bookmarkEnd w:id="219"/>
    </w:p>
    <w:p w14:paraId="38C65FD8" w14:textId="77777777" w:rsidR="00C23F1F" w:rsidRPr="0024327D" w:rsidRDefault="00C23F1F" w:rsidP="00C23F1F">
      <w:pPr>
        <w:rPr>
          <w:lang w:val="uk-UA"/>
        </w:rPr>
      </w:pPr>
      <w:r w:rsidRPr="0024327D">
        <w:rPr>
          <w:noProof/>
          <w:lang w:val="uk-UA" w:eastAsia="uk-UA"/>
        </w:rPr>
        <mc:AlternateContent>
          <mc:Choice Requires="wps">
            <w:drawing>
              <wp:anchor distT="0" distB="0" distL="114300" distR="114300" simplePos="0" relativeHeight="251658256" behindDoc="0" locked="0" layoutInCell="1" allowOverlap="1" wp14:anchorId="095ADCA0" wp14:editId="642B3A67">
                <wp:simplePos x="0" y="0"/>
                <wp:positionH relativeFrom="column">
                  <wp:posOffset>-1270</wp:posOffset>
                </wp:positionH>
                <wp:positionV relativeFrom="paragraph">
                  <wp:posOffset>192230</wp:posOffset>
                </wp:positionV>
                <wp:extent cx="1516953" cy="1136393"/>
                <wp:effectExtent l="0" t="0" r="26670" b="26035"/>
                <wp:wrapNone/>
                <wp:docPr id="27" name="Прямоугольник 1"/>
                <wp:cNvGraphicFramePr/>
                <a:graphic xmlns:a="http://schemas.openxmlformats.org/drawingml/2006/main">
                  <a:graphicData uri="http://schemas.microsoft.com/office/word/2010/wordprocessingShape">
                    <wps:wsp>
                      <wps:cNvSpPr/>
                      <wps:spPr>
                        <a:xfrm>
                          <a:off x="0" y="0"/>
                          <a:ext cx="1516953" cy="1136393"/>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138669BC" w14:textId="77777777" w:rsidR="005634FA" w:rsidRPr="004F58F4" w:rsidRDefault="005634FA" w:rsidP="00C23F1F">
                            <w:pPr>
                              <w:jc w:val="center"/>
                              <w:rPr>
                                <w:color w:val="000000" w:themeColor="text1"/>
                                <w:lang w:val="uk-UA"/>
                              </w:rPr>
                            </w:pPr>
                            <w:r w:rsidRPr="004F58F4">
                              <w:rPr>
                                <w:color w:val="000000" w:themeColor="text1"/>
                                <w:lang w:val="uk-UA"/>
                              </w:rPr>
                              <w:t>БАНК</w:t>
                            </w:r>
                          </w:p>
                          <w:p w14:paraId="26931AF4" w14:textId="77777777" w:rsidR="005634FA" w:rsidRDefault="005634FA" w:rsidP="00C23F1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ADCA0" id="Прямоугольник 1" o:spid="_x0000_s1039" style="position:absolute;left:0;text-align:left;margin-left:-.1pt;margin-top:15.15pt;width:119.45pt;height:89.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" fillcolor="#bdd7ee" strokecolor="#41719c" strokeweight="1pt">
                <v:textbox>
                  <w:txbxContent>
                    <w:p w14:paraId="138669BC" w14:textId="77777777" w:rsidR="005634FA" w:rsidRPr="004F58F4" w:rsidRDefault="005634FA" w:rsidP="00C23F1F">
                      <w:pPr>
                        <w:jc w:val="center"/>
                        <w:rPr>
                          <w:color w:val="000000" w:themeColor="text1"/>
                          <w:lang w:val="uk-UA"/>
                        </w:rPr>
                      </w:pPr>
                      <w:r w:rsidRPr="004F58F4">
                        <w:rPr>
                          <w:color w:val="000000" w:themeColor="text1"/>
                          <w:lang w:val="uk-UA"/>
                        </w:rPr>
                        <w:t>БАНК</w:t>
                      </w:r>
                    </w:p>
                    <w:p w14:paraId="26931AF4" w14:textId="77777777" w:rsidR="005634FA" w:rsidRDefault="005634FA" w:rsidP="00C23F1F"/>
                  </w:txbxContent>
                </v:textbox>
              </v:rect>
            </w:pict>
          </mc:Fallback>
        </mc:AlternateContent>
      </w:r>
      <w:r w:rsidRPr="0024327D">
        <w:rPr>
          <w:noProof/>
          <w:lang w:val="uk-UA" w:eastAsia="uk-UA"/>
        </w:rPr>
        <mc:AlternateContent>
          <mc:Choice Requires="wps">
            <w:drawing>
              <wp:anchor distT="45720" distB="45720" distL="114300" distR="114300" simplePos="0" relativeHeight="251658258" behindDoc="0" locked="0" layoutInCell="1" allowOverlap="1" wp14:anchorId="7843CD7F" wp14:editId="5C2F74C0">
                <wp:simplePos x="0" y="0"/>
                <wp:positionH relativeFrom="column">
                  <wp:posOffset>1694180</wp:posOffset>
                </wp:positionH>
                <wp:positionV relativeFrom="paragraph">
                  <wp:posOffset>2540</wp:posOffset>
                </wp:positionV>
                <wp:extent cx="744855" cy="4013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401320"/>
                        </a:xfrm>
                        <a:prstGeom prst="rect">
                          <a:avLst/>
                        </a:prstGeom>
                        <a:solidFill>
                          <a:srgbClr val="FFFFFF"/>
                        </a:solidFill>
                        <a:ln w="9525">
                          <a:noFill/>
                          <a:miter lim="800000"/>
                          <a:headEnd/>
                          <a:tailEnd/>
                        </a:ln>
                      </wps:spPr>
                      <wps:txbx>
                        <w:txbxContent>
                          <w:p w14:paraId="747DCB51" w14:textId="77777777" w:rsidR="005634FA" w:rsidRPr="00924516" w:rsidRDefault="005634FA" w:rsidP="00C23F1F">
                            <w:pPr>
                              <w:rPr>
                                <w:lang w:val="uk-UA"/>
                              </w:rPr>
                            </w:pPr>
                            <w:r w:rsidRPr="00924516">
                              <w:rPr>
                                <w:lang w:val="uk-UA"/>
                              </w:rPr>
                              <w:t>Облігації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3CD7F" id="_x0000_t202" coordsize="21600,21600" o:spt="202" path="m,l,21600r21600,l21600,xe">
                <v:stroke joinstyle="miter"/>
                <v:path gradientshapeok="t" o:connecttype="rect"/>
              </v:shapetype>
              <v:shape id="Надпись 2" o:spid="_x0000_s1040" type="#_x0000_t202" style="position:absolute;left:0;text-align:left;margin-left:133.4pt;margin-top:.2pt;width:58.65pt;height:31.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" stroked="f">
                <v:textbox>
                  <w:txbxContent>
                    <w:p w14:paraId="747DCB51" w14:textId="77777777" w:rsidR="005634FA" w:rsidRPr="00924516" w:rsidRDefault="005634FA" w:rsidP="00C23F1F">
                      <w:pPr>
                        <w:rPr>
                          <w:lang w:val="uk-UA"/>
                        </w:rPr>
                      </w:pPr>
                      <w:r w:rsidRPr="00924516">
                        <w:rPr>
                          <w:lang w:val="uk-UA"/>
                        </w:rPr>
                        <w:t>Облігації</w:t>
                      </w:r>
                    </w:p>
                  </w:txbxContent>
                </v:textbox>
                <w10:wrap type="square"/>
              </v:shape>
            </w:pict>
          </mc:Fallback>
        </mc:AlternateContent>
      </w:r>
    </w:p>
    <w:p w14:paraId="2D57A475" w14:textId="77777777" w:rsidR="00C23F1F" w:rsidRPr="0024327D" w:rsidRDefault="00C23F1F" w:rsidP="00C23F1F">
      <w:pPr>
        <w:rPr>
          <w:lang w:val="uk-UA"/>
        </w:rPr>
      </w:pPr>
      <w:r w:rsidRPr="0024327D">
        <w:rPr>
          <w:noProof/>
          <w:lang w:val="uk-UA" w:eastAsia="uk-UA"/>
        </w:rPr>
        <mc:AlternateContent>
          <mc:Choice Requires="wps">
            <w:drawing>
              <wp:anchor distT="0" distB="0" distL="114300" distR="114300" simplePos="0" relativeHeight="251658260" behindDoc="0" locked="0" layoutInCell="1" allowOverlap="1" wp14:anchorId="239ECE15" wp14:editId="1E54B76D">
                <wp:simplePos x="0" y="0"/>
                <wp:positionH relativeFrom="column">
                  <wp:posOffset>2535177</wp:posOffset>
                </wp:positionH>
                <wp:positionV relativeFrom="paragraph">
                  <wp:posOffset>22735</wp:posOffset>
                </wp:positionV>
                <wp:extent cx="1412001" cy="391131"/>
                <wp:effectExtent l="0" t="0" r="17145" b="28575"/>
                <wp:wrapNone/>
                <wp:docPr id="9" name="Прямоугольник 9"/>
                <wp:cNvGraphicFramePr/>
                <a:graphic xmlns:a="http://schemas.openxmlformats.org/drawingml/2006/main">
                  <a:graphicData uri="http://schemas.microsoft.com/office/word/2010/wordprocessingShape">
                    <wps:wsp>
                      <wps:cNvSpPr/>
                      <wps:spPr>
                        <a:xfrm>
                          <a:off x="0" y="0"/>
                          <a:ext cx="1412001" cy="391131"/>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8EDE9F9" w14:textId="77777777" w:rsidR="005634FA" w:rsidRPr="00160141" w:rsidRDefault="005634FA" w:rsidP="00C23F1F">
                            <w:pPr>
                              <w:jc w:val="center"/>
                              <w:rPr>
                                <w:color w:val="000000" w:themeColor="text1"/>
                                <w:lang w:val="uk-UA"/>
                              </w:rPr>
                            </w:pPr>
                            <w:r w:rsidRPr="00160141">
                              <w:rPr>
                                <w:color w:val="000000" w:themeColor="text1"/>
                                <w:lang w:val="uk-UA"/>
                              </w:rPr>
                              <w:t>Інвестори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ECE15" id="Прямоугольник 9" o:spid="_x0000_s1041" style="position:absolute;left:0;text-align:left;margin-left:199.6pt;margin-top:1.8pt;width:111.2pt;height:30.8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" fillcolor="#deebf7" strokecolor="#41719c" strokeweight="1pt">
                <v:textbox>
                  <w:txbxContent>
                    <w:p w14:paraId="18EDE9F9" w14:textId="77777777" w:rsidR="005634FA" w:rsidRPr="00160141" w:rsidRDefault="005634FA" w:rsidP="00C23F1F">
                      <w:pPr>
                        <w:jc w:val="center"/>
                        <w:rPr>
                          <w:color w:val="000000" w:themeColor="text1"/>
                          <w:lang w:val="uk-UA"/>
                        </w:rPr>
                      </w:pPr>
                      <w:r w:rsidRPr="00160141">
                        <w:rPr>
                          <w:color w:val="000000" w:themeColor="text1"/>
                          <w:lang w:val="uk-UA"/>
                        </w:rPr>
                        <w:t>Інвестори</w:t>
                      </w:r>
                    </w:p>
                  </w:txbxContent>
                </v:textbox>
              </v:rect>
            </w:pict>
          </mc:Fallback>
        </mc:AlternateContent>
      </w:r>
      <w:r w:rsidRPr="0024327D">
        <w:rPr>
          <w:noProof/>
          <w:lang w:val="uk-UA" w:eastAsia="uk-UA"/>
        </w:rPr>
        <mc:AlternateContent>
          <mc:Choice Requires="wps">
            <w:drawing>
              <wp:anchor distT="0" distB="0" distL="114300" distR="114300" simplePos="0" relativeHeight="251658259" behindDoc="0" locked="0" layoutInCell="1" allowOverlap="1" wp14:anchorId="330D8220" wp14:editId="2845E1F0">
                <wp:simplePos x="0" y="0"/>
                <wp:positionH relativeFrom="column">
                  <wp:posOffset>1610206</wp:posOffset>
                </wp:positionH>
                <wp:positionV relativeFrom="paragraph">
                  <wp:posOffset>234157</wp:posOffset>
                </wp:positionV>
                <wp:extent cx="829424" cy="0"/>
                <wp:effectExtent l="0" t="76200" r="27940" b="95250"/>
                <wp:wrapNone/>
                <wp:docPr id="29" name="Прямая со стрелкой 7"/>
                <wp:cNvGraphicFramePr/>
                <a:graphic xmlns:a="http://schemas.openxmlformats.org/drawingml/2006/main">
                  <a:graphicData uri="http://schemas.microsoft.com/office/word/2010/wordprocessingShape">
                    <wps:wsp>
                      <wps:cNvCnPr/>
                      <wps:spPr>
                        <a:xfrm>
                          <a:off x="0" y="0"/>
                          <a:ext cx="829424" cy="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C73A5" id="Прямая со стрелкой 7" o:spid="_x0000_s1026" type="#_x0000_t32" style="position:absolute;margin-left:126.8pt;margin-top:18.45pt;width:65.3pt;height:0;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" strokecolor="#5b9bd5" strokeweight="1.5pt">
                <v:stroke endarrow="block" joinstyle="miter"/>
              </v:shape>
            </w:pict>
          </mc:Fallback>
        </mc:AlternateContent>
      </w:r>
    </w:p>
    <w:p w14:paraId="164CDED1" w14:textId="2336E495" w:rsidR="00C23F1F" w:rsidRPr="0024327D" w:rsidRDefault="000158F4" w:rsidP="00C23F1F">
      <w:pPr>
        <w:rPr>
          <w:lang w:val="uk-UA"/>
        </w:rPr>
      </w:pPr>
      <w:r w:rsidRPr="0024327D">
        <w:rPr>
          <w:noProof/>
          <w:lang w:val="uk-UA" w:eastAsia="uk-UA"/>
        </w:rPr>
        <mc:AlternateContent>
          <mc:Choice Requires="wps">
            <w:drawing>
              <wp:anchor distT="0" distB="0" distL="114300" distR="114300" simplePos="0" relativeHeight="251658257" behindDoc="0" locked="0" layoutInCell="1" allowOverlap="1" wp14:anchorId="660AE79D" wp14:editId="507CCCAB">
                <wp:simplePos x="0" y="0"/>
                <wp:positionH relativeFrom="column">
                  <wp:posOffset>238668</wp:posOffset>
                </wp:positionH>
                <wp:positionV relativeFrom="paragraph">
                  <wp:posOffset>231775</wp:posOffset>
                </wp:positionV>
                <wp:extent cx="1004254" cy="438487"/>
                <wp:effectExtent l="0" t="0" r="24765" b="19050"/>
                <wp:wrapNone/>
                <wp:docPr id="31" name="Овал 2"/>
                <wp:cNvGraphicFramePr/>
                <a:graphic xmlns:a="http://schemas.openxmlformats.org/drawingml/2006/main">
                  <a:graphicData uri="http://schemas.microsoft.com/office/word/2010/wordprocessingShape">
                    <wps:wsp>
                      <wps:cNvSpPr/>
                      <wps:spPr>
                        <a:xfrm>
                          <a:off x="0" y="0"/>
                          <a:ext cx="1004254" cy="438487"/>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7A35BF8F" w14:textId="77777777" w:rsidR="005634FA" w:rsidRPr="009B664D" w:rsidRDefault="005634FA" w:rsidP="00C23F1F">
                            <w:pPr>
                              <w:jc w:val="center"/>
                              <w:rPr>
                                <w:lang w:val="uk-UA"/>
                              </w:rPr>
                            </w:pPr>
                            <w:r>
                              <w:rPr>
                                <w:lang w:val="uk-UA"/>
                              </w:rPr>
                              <w:t>АКТИВИИ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AE79D" id="Овал 2" o:spid="_x0000_s1042" style="position:absolute;left:0;text-align:left;margin-left:18.8pt;margin-top:18.25pt;width:79.1pt;height:34.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" fillcolor="#5b9bd5" strokecolor="#41719c" strokeweight="1pt">
                <v:stroke joinstyle="miter"/>
                <v:textbox>
                  <w:txbxContent>
                    <w:p w14:paraId="7A35BF8F" w14:textId="77777777" w:rsidR="005634FA" w:rsidRPr="009B664D" w:rsidRDefault="005634FA" w:rsidP="00C23F1F">
                      <w:pPr>
                        <w:jc w:val="center"/>
                        <w:rPr>
                          <w:lang w:val="uk-UA"/>
                        </w:rPr>
                      </w:pPr>
                      <w:r>
                        <w:rPr>
                          <w:lang w:val="uk-UA"/>
                        </w:rPr>
                        <w:t>АКТИВИИ</w:t>
                      </w:r>
                    </w:p>
                  </w:txbxContent>
                </v:textbox>
              </v:oval>
            </w:pict>
          </mc:Fallback>
        </mc:AlternateContent>
      </w:r>
      <w:r w:rsidR="00C23F1F" w:rsidRPr="0024327D">
        <w:rPr>
          <w:noProof/>
          <w:lang w:val="uk-UA" w:eastAsia="uk-UA"/>
        </w:rPr>
        <mc:AlternateContent>
          <mc:Choice Requires="wps">
            <w:drawing>
              <wp:anchor distT="0" distB="0" distL="114300" distR="114300" simplePos="0" relativeHeight="251658261" behindDoc="0" locked="0" layoutInCell="1" allowOverlap="1" wp14:anchorId="1BF985A3" wp14:editId="27F0B4D6">
                <wp:simplePos x="0" y="0"/>
                <wp:positionH relativeFrom="column">
                  <wp:posOffset>1696720</wp:posOffset>
                </wp:positionH>
                <wp:positionV relativeFrom="paragraph">
                  <wp:posOffset>232410</wp:posOffset>
                </wp:positionV>
                <wp:extent cx="1226185" cy="321945"/>
                <wp:effectExtent l="19050" t="0" r="12065" b="78105"/>
                <wp:wrapNone/>
                <wp:docPr id="30" name="Соединитель: изогнутый 12"/>
                <wp:cNvGraphicFramePr/>
                <a:graphic xmlns:a="http://schemas.openxmlformats.org/drawingml/2006/main">
                  <a:graphicData uri="http://schemas.microsoft.com/office/word/2010/wordprocessingShape">
                    <wps:wsp>
                      <wps:cNvCnPr/>
                      <wps:spPr>
                        <a:xfrm flipH="1">
                          <a:off x="0" y="0"/>
                          <a:ext cx="1226185" cy="321945"/>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4CB97" id="Соединитель: изогнутый 12" o:spid="_x0000_s1026" type="#_x0000_t32" style="position:absolute;margin-left:133.6pt;margin-top:18.3pt;width:96.55pt;height:25.35pt;flip:x;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" strokecolor="#5b9bd5" strokeweight="1.5pt">
                <v:stroke endarrow="block" joinstyle="miter"/>
              </v:shape>
            </w:pict>
          </mc:Fallback>
        </mc:AlternateContent>
      </w:r>
    </w:p>
    <w:p w14:paraId="1E0CC840" w14:textId="77777777" w:rsidR="00C23F1F" w:rsidRPr="0024327D" w:rsidRDefault="00C23F1F" w:rsidP="00C23F1F">
      <w:pPr>
        <w:rPr>
          <w:lang w:val="uk-UA"/>
        </w:rPr>
      </w:pPr>
      <w:r w:rsidRPr="0024327D">
        <w:rPr>
          <w:noProof/>
          <w:lang w:val="uk-UA" w:eastAsia="uk-UA"/>
        </w:rPr>
        <mc:AlternateContent>
          <mc:Choice Requires="wps">
            <w:drawing>
              <wp:anchor distT="45720" distB="45720" distL="114300" distR="114300" simplePos="0" relativeHeight="251658262" behindDoc="0" locked="0" layoutInCell="1" allowOverlap="1" wp14:anchorId="6537DA15" wp14:editId="2AB64FF7">
                <wp:simplePos x="0" y="0"/>
                <wp:positionH relativeFrom="column">
                  <wp:posOffset>2534920</wp:posOffset>
                </wp:positionH>
                <wp:positionV relativeFrom="paragraph">
                  <wp:posOffset>130810</wp:posOffset>
                </wp:positionV>
                <wp:extent cx="1585595" cy="337820"/>
                <wp:effectExtent l="0" t="0" r="0" b="5080"/>
                <wp:wrapSquare wrapText="bothSides"/>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337820"/>
                        </a:xfrm>
                        <a:prstGeom prst="rect">
                          <a:avLst/>
                        </a:prstGeom>
                        <a:solidFill>
                          <a:srgbClr val="FFFFFF"/>
                        </a:solidFill>
                        <a:ln w="9525">
                          <a:noFill/>
                          <a:miter lim="800000"/>
                          <a:headEnd/>
                          <a:tailEnd/>
                        </a:ln>
                      </wps:spPr>
                      <wps:txbx>
                        <w:txbxContent>
                          <w:p w14:paraId="7B02C370" w14:textId="786C7F42" w:rsidR="005634FA" w:rsidRPr="00924516" w:rsidRDefault="005634FA" w:rsidP="00C23F1F">
                            <w:pPr>
                              <w:rPr>
                                <w:lang w:val="uk-UA"/>
                              </w:rPr>
                            </w:pPr>
                            <w:r>
                              <w:rPr>
                                <w:lang w:val="uk-UA"/>
                              </w:rPr>
                              <w:t>Права в</w:t>
                            </w:r>
                            <w:r w:rsidRPr="00924516">
                              <w:rPr>
                                <w:lang w:val="uk-UA"/>
                              </w:rPr>
                              <w:t>имоги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DA15" id="_x0000_s1043" type="#_x0000_t202" style="position:absolute;left:0;text-align:left;margin-left:199.6pt;margin-top:10.3pt;width:124.85pt;height:26.6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" stroked="f">
                <v:textbox>
                  <w:txbxContent>
                    <w:p w14:paraId="7B02C370" w14:textId="786C7F42" w:rsidR="005634FA" w:rsidRPr="00924516" w:rsidRDefault="005634FA" w:rsidP="00C23F1F">
                      <w:pPr>
                        <w:rPr>
                          <w:lang w:val="uk-UA"/>
                        </w:rPr>
                      </w:pPr>
                      <w:r>
                        <w:rPr>
                          <w:lang w:val="uk-UA"/>
                        </w:rPr>
                        <w:t>Права в</w:t>
                      </w:r>
                      <w:r w:rsidRPr="00924516">
                        <w:rPr>
                          <w:lang w:val="uk-UA"/>
                        </w:rPr>
                        <w:t>имоги</w:t>
                      </w:r>
                    </w:p>
                  </w:txbxContent>
                </v:textbox>
                <w10:wrap type="square"/>
              </v:shape>
            </w:pict>
          </mc:Fallback>
        </mc:AlternateContent>
      </w:r>
    </w:p>
    <w:p w14:paraId="6B6B0E4C" w14:textId="77777777" w:rsidR="00C23F1F" w:rsidRPr="0024327D" w:rsidRDefault="00C23F1F" w:rsidP="00C23F1F">
      <w:pPr>
        <w:rPr>
          <w:lang w:val="uk-UA"/>
        </w:rPr>
      </w:pPr>
    </w:p>
    <w:p w14:paraId="05106BA7" w14:textId="77777777" w:rsidR="00C23F1F" w:rsidRPr="0024327D" w:rsidRDefault="00C23F1F" w:rsidP="00C23F1F">
      <w:pPr>
        <w:rPr>
          <w:lang w:val="uk-UA"/>
        </w:rPr>
      </w:pPr>
    </w:p>
    <w:p w14:paraId="61FEAAD3" w14:textId="77777777" w:rsidR="00C23F1F" w:rsidRPr="0024327D" w:rsidRDefault="00C23F1F" w:rsidP="00C23F1F">
      <w:pPr>
        <w:rPr>
          <w:lang w:val="uk-UA"/>
        </w:rPr>
      </w:pPr>
      <w:r w:rsidRPr="0024327D">
        <w:rPr>
          <w:lang w:val="uk-UA"/>
        </w:rPr>
        <w:t xml:space="preserve">Використовується в (наприклад): Німеччині, Іспанії </w:t>
      </w:r>
    </w:p>
    <w:p w14:paraId="01EC5399" w14:textId="629F1412" w:rsidR="00C23F1F" w:rsidRPr="0024327D" w:rsidRDefault="002312FA" w:rsidP="00C23F1F">
      <w:pPr>
        <w:rPr>
          <w:lang w:val="uk-UA"/>
        </w:rPr>
      </w:pPr>
      <w:r w:rsidRPr="0024327D">
        <w:rPr>
          <w:lang w:val="uk-UA"/>
        </w:rPr>
        <w:t>Емісія о</w:t>
      </w:r>
      <w:r w:rsidR="00C23F1F" w:rsidRPr="0024327D">
        <w:rPr>
          <w:lang w:val="uk-UA"/>
        </w:rPr>
        <w:t xml:space="preserve">блігації </w:t>
      </w:r>
      <w:r w:rsidRPr="0024327D">
        <w:rPr>
          <w:lang w:val="uk-UA"/>
        </w:rPr>
        <w:t>здійснюється</w:t>
      </w:r>
      <w:r w:rsidR="00C23F1F" w:rsidRPr="0024327D">
        <w:rPr>
          <w:lang w:val="uk-UA"/>
        </w:rPr>
        <w:t xml:space="preserve"> </w:t>
      </w:r>
      <w:r w:rsidR="00A65876" w:rsidRPr="0024327D">
        <w:rPr>
          <w:lang w:val="uk-UA"/>
        </w:rPr>
        <w:t>емітентом</w:t>
      </w:r>
      <w:r w:rsidR="00C23F1F" w:rsidRPr="0024327D">
        <w:rPr>
          <w:lang w:val="uk-UA"/>
        </w:rPr>
        <w:t xml:space="preserve">, який водночас визначає пул активів, що слугує </w:t>
      </w:r>
      <w:r w:rsidR="000158F4" w:rsidRPr="0024327D">
        <w:rPr>
          <w:lang w:val="uk-UA"/>
        </w:rPr>
        <w:t xml:space="preserve">забезпеченням </w:t>
      </w:r>
      <w:r w:rsidR="00C23F1F" w:rsidRPr="0024327D">
        <w:rPr>
          <w:lang w:val="uk-UA"/>
        </w:rPr>
        <w:t xml:space="preserve">для цього випуску у випадку, якщо </w:t>
      </w:r>
      <w:r w:rsidR="00643B4F" w:rsidRPr="0024327D">
        <w:rPr>
          <w:lang w:val="uk-UA"/>
        </w:rPr>
        <w:t>е</w:t>
      </w:r>
      <w:r w:rsidR="00C23F1F" w:rsidRPr="0024327D">
        <w:rPr>
          <w:lang w:val="uk-UA"/>
        </w:rPr>
        <w:t xml:space="preserve">мітент не виконує зобов’язань або підлягає ліквідації. Емітент зобов'язаний на </w:t>
      </w:r>
      <w:r w:rsidR="003205A9" w:rsidRPr="0024327D">
        <w:rPr>
          <w:lang w:val="uk-UA"/>
        </w:rPr>
        <w:t xml:space="preserve">постійній </w:t>
      </w:r>
      <w:r w:rsidR="00C23F1F" w:rsidRPr="0024327D">
        <w:rPr>
          <w:lang w:val="uk-UA"/>
        </w:rPr>
        <w:t>основі</w:t>
      </w:r>
      <w:r w:rsidR="003205A9" w:rsidRPr="0024327D">
        <w:rPr>
          <w:lang w:val="uk-UA"/>
        </w:rPr>
        <w:t xml:space="preserve"> підтримувати пул активів</w:t>
      </w:r>
      <w:r w:rsidR="00A83B16" w:rsidRPr="0024327D">
        <w:rPr>
          <w:lang w:val="uk-UA"/>
        </w:rPr>
        <w:t xml:space="preserve"> та здійснювати необхідні заміни</w:t>
      </w:r>
      <w:r w:rsidR="00C23F1F" w:rsidRPr="0024327D">
        <w:rPr>
          <w:lang w:val="uk-UA"/>
        </w:rPr>
        <w:t xml:space="preserve">, щоб забезпечити належний захист інвесторів в </w:t>
      </w:r>
      <w:r w:rsidR="00FB118B" w:rsidRPr="0024327D">
        <w:rPr>
          <w:lang w:val="uk-UA"/>
        </w:rPr>
        <w:t>облігації з покриттям</w:t>
      </w:r>
      <w:r w:rsidR="00C23F1F" w:rsidRPr="0024327D">
        <w:rPr>
          <w:lang w:val="uk-UA"/>
        </w:rPr>
        <w:t xml:space="preserve">. </w:t>
      </w:r>
    </w:p>
    <w:p w14:paraId="624FBA1F" w14:textId="524EBCF4" w:rsidR="00C23F1F" w:rsidRPr="0024327D" w:rsidRDefault="00C23F1F" w:rsidP="00C23F1F">
      <w:pPr>
        <w:rPr>
          <w:lang w:val="uk-UA"/>
        </w:rPr>
      </w:pPr>
      <w:r w:rsidRPr="0024327D">
        <w:rPr>
          <w:lang w:val="uk-UA"/>
        </w:rPr>
        <w:t xml:space="preserve">Це структурно просто, оскільки активи не повинні передаватись третій стороні на початку, але </w:t>
      </w:r>
      <w:r w:rsidR="00A83B16" w:rsidRPr="0024327D">
        <w:rPr>
          <w:lang w:val="uk-UA"/>
        </w:rPr>
        <w:t xml:space="preserve">потрібні </w:t>
      </w:r>
      <w:r w:rsidR="00FA4BA1" w:rsidRPr="0024327D">
        <w:rPr>
          <w:lang w:val="uk-UA"/>
        </w:rPr>
        <w:t>досконалі юридичні механізми</w:t>
      </w:r>
      <w:r w:rsidRPr="0024327D">
        <w:rPr>
          <w:lang w:val="uk-UA"/>
        </w:rPr>
        <w:t xml:space="preserve">, щоб забезпечити, що: </w:t>
      </w:r>
    </w:p>
    <w:p w14:paraId="27A4112E" w14:textId="0B1A0C14" w:rsidR="00C23F1F" w:rsidRPr="0024327D" w:rsidRDefault="00C23F1F" w:rsidP="00C23F1F">
      <w:pPr>
        <w:numPr>
          <w:ilvl w:val="0"/>
          <w:numId w:val="2"/>
        </w:numPr>
        <w:contextualSpacing/>
        <w:rPr>
          <w:lang w:val="uk-UA"/>
        </w:rPr>
      </w:pPr>
      <w:r w:rsidRPr="0024327D">
        <w:rPr>
          <w:lang w:val="uk-UA"/>
        </w:rPr>
        <w:t>вимог</w:t>
      </w:r>
      <w:r w:rsidR="00FA4BA1" w:rsidRPr="0024327D">
        <w:rPr>
          <w:lang w:val="uk-UA"/>
        </w:rPr>
        <w:t>и</w:t>
      </w:r>
      <w:r w:rsidRPr="0024327D">
        <w:rPr>
          <w:lang w:val="uk-UA"/>
        </w:rPr>
        <w:t xml:space="preserve"> кредиторів за </w:t>
      </w:r>
      <w:r w:rsidR="00645A85" w:rsidRPr="0024327D">
        <w:rPr>
          <w:lang w:val="uk-UA"/>
        </w:rPr>
        <w:t>облігаціями з покриттям</w:t>
      </w:r>
      <w:r w:rsidRPr="0024327D">
        <w:rPr>
          <w:lang w:val="uk-UA"/>
        </w:rPr>
        <w:t xml:space="preserve"> залишатим</w:t>
      </w:r>
      <w:r w:rsidR="00FA4BA1" w:rsidRPr="0024327D">
        <w:rPr>
          <w:lang w:val="uk-UA"/>
        </w:rPr>
        <w:t>у</w:t>
      </w:r>
      <w:r w:rsidRPr="0024327D">
        <w:rPr>
          <w:lang w:val="uk-UA"/>
        </w:rPr>
        <w:t xml:space="preserve">ться в силі у випадку </w:t>
      </w:r>
      <w:r w:rsidR="008F20A6" w:rsidRPr="0024327D">
        <w:rPr>
          <w:lang w:val="uk-UA"/>
        </w:rPr>
        <w:t>неплатоспроможності</w:t>
      </w:r>
      <w:r w:rsidR="00373F95" w:rsidRPr="0024327D">
        <w:rPr>
          <w:lang w:val="uk-UA"/>
        </w:rPr>
        <w:t xml:space="preserve"> </w:t>
      </w:r>
      <w:r w:rsidRPr="0024327D">
        <w:rPr>
          <w:lang w:val="uk-UA"/>
        </w:rPr>
        <w:t xml:space="preserve">або ліквідації </w:t>
      </w:r>
      <w:r w:rsidR="00643B4F" w:rsidRPr="0024327D">
        <w:rPr>
          <w:lang w:val="uk-UA"/>
        </w:rPr>
        <w:t>е</w:t>
      </w:r>
      <w:r w:rsidRPr="0024327D">
        <w:rPr>
          <w:lang w:val="uk-UA"/>
        </w:rPr>
        <w:t>мітента,</w:t>
      </w:r>
    </w:p>
    <w:p w14:paraId="5C33DAFD" w14:textId="0BCFD07B" w:rsidR="00C23F1F" w:rsidRPr="0024327D" w:rsidRDefault="00C23F1F" w:rsidP="00C23F1F">
      <w:pPr>
        <w:numPr>
          <w:ilvl w:val="0"/>
          <w:numId w:val="2"/>
        </w:numPr>
        <w:contextualSpacing/>
        <w:rPr>
          <w:lang w:val="uk-UA"/>
        </w:rPr>
      </w:pPr>
      <w:r w:rsidRPr="0024327D">
        <w:rPr>
          <w:lang w:val="uk-UA"/>
        </w:rPr>
        <w:t xml:space="preserve">інші кредитори не зможуть </w:t>
      </w:r>
      <w:r w:rsidR="00FA4BA1" w:rsidRPr="0024327D">
        <w:rPr>
          <w:lang w:val="uk-UA"/>
        </w:rPr>
        <w:t xml:space="preserve">заявити право </w:t>
      </w:r>
      <w:r w:rsidRPr="0024327D">
        <w:rPr>
          <w:lang w:val="uk-UA"/>
        </w:rPr>
        <w:t xml:space="preserve">вимоги щодо цих активів, </w:t>
      </w:r>
    </w:p>
    <w:p w14:paraId="4C650E7A" w14:textId="77E65807" w:rsidR="00C23F1F" w:rsidRPr="0024327D" w:rsidRDefault="00C23F1F" w:rsidP="00C23F1F">
      <w:pPr>
        <w:numPr>
          <w:ilvl w:val="0"/>
          <w:numId w:val="2"/>
        </w:numPr>
        <w:contextualSpacing/>
        <w:rPr>
          <w:lang w:val="uk-UA"/>
        </w:rPr>
      </w:pPr>
      <w:r w:rsidRPr="0024327D">
        <w:rPr>
          <w:lang w:val="uk-UA"/>
        </w:rPr>
        <w:t xml:space="preserve">звичайні процедури банкрутства, такі як призупинення платежів або </w:t>
      </w:r>
      <w:r w:rsidR="00FA4BA1" w:rsidRPr="0024327D">
        <w:rPr>
          <w:lang w:val="uk-UA"/>
        </w:rPr>
        <w:t xml:space="preserve">мораторій на задоволення </w:t>
      </w:r>
      <w:r w:rsidRPr="0024327D">
        <w:rPr>
          <w:lang w:val="uk-UA"/>
        </w:rPr>
        <w:t xml:space="preserve">вимог, </w:t>
      </w:r>
      <w:r w:rsidR="00E05675" w:rsidRPr="0024327D">
        <w:rPr>
          <w:lang w:val="uk-UA"/>
        </w:rPr>
        <w:t xml:space="preserve">не будуть застосовуватись, </w:t>
      </w:r>
      <w:r w:rsidRPr="0024327D">
        <w:rPr>
          <w:lang w:val="uk-UA"/>
        </w:rPr>
        <w:t xml:space="preserve">і що пул </w:t>
      </w:r>
      <w:r w:rsidR="00C9324C" w:rsidRPr="0024327D">
        <w:rPr>
          <w:lang w:val="uk-UA"/>
        </w:rPr>
        <w:t xml:space="preserve">активів </w:t>
      </w:r>
      <w:r w:rsidRPr="0024327D">
        <w:rPr>
          <w:lang w:val="uk-UA"/>
        </w:rPr>
        <w:t xml:space="preserve">та пов'язані з ними зобов'язання можуть бути передані третій особі, у разі необхідності. </w:t>
      </w:r>
    </w:p>
    <w:p w14:paraId="5BE92DBE" w14:textId="74892239" w:rsidR="00C23F1F" w:rsidRPr="0024327D" w:rsidRDefault="00C23F1F" w:rsidP="00C23F1F">
      <w:pPr>
        <w:rPr>
          <w:lang w:val="uk-UA"/>
        </w:rPr>
      </w:pPr>
      <w:r w:rsidRPr="0024327D">
        <w:rPr>
          <w:lang w:val="uk-UA"/>
        </w:rPr>
        <w:t xml:space="preserve">Усі </w:t>
      </w:r>
      <w:r w:rsidR="00C9324C" w:rsidRPr="0024327D">
        <w:rPr>
          <w:lang w:val="uk-UA"/>
        </w:rPr>
        <w:t xml:space="preserve">ці механізми </w:t>
      </w:r>
      <w:r w:rsidRPr="0024327D">
        <w:rPr>
          <w:lang w:val="uk-UA"/>
        </w:rPr>
        <w:t xml:space="preserve">вимагають внесення </w:t>
      </w:r>
      <w:r w:rsidR="004F41BD" w:rsidRPr="0024327D">
        <w:rPr>
          <w:lang w:val="uk-UA"/>
        </w:rPr>
        <w:t>з</w:t>
      </w:r>
      <w:r w:rsidR="00C9324C" w:rsidRPr="0024327D">
        <w:rPr>
          <w:lang w:val="uk-UA"/>
        </w:rPr>
        <w:t xml:space="preserve">начної кількості </w:t>
      </w:r>
      <w:r w:rsidRPr="0024327D">
        <w:rPr>
          <w:lang w:val="uk-UA"/>
        </w:rPr>
        <w:t>змін</w:t>
      </w:r>
      <w:r w:rsidR="004F41BD" w:rsidRPr="0024327D">
        <w:rPr>
          <w:lang w:val="uk-UA"/>
        </w:rPr>
        <w:t xml:space="preserve"> до законодавства</w:t>
      </w:r>
      <w:r w:rsidR="00920683" w:rsidRPr="0024327D">
        <w:rPr>
          <w:lang w:val="uk-UA"/>
        </w:rPr>
        <w:t>, та пов’язаних з цим</w:t>
      </w:r>
      <w:r w:rsidRPr="0024327D">
        <w:rPr>
          <w:lang w:val="uk-UA"/>
        </w:rPr>
        <w:t xml:space="preserve"> витрат</w:t>
      </w:r>
      <w:r w:rsidR="00D03A58" w:rsidRPr="0024327D">
        <w:rPr>
          <w:lang w:val="uk-UA"/>
        </w:rPr>
        <w:t>ами</w:t>
      </w:r>
      <w:r w:rsidRPr="0024327D">
        <w:rPr>
          <w:lang w:val="uk-UA"/>
        </w:rPr>
        <w:t>, ризик</w:t>
      </w:r>
      <w:r w:rsidR="00D03A58" w:rsidRPr="0024327D">
        <w:rPr>
          <w:lang w:val="uk-UA"/>
        </w:rPr>
        <w:t>ами</w:t>
      </w:r>
      <w:r w:rsidRPr="0024327D">
        <w:rPr>
          <w:lang w:val="uk-UA"/>
        </w:rPr>
        <w:t>, що вони не досягнуть бажаної мети на практиці, та потенційни</w:t>
      </w:r>
      <w:r w:rsidR="00D03A58" w:rsidRPr="0024327D">
        <w:rPr>
          <w:lang w:val="uk-UA"/>
        </w:rPr>
        <w:t>ми</w:t>
      </w:r>
      <w:r w:rsidRPr="0024327D">
        <w:rPr>
          <w:lang w:val="uk-UA"/>
        </w:rPr>
        <w:t xml:space="preserve"> непередбачувани</w:t>
      </w:r>
      <w:r w:rsidR="00D03A58" w:rsidRPr="0024327D">
        <w:rPr>
          <w:lang w:val="uk-UA"/>
        </w:rPr>
        <w:t>ми</w:t>
      </w:r>
      <w:r w:rsidRPr="0024327D">
        <w:rPr>
          <w:lang w:val="uk-UA"/>
        </w:rPr>
        <w:t xml:space="preserve"> наслідк</w:t>
      </w:r>
      <w:r w:rsidR="00D03A58" w:rsidRPr="0024327D">
        <w:rPr>
          <w:lang w:val="uk-UA"/>
        </w:rPr>
        <w:t>ами</w:t>
      </w:r>
      <w:r w:rsidRPr="0024327D">
        <w:rPr>
          <w:lang w:val="uk-UA"/>
        </w:rPr>
        <w:t>.</w:t>
      </w:r>
    </w:p>
    <w:p w14:paraId="1B8CC08C" w14:textId="35CF19A2" w:rsidR="00C23F1F" w:rsidRPr="0024327D" w:rsidRDefault="00C23F1F" w:rsidP="00C23F1F">
      <w:pPr>
        <w:rPr>
          <w:lang w:val="uk-UA"/>
        </w:rPr>
      </w:pPr>
      <w:r w:rsidRPr="0024327D">
        <w:rPr>
          <w:lang w:val="uk-UA"/>
        </w:rPr>
        <w:lastRenderedPageBreak/>
        <w:t xml:space="preserve">Однак передача активів в рамках цієї моделі може бути менш складною, ніж у моделі </w:t>
      </w:r>
      <w:r w:rsidR="00D03A58" w:rsidRPr="0024327D">
        <w:rPr>
          <w:lang w:val="uk-UA"/>
        </w:rPr>
        <w:t>з компанією спеціального призначення</w:t>
      </w:r>
      <w:r w:rsidRPr="0024327D">
        <w:rPr>
          <w:lang w:val="uk-UA"/>
        </w:rPr>
        <w:t xml:space="preserve">, оскільки активи </w:t>
      </w:r>
      <w:r w:rsidR="00465D35" w:rsidRPr="0024327D">
        <w:rPr>
          <w:lang w:val="uk-UA"/>
        </w:rPr>
        <w:t>“передаються”</w:t>
      </w:r>
      <w:r w:rsidRPr="0024327D">
        <w:rPr>
          <w:lang w:val="uk-UA"/>
        </w:rPr>
        <w:t xml:space="preserve"> в межах однієї юридичної особи, таким чином, не відбувається перереєстрація іпотеки в </w:t>
      </w:r>
      <w:r w:rsidR="00B347ED" w:rsidRPr="0024327D">
        <w:rPr>
          <w:lang w:val="uk-UA"/>
        </w:rPr>
        <w:t xml:space="preserve">публічних </w:t>
      </w:r>
      <w:r w:rsidRPr="0024327D">
        <w:rPr>
          <w:lang w:val="uk-UA"/>
        </w:rPr>
        <w:t>реєстрах</w:t>
      </w:r>
      <w:r w:rsidR="00C15A55" w:rsidRPr="0024327D">
        <w:rPr>
          <w:lang w:val="uk-UA"/>
        </w:rPr>
        <w:t xml:space="preserve"> </w:t>
      </w:r>
      <w:r w:rsidRPr="0024327D">
        <w:rPr>
          <w:lang w:val="uk-UA"/>
        </w:rPr>
        <w:t>(</w:t>
      </w:r>
      <w:r w:rsidR="00C15A55" w:rsidRPr="0024327D">
        <w:rPr>
          <w:lang w:val="uk-UA"/>
        </w:rPr>
        <w:t xml:space="preserve">і непотрібні зміни </w:t>
      </w:r>
      <w:r w:rsidRPr="0024327D">
        <w:rPr>
          <w:lang w:val="uk-UA"/>
        </w:rPr>
        <w:t xml:space="preserve">до законів, що регулюють перереєстрацію). </w:t>
      </w:r>
    </w:p>
    <w:p w14:paraId="01C36B44" w14:textId="77777777" w:rsidR="00C23F1F" w:rsidRPr="0024327D" w:rsidRDefault="00C23F1F" w:rsidP="00C23F1F">
      <w:pPr>
        <w:keepNext/>
        <w:keepLines/>
        <w:spacing w:before="240" w:line="240" w:lineRule="auto"/>
        <w:outlineLvl w:val="2"/>
        <w:rPr>
          <w:rFonts w:eastAsiaTheme="majorEastAsia" w:cstheme="majorBidi"/>
          <w:color w:val="2E74B5" w:themeColor="accent1" w:themeShade="BF"/>
          <w:sz w:val="28"/>
          <w:szCs w:val="28"/>
          <w:lang w:val="uk-UA"/>
        </w:rPr>
      </w:pPr>
      <w:bookmarkStart w:id="220" w:name="_Toc95481035"/>
      <w:r w:rsidRPr="0024327D">
        <w:rPr>
          <w:rFonts w:eastAsiaTheme="majorEastAsia" w:cstheme="majorBidi"/>
          <w:color w:val="2E74B5" w:themeColor="accent1" w:themeShade="BF"/>
          <w:sz w:val="28"/>
          <w:szCs w:val="28"/>
          <w:lang w:val="uk-UA"/>
        </w:rPr>
        <w:t>Порівняння моделей</w:t>
      </w:r>
      <w:bookmarkEnd w:id="220"/>
      <w:r w:rsidRPr="0024327D">
        <w:rPr>
          <w:rFonts w:eastAsiaTheme="majorEastAsia" w:cstheme="majorBidi"/>
          <w:color w:val="2E74B5" w:themeColor="accent1" w:themeShade="BF"/>
          <w:sz w:val="28"/>
          <w:szCs w:val="28"/>
          <w:lang w:val="uk-UA"/>
        </w:rPr>
        <w:t xml:space="preserve"> </w:t>
      </w:r>
      <w:bookmarkStart w:id="221" w:name="_Toc527619812"/>
      <w:bookmarkStart w:id="222" w:name="_Toc527619899"/>
      <w:bookmarkStart w:id="223" w:name="_Toc527620863"/>
      <w:bookmarkEnd w:id="221"/>
      <w:bookmarkEnd w:id="222"/>
      <w:bookmarkEnd w:id="223"/>
    </w:p>
    <w:p w14:paraId="40F6D037" w14:textId="1189A6EF" w:rsidR="00C23F1F" w:rsidRPr="0024327D" w:rsidRDefault="00C23F1F" w:rsidP="00C23F1F">
      <w:pPr>
        <w:rPr>
          <w:lang w:val="uk-UA"/>
        </w:rPr>
      </w:pPr>
      <w:r w:rsidRPr="0024327D">
        <w:rPr>
          <w:lang w:val="uk-UA"/>
        </w:rPr>
        <w:t>Обидві моделі часто використовуються в інших юрисдикціях, і обидві повністю приймаються інвесторами та рейтинговими агентствами без будь-яких переваг</w:t>
      </w:r>
      <w:r w:rsidR="006C620C" w:rsidRPr="0024327D">
        <w:rPr>
          <w:lang w:val="uk-UA"/>
        </w:rPr>
        <w:t xml:space="preserve"> на користь одної чи іншої моделі</w:t>
      </w:r>
      <w:r w:rsidRPr="0024327D">
        <w:rPr>
          <w:lang w:val="uk-UA"/>
        </w:rPr>
        <w:t>.</w:t>
      </w:r>
      <w:r w:rsidR="006C620C" w:rsidRPr="0024327D">
        <w:rPr>
          <w:lang w:val="uk-UA"/>
        </w:rPr>
        <w:t xml:space="preserve"> Загалом</w:t>
      </w:r>
      <w:r w:rsidRPr="0024327D">
        <w:rPr>
          <w:lang w:val="uk-UA"/>
        </w:rPr>
        <w:t xml:space="preserve"> модель </w:t>
      </w:r>
      <w:r w:rsidR="006C620C" w:rsidRPr="0024327D">
        <w:rPr>
          <w:lang w:val="uk-UA"/>
        </w:rPr>
        <w:t xml:space="preserve">активів на </w:t>
      </w:r>
      <w:r w:rsidRPr="0024327D">
        <w:rPr>
          <w:lang w:val="uk-UA"/>
        </w:rPr>
        <w:t>баланс</w:t>
      </w:r>
      <w:r w:rsidR="006C620C" w:rsidRPr="0024327D">
        <w:rPr>
          <w:lang w:val="uk-UA"/>
        </w:rPr>
        <w:t>і</w:t>
      </w:r>
      <w:r w:rsidRPr="0024327D">
        <w:rPr>
          <w:lang w:val="uk-UA"/>
        </w:rPr>
        <w:t xml:space="preserve">, як правило, використовується в країнах із </w:t>
      </w:r>
      <w:r w:rsidR="006C620C" w:rsidRPr="0024327D">
        <w:rPr>
          <w:lang w:val="uk-UA"/>
        </w:rPr>
        <w:t xml:space="preserve">усталеним законодавством про </w:t>
      </w:r>
      <w:r w:rsidR="00FB118B" w:rsidRPr="0024327D">
        <w:rPr>
          <w:lang w:val="uk-UA"/>
        </w:rPr>
        <w:t>облігації з покриттям</w:t>
      </w:r>
      <w:r w:rsidRPr="0024327D">
        <w:rPr>
          <w:lang w:val="uk-UA"/>
        </w:rPr>
        <w:t>, тоді як модель компанії спеціального призначення</w:t>
      </w:r>
      <w:r w:rsidR="006C620C" w:rsidRPr="0024327D">
        <w:rPr>
          <w:lang w:val="uk-UA"/>
        </w:rPr>
        <w:t xml:space="preserve"> </w:t>
      </w:r>
      <w:r w:rsidR="007E59F0" w:rsidRPr="0024327D">
        <w:rPr>
          <w:lang w:val="uk-UA"/>
        </w:rPr>
        <w:t xml:space="preserve">виявлялася більш оптимальною </w:t>
      </w:r>
      <w:r w:rsidRPr="0024327D">
        <w:rPr>
          <w:lang w:val="uk-UA"/>
        </w:rPr>
        <w:t xml:space="preserve">для нових юрисдикцій. </w:t>
      </w:r>
    </w:p>
    <w:p w14:paraId="579EB6E2" w14:textId="014E0D06" w:rsidR="00C23F1F" w:rsidRPr="0024327D" w:rsidRDefault="00C23F1F" w:rsidP="00C23F1F">
      <w:pPr>
        <w:rPr>
          <w:lang w:val="uk-UA"/>
        </w:rPr>
      </w:pPr>
      <w:r w:rsidRPr="0024327D">
        <w:rPr>
          <w:lang w:val="uk-UA"/>
        </w:rPr>
        <w:t>При правильн</w:t>
      </w:r>
      <w:r w:rsidR="007E59F0" w:rsidRPr="0024327D">
        <w:rPr>
          <w:lang w:val="uk-UA"/>
        </w:rPr>
        <w:t>ому</w:t>
      </w:r>
      <w:r w:rsidRPr="0024327D">
        <w:rPr>
          <w:lang w:val="uk-UA"/>
        </w:rPr>
        <w:t xml:space="preserve"> структур</w:t>
      </w:r>
      <w:r w:rsidR="007E59F0" w:rsidRPr="0024327D">
        <w:rPr>
          <w:lang w:val="uk-UA"/>
        </w:rPr>
        <w:t xml:space="preserve">уванні, вибір тієї чи іншої моделі </w:t>
      </w:r>
      <w:r w:rsidR="003103DF" w:rsidRPr="0024327D">
        <w:rPr>
          <w:lang w:val="uk-UA"/>
        </w:rPr>
        <w:t>не призводить до виникнення суттєвих насл</w:t>
      </w:r>
      <w:r w:rsidR="00E93042" w:rsidRPr="0024327D">
        <w:rPr>
          <w:lang w:val="uk-UA"/>
        </w:rPr>
        <w:t>і</w:t>
      </w:r>
      <w:r w:rsidR="003103DF" w:rsidRPr="0024327D">
        <w:rPr>
          <w:lang w:val="uk-UA"/>
        </w:rPr>
        <w:t xml:space="preserve">дків для </w:t>
      </w:r>
      <w:r w:rsidR="00643B4F" w:rsidRPr="0024327D">
        <w:rPr>
          <w:lang w:val="uk-UA"/>
        </w:rPr>
        <w:t>е</w:t>
      </w:r>
      <w:r w:rsidR="003103DF" w:rsidRPr="0024327D">
        <w:rPr>
          <w:lang w:val="uk-UA"/>
        </w:rPr>
        <w:t xml:space="preserve">мітента з точки зору витрат, регуляторних наслідків або </w:t>
      </w:r>
      <w:r w:rsidR="00E93042" w:rsidRPr="0024327D">
        <w:rPr>
          <w:lang w:val="uk-UA"/>
        </w:rPr>
        <w:t xml:space="preserve">впливу на його </w:t>
      </w:r>
      <w:r w:rsidR="003103DF" w:rsidRPr="0024327D">
        <w:rPr>
          <w:lang w:val="uk-UA"/>
        </w:rPr>
        <w:t>діяльн</w:t>
      </w:r>
      <w:r w:rsidR="00E93042" w:rsidRPr="0024327D">
        <w:rPr>
          <w:lang w:val="uk-UA"/>
        </w:rPr>
        <w:t>і</w:t>
      </w:r>
      <w:r w:rsidR="003103DF" w:rsidRPr="0024327D">
        <w:rPr>
          <w:lang w:val="uk-UA"/>
        </w:rPr>
        <w:t>ст</w:t>
      </w:r>
      <w:r w:rsidR="00E93042" w:rsidRPr="0024327D">
        <w:rPr>
          <w:lang w:val="uk-UA"/>
        </w:rPr>
        <w:t>ь</w:t>
      </w:r>
      <w:r w:rsidR="003103DF" w:rsidRPr="0024327D">
        <w:rPr>
          <w:lang w:val="uk-UA"/>
        </w:rPr>
        <w:t>.</w:t>
      </w:r>
    </w:p>
    <w:p w14:paraId="7EDAD1F7" w14:textId="2BEA06BA" w:rsidR="00C23F1F" w:rsidRPr="0024327D" w:rsidRDefault="00D723A3" w:rsidP="00C23F1F">
      <w:pPr>
        <w:rPr>
          <w:lang w:val="uk-UA"/>
        </w:rPr>
      </w:pPr>
      <w:r w:rsidRPr="0024327D">
        <w:rPr>
          <w:lang w:val="uk-UA"/>
        </w:rPr>
        <w:t>В Україні пропонується</w:t>
      </w:r>
      <w:r w:rsidR="00C23F1F" w:rsidRPr="0024327D">
        <w:rPr>
          <w:lang w:val="uk-UA"/>
        </w:rPr>
        <w:t xml:space="preserve"> обрати модель </w:t>
      </w:r>
      <w:r w:rsidR="00285089" w:rsidRPr="0024327D">
        <w:rPr>
          <w:lang w:val="uk-UA"/>
        </w:rPr>
        <w:t xml:space="preserve">здійснення емісії облігацій з покриттям із залученням  </w:t>
      </w:r>
      <w:r w:rsidR="00C23F1F" w:rsidRPr="0024327D">
        <w:rPr>
          <w:lang w:val="uk-UA"/>
        </w:rPr>
        <w:t xml:space="preserve">компанії спеціального призначення з таких причин: </w:t>
      </w:r>
    </w:p>
    <w:p w14:paraId="2BB5F714" w14:textId="53F1960E" w:rsidR="00C23F1F" w:rsidRPr="0024327D" w:rsidRDefault="00C23F1F" w:rsidP="00C23F1F">
      <w:pPr>
        <w:numPr>
          <w:ilvl w:val="0"/>
          <w:numId w:val="10"/>
        </w:numPr>
        <w:contextualSpacing/>
        <w:rPr>
          <w:lang w:val="uk-UA"/>
        </w:rPr>
      </w:pPr>
      <w:r w:rsidRPr="0024327D">
        <w:rPr>
          <w:lang w:val="uk-UA"/>
        </w:rPr>
        <w:t xml:space="preserve">Більша юридична визначеність. Модель компанії спеціального призначення використовує існуючі юридичні </w:t>
      </w:r>
      <w:r w:rsidR="00E93042" w:rsidRPr="0024327D">
        <w:rPr>
          <w:lang w:val="uk-UA"/>
        </w:rPr>
        <w:t xml:space="preserve">механізми </w:t>
      </w:r>
      <w:r w:rsidRPr="0024327D">
        <w:rPr>
          <w:lang w:val="uk-UA"/>
        </w:rPr>
        <w:t xml:space="preserve">для сегрегації активів. </w:t>
      </w:r>
      <w:r w:rsidR="00E93042" w:rsidRPr="0024327D">
        <w:rPr>
          <w:lang w:val="uk-UA"/>
        </w:rPr>
        <w:t>Для м</w:t>
      </w:r>
      <w:r w:rsidRPr="0024327D">
        <w:rPr>
          <w:lang w:val="uk-UA"/>
        </w:rPr>
        <w:t>одел</w:t>
      </w:r>
      <w:r w:rsidR="00E93042" w:rsidRPr="0024327D">
        <w:rPr>
          <w:lang w:val="uk-UA"/>
        </w:rPr>
        <w:t>і</w:t>
      </w:r>
      <w:r w:rsidRPr="0024327D">
        <w:rPr>
          <w:lang w:val="uk-UA"/>
        </w:rPr>
        <w:t xml:space="preserve"> </w:t>
      </w:r>
      <w:r w:rsidR="00E93042" w:rsidRPr="0024327D">
        <w:rPr>
          <w:lang w:val="uk-UA"/>
        </w:rPr>
        <w:t xml:space="preserve">активів на балансі </w:t>
      </w:r>
      <w:r w:rsidRPr="0024327D">
        <w:rPr>
          <w:lang w:val="uk-UA"/>
        </w:rPr>
        <w:t>мала б</w:t>
      </w:r>
      <w:r w:rsidR="00E93042" w:rsidRPr="0024327D">
        <w:rPr>
          <w:lang w:val="uk-UA"/>
        </w:rPr>
        <w:t xml:space="preserve"> бути</w:t>
      </w:r>
      <w:r w:rsidRPr="0024327D">
        <w:rPr>
          <w:lang w:val="uk-UA"/>
        </w:rPr>
        <w:t xml:space="preserve"> </w:t>
      </w:r>
      <w:r w:rsidR="00E93042" w:rsidRPr="0024327D">
        <w:rPr>
          <w:lang w:val="uk-UA"/>
        </w:rPr>
        <w:t xml:space="preserve">розроблені </w:t>
      </w:r>
      <w:r w:rsidRPr="0024327D">
        <w:rPr>
          <w:lang w:val="uk-UA"/>
        </w:rPr>
        <w:t>нові юридичні</w:t>
      </w:r>
      <w:r w:rsidR="00E93042" w:rsidRPr="0024327D">
        <w:rPr>
          <w:lang w:val="uk-UA"/>
        </w:rPr>
        <w:t xml:space="preserve"> механізми</w:t>
      </w:r>
      <w:r w:rsidRPr="0024327D">
        <w:rPr>
          <w:lang w:val="uk-UA"/>
        </w:rPr>
        <w:t>, ми виділили такі проблемні сфери:</w:t>
      </w:r>
    </w:p>
    <w:p w14:paraId="7ED487F6" w14:textId="57E56F86" w:rsidR="00C23F1F" w:rsidRPr="0024327D" w:rsidRDefault="002A08F5" w:rsidP="00C23F1F">
      <w:pPr>
        <w:numPr>
          <w:ilvl w:val="1"/>
          <w:numId w:val="10"/>
        </w:numPr>
        <w:spacing w:before="240" w:after="0" w:line="240" w:lineRule="auto"/>
        <w:rPr>
          <w:rFonts w:eastAsia="Times New Roman"/>
          <w:b/>
          <w:bCs/>
          <w:lang w:val="uk-UA"/>
        </w:rPr>
      </w:pPr>
      <w:r w:rsidRPr="0024327D">
        <w:rPr>
          <w:rFonts w:eastAsia="Times New Roman"/>
          <w:b/>
          <w:bCs/>
          <w:lang w:val="uk-UA"/>
        </w:rPr>
        <w:t xml:space="preserve">Відокремлення </w:t>
      </w:r>
      <w:r w:rsidR="00C23F1F" w:rsidRPr="0024327D">
        <w:rPr>
          <w:rFonts w:eastAsia="Times New Roman"/>
          <w:b/>
          <w:bCs/>
          <w:lang w:val="uk-UA"/>
        </w:rPr>
        <w:t xml:space="preserve">активів </w:t>
      </w:r>
      <w:r w:rsidRPr="0024327D">
        <w:rPr>
          <w:rFonts w:eastAsia="Times New Roman"/>
          <w:b/>
          <w:bCs/>
          <w:lang w:val="uk-UA"/>
        </w:rPr>
        <w:t>на</w:t>
      </w:r>
      <w:r w:rsidR="00C23F1F" w:rsidRPr="0024327D">
        <w:rPr>
          <w:rFonts w:eastAsia="Times New Roman"/>
          <w:b/>
          <w:bCs/>
          <w:lang w:val="uk-UA"/>
        </w:rPr>
        <w:t xml:space="preserve"> балансі</w:t>
      </w:r>
    </w:p>
    <w:p w14:paraId="3A70F66F" w14:textId="6517323E" w:rsidR="00C23F1F" w:rsidRPr="0024327D" w:rsidRDefault="00C23F1F" w:rsidP="00C23F1F">
      <w:pPr>
        <w:spacing w:before="60" w:after="60"/>
        <w:ind w:left="1440"/>
        <w:rPr>
          <w:lang w:val="uk-UA"/>
        </w:rPr>
      </w:pPr>
      <w:r w:rsidRPr="0024327D">
        <w:rPr>
          <w:lang w:val="uk-UA"/>
        </w:rPr>
        <w:t xml:space="preserve">Юридична визначеність </w:t>
      </w:r>
      <w:r w:rsidR="002A08F5" w:rsidRPr="0024327D">
        <w:rPr>
          <w:lang w:val="uk-UA"/>
        </w:rPr>
        <w:t xml:space="preserve">щодо права </w:t>
      </w:r>
      <w:r w:rsidRPr="0024327D">
        <w:rPr>
          <w:lang w:val="uk-UA"/>
        </w:rPr>
        <w:t>вимог</w:t>
      </w:r>
      <w:r w:rsidR="002A08F5" w:rsidRPr="0024327D">
        <w:rPr>
          <w:lang w:val="uk-UA"/>
        </w:rPr>
        <w:t>и</w:t>
      </w:r>
      <w:r w:rsidRPr="0024327D">
        <w:rPr>
          <w:lang w:val="uk-UA"/>
        </w:rPr>
        <w:t xml:space="preserve"> кредиторів є важливою для </w:t>
      </w:r>
      <w:r w:rsidR="002A08F5" w:rsidRPr="0024327D">
        <w:rPr>
          <w:lang w:val="uk-UA"/>
        </w:rPr>
        <w:t xml:space="preserve">того, щоб </w:t>
      </w:r>
      <w:r w:rsidRPr="0024327D">
        <w:rPr>
          <w:lang w:val="uk-UA"/>
        </w:rPr>
        <w:t>облігаці</w:t>
      </w:r>
      <w:r w:rsidR="002A08F5" w:rsidRPr="0024327D">
        <w:rPr>
          <w:lang w:val="uk-UA"/>
        </w:rPr>
        <w:t>ї були достатньо привабливими для інвесторів</w:t>
      </w:r>
      <w:r w:rsidRPr="0024327D">
        <w:rPr>
          <w:lang w:val="uk-UA"/>
        </w:rPr>
        <w:t xml:space="preserve">. На практиці структури </w:t>
      </w:r>
      <w:r w:rsidR="002A08F5" w:rsidRPr="0024327D">
        <w:rPr>
          <w:lang w:val="uk-UA"/>
        </w:rPr>
        <w:t xml:space="preserve">активів на балансі </w:t>
      </w:r>
      <w:r w:rsidRPr="0024327D">
        <w:rPr>
          <w:lang w:val="uk-UA"/>
        </w:rPr>
        <w:t xml:space="preserve">часто </w:t>
      </w:r>
      <w:r w:rsidR="002A08F5" w:rsidRPr="0024327D">
        <w:rPr>
          <w:lang w:val="uk-UA"/>
        </w:rPr>
        <w:t xml:space="preserve">стикаються з </w:t>
      </w:r>
      <w:r w:rsidRPr="0024327D">
        <w:rPr>
          <w:lang w:val="uk-UA"/>
        </w:rPr>
        <w:t>проблем</w:t>
      </w:r>
      <w:r w:rsidR="002A08F5" w:rsidRPr="0024327D">
        <w:rPr>
          <w:lang w:val="uk-UA"/>
        </w:rPr>
        <w:t>ою</w:t>
      </w:r>
      <w:r w:rsidRPr="0024327D">
        <w:rPr>
          <w:lang w:val="uk-UA"/>
        </w:rPr>
        <w:t xml:space="preserve"> </w:t>
      </w:r>
      <w:r w:rsidR="002A08F5" w:rsidRPr="0024327D">
        <w:rPr>
          <w:lang w:val="uk-UA"/>
        </w:rPr>
        <w:t xml:space="preserve">недостатнього відокремлення </w:t>
      </w:r>
      <w:r w:rsidRPr="0024327D">
        <w:rPr>
          <w:lang w:val="uk-UA"/>
        </w:rPr>
        <w:t xml:space="preserve">активів. Як правило, це не є </w:t>
      </w:r>
      <w:r w:rsidR="002A08F5" w:rsidRPr="0024327D">
        <w:rPr>
          <w:lang w:val="uk-UA"/>
        </w:rPr>
        <w:t xml:space="preserve">суттєвим </w:t>
      </w:r>
      <w:r w:rsidRPr="0024327D">
        <w:rPr>
          <w:lang w:val="uk-UA"/>
        </w:rPr>
        <w:t>питанням для країн з усталеними правовими традиціями моделей</w:t>
      </w:r>
      <w:r w:rsidR="002A08F5" w:rsidRPr="0024327D">
        <w:rPr>
          <w:lang w:val="uk-UA"/>
        </w:rPr>
        <w:t xml:space="preserve"> активів на балансі</w:t>
      </w:r>
      <w:r w:rsidRPr="0024327D">
        <w:rPr>
          <w:lang w:val="uk-UA"/>
        </w:rPr>
        <w:t xml:space="preserve">, де всі залучені особи розуміють суть моделі. Однак для країн, які лише розвивають свої традиції у сфері </w:t>
      </w:r>
      <w:r w:rsidR="00645A85" w:rsidRPr="0024327D">
        <w:rPr>
          <w:lang w:val="uk-UA"/>
        </w:rPr>
        <w:t>облігацій з покриттям</w:t>
      </w:r>
      <w:r w:rsidRPr="0024327D">
        <w:rPr>
          <w:lang w:val="uk-UA"/>
        </w:rPr>
        <w:t>, компанія спеціального призначення є більш безпечним варіантом. Це також простіший варіант, оскільки модель</w:t>
      </w:r>
      <w:r w:rsidR="002A08F5" w:rsidRPr="0024327D">
        <w:rPr>
          <w:lang w:val="uk-UA"/>
        </w:rPr>
        <w:t xml:space="preserve"> активів на</w:t>
      </w:r>
      <w:r w:rsidRPr="0024327D">
        <w:rPr>
          <w:lang w:val="uk-UA"/>
        </w:rPr>
        <w:t xml:space="preserve"> баланс</w:t>
      </w:r>
      <w:r w:rsidR="002A08F5" w:rsidRPr="0024327D">
        <w:rPr>
          <w:lang w:val="uk-UA"/>
        </w:rPr>
        <w:t>і</w:t>
      </w:r>
      <w:r w:rsidRPr="0024327D">
        <w:rPr>
          <w:lang w:val="uk-UA"/>
        </w:rPr>
        <w:t xml:space="preserve">, як правило, вимагає </w:t>
      </w:r>
      <w:r w:rsidR="002A08F5" w:rsidRPr="0024327D">
        <w:rPr>
          <w:lang w:val="uk-UA"/>
        </w:rPr>
        <w:t xml:space="preserve">значних </w:t>
      </w:r>
      <w:r w:rsidRPr="0024327D">
        <w:rPr>
          <w:lang w:val="uk-UA"/>
        </w:rPr>
        <w:t xml:space="preserve">та обтяжливих поправок до </w:t>
      </w:r>
      <w:r w:rsidR="00285089" w:rsidRPr="0024327D">
        <w:rPr>
          <w:lang w:val="uk-UA"/>
        </w:rPr>
        <w:t xml:space="preserve">законодавства стосовно </w:t>
      </w:r>
      <w:r w:rsidRPr="0024327D">
        <w:rPr>
          <w:lang w:val="uk-UA"/>
        </w:rPr>
        <w:t xml:space="preserve">режиму неплатоспроможності, які можуть бути важкі для розуміння </w:t>
      </w:r>
      <w:r w:rsidR="009B41E8" w:rsidRPr="0024327D">
        <w:rPr>
          <w:lang w:val="uk-UA"/>
        </w:rPr>
        <w:t>законодавців</w:t>
      </w:r>
      <w:r w:rsidRPr="0024327D">
        <w:rPr>
          <w:lang w:val="uk-UA"/>
        </w:rPr>
        <w:t>.</w:t>
      </w:r>
    </w:p>
    <w:p w14:paraId="1AAAC2CA" w14:textId="5592C700" w:rsidR="00C23F1F" w:rsidRPr="0024327D" w:rsidRDefault="00C23F1F" w:rsidP="00C23F1F">
      <w:pPr>
        <w:spacing w:before="60" w:after="60"/>
        <w:ind w:left="1440"/>
        <w:rPr>
          <w:lang w:val="uk-UA"/>
        </w:rPr>
      </w:pPr>
      <w:r w:rsidRPr="0024327D">
        <w:rPr>
          <w:lang w:val="uk-UA"/>
        </w:rPr>
        <w:t xml:space="preserve">Цікаво, що український правовий режим звичайних іпотечних облігацій (подібний до </w:t>
      </w:r>
      <w:r w:rsidR="00645A85" w:rsidRPr="0024327D">
        <w:rPr>
          <w:lang w:val="uk-UA"/>
        </w:rPr>
        <w:t>облігацій з покриттям</w:t>
      </w:r>
      <w:r w:rsidRPr="0024327D">
        <w:rPr>
          <w:lang w:val="uk-UA"/>
        </w:rPr>
        <w:t xml:space="preserve">, про які йдеться у даному документі), передбачає модель </w:t>
      </w:r>
      <w:r w:rsidR="00133DBE" w:rsidRPr="0024327D">
        <w:rPr>
          <w:lang w:val="uk-UA"/>
        </w:rPr>
        <w:t xml:space="preserve">активів на </w:t>
      </w:r>
      <w:r w:rsidRPr="0024327D">
        <w:rPr>
          <w:lang w:val="uk-UA"/>
        </w:rPr>
        <w:t>баланс</w:t>
      </w:r>
      <w:r w:rsidR="00133DBE" w:rsidRPr="0024327D">
        <w:rPr>
          <w:lang w:val="uk-UA"/>
        </w:rPr>
        <w:t>і</w:t>
      </w:r>
      <w:r w:rsidRPr="0024327D">
        <w:rPr>
          <w:lang w:val="uk-UA"/>
        </w:rPr>
        <w:t>. Водночас, Закон про іпотечні облігації не передбача</w:t>
      </w:r>
      <w:r w:rsidR="00133DBE" w:rsidRPr="0024327D">
        <w:rPr>
          <w:lang w:val="uk-UA"/>
        </w:rPr>
        <w:t>є</w:t>
      </w:r>
      <w:r w:rsidRPr="0024327D">
        <w:rPr>
          <w:lang w:val="uk-UA"/>
        </w:rPr>
        <w:t xml:space="preserve"> норм щодо достатнього </w:t>
      </w:r>
      <w:r w:rsidR="00133DBE" w:rsidRPr="0024327D">
        <w:rPr>
          <w:lang w:val="uk-UA"/>
        </w:rPr>
        <w:t xml:space="preserve">відокремлення </w:t>
      </w:r>
      <w:r w:rsidRPr="0024327D">
        <w:rPr>
          <w:lang w:val="uk-UA"/>
        </w:rPr>
        <w:t xml:space="preserve">активів. Відповідно до Закону про іпотечні облігації, такі правила обмежуються вимогою про те, що </w:t>
      </w:r>
      <w:r w:rsidR="00F35C43" w:rsidRPr="0024327D">
        <w:rPr>
          <w:lang w:val="uk-UA"/>
        </w:rPr>
        <w:t xml:space="preserve">іпотечне покриття та операції з ним обліковуються емітентом відокремлено у порядку, встановленому </w:t>
      </w:r>
      <w:r w:rsidR="00256547" w:rsidRPr="0024327D">
        <w:rPr>
          <w:lang w:val="uk-UA"/>
        </w:rPr>
        <w:t>НКЦПФР</w:t>
      </w:r>
      <w:r w:rsidRPr="0024327D">
        <w:rPr>
          <w:lang w:val="uk-UA"/>
        </w:rPr>
        <w:t xml:space="preserve">. Відсутність правил щодо достатнього </w:t>
      </w:r>
      <w:r w:rsidR="0052781A" w:rsidRPr="0024327D">
        <w:rPr>
          <w:lang w:val="uk-UA"/>
        </w:rPr>
        <w:t xml:space="preserve">відокремлення </w:t>
      </w:r>
      <w:r w:rsidRPr="0024327D">
        <w:rPr>
          <w:lang w:val="uk-UA"/>
        </w:rPr>
        <w:t xml:space="preserve">активів перешкоджає тому, щоб звичайні іпотечні облігації були такими ж безпечними, як і </w:t>
      </w:r>
      <w:r w:rsidR="00FB118B" w:rsidRPr="0024327D">
        <w:rPr>
          <w:lang w:val="uk-UA"/>
        </w:rPr>
        <w:t>облігації з покриттям</w:t>
      </w:r>
      <w:r w:rsidRPr="0024327D">
        <w:rPr>
          <w:lang w:val="uk-UA"/>
        </w:rPr>
        <w:t xml:space="preserve"> в європейських юрисдикціях. </w:t>
      </w:r>
      <w:r w:rsidR="00F35C43" w:rsidRPr="0024327D">
        <w:rPr>
          <w:lang w:val="uk-UA"/>
        </w:rPr>
        <w:t>Т</w:t>
      </w:r>
      <w:r w:rsidRPr="0024327D">
        <w:rPr>
          <w:lang w:val="uk-UA"/>
        </w:rPr>
        <w:t xml:space="preserve">акож </w:t>
      </w:r>
      <w:r w:rsidR="00F35C43" w:rsidRPr="0024327D">
        <w:rPr>
          <w:lang w:val="uk-UA"/>
        </w:rPr>
        <w:t xml:space="preserve"> відсутні</w:t>
      </w:r>
      <w:r w:rsidRPr="0024327D">
        <w:rPr>
          <w:lang w:val="uk-UA"/>
        </w:rPr>
        <w:t xml:space="preserve"> </w:t>
      </w:r>
      <w:r w:rsidR="00F35C43" w:rsidRPr="0024327D">
        <w:rPr>
          <w:lang w:val="uk-UA"/>
        </w:rPr>
        <w:t xml:space="preserve">випадки </w:t>
      </w:r>
      <w:r w:rsidRPr="0024327D">
        <w:rPr>
          <w:lang w:val="uk-UA"/>
        </w:rPr>
        <w:t xml:space="preserve">провадження у справі про неплатоспроможність емітентів звичайних іпотечних облігацій в Україні </w:t>
      </w:r>
      <w:r w:rsidR="00F35C43" w:rsidRPr="0024327D">
        <w:rPr>
          <w:lang w:val="uk-UA"/>
        </w:rPr>
        <w:t xml:space="preserve">з огляду на малу кількість випусків таких облігацій </w:t>
      </w:r>
      <w:r w:rsidRPr="0024327D">
        <w:rPr>
          <w:lang w:val="uk-UA"/>
        </w:rPr>
        <w:t xml:space="preserve">- отже, </w:t>
      </w:r>
      <w:r w:rsidR="00F35C43" w:rsidRPr="0024327D">
        <w:rPr>
          <w:lang w:val="uk-UA"/>
        </w:rPr>
        <w:t xml:space="preserve">дієвість </w:t>
      </w:r>
      <w:r w:rsidRPr="0024327D">
        <w:rPr>
          <w:lang w:val="uk-UA"/>
        </w:rPr>
        <w:t>вищезазначен</w:t>
      </w:r>
      <w:r w:rsidR="00F35C43" w:rsidRPr="0024327D">
        <w:rPr>
          <w:lang w:val="uk-UA"/>
        </w:rPr>
        <w:t>их</w:t>
      </w:r>
      <w:r w:rsidRPr="0024327D">
        <w:rPr>
          <w:lang w:val="uk-UA"/>
        </w:rPr>
        <w:t xml:space="preserve"> правил щодо </w:t>
      </w:r>
      <w:r w:rsidR="0052781A" w:rsidRPr="0024327D">
        <w:rPr>
          <w:lang w:val="uk-UA"/>
        </w:rPr>
        <w:t xml:space="preserve">відокремлення активів </w:t>
      </w:r>
      <w:r w:rsidRPr="0024327D">
        <w:rPr>
          <w:lang w:val="uk-UA"/>
        </w:rPr>
        <w:t>взагалі не перевірен</w:t>
      </w:r>
      <w:r w:rsidR="00F35C43" w:rsidRPr="0024327D">
        <w:rPr>
          <w:lang w:val="uk-UA"/>
        </w:rPr>
        <w:t>а</w:t>
      </w:r>
      <w:r w:rsidR="0052781A" w:rsidRPr="0024327D">
        <w:rPr>
          <w:lang w:val="uk-UA"/>
        </w:rPr>
        <w:t xml:space="preserve"> на практиці</w:t>
      </w:r>
      <w:r w:rsidRPr="0024327D">
        <w:rPr>
          <w:lang w:val="uk-UA"/>
        </w:rPr>
        <w:t xml:space="preserve">. </w:t>
      </w:r>
    </w:p>
    <w:p w14:paraId="23FF7748" w14:textId="64DF011C" w:rsidR="00C23F1F" w:rsidRPr="0024327D" w:rsidRDefault="00C23F1F" w:rsidP="00C23F1F">
      <w:pPr>
        <w:spacing w:before="60" w:after="60"/>
        <w:ind w:left="1440"/>
        <w:rPr>
          <w:lang w:val="uk-UA"/>
        </w:rPr>
      </w:pPr>
      <w:r w:rsidRPr="0024327D">
        <w:rPr>
          <w:lang w:val="uk-UA"/>
        </w:rPr>
        <w:t xml:space="preserve">З 2014 року понад 60 українських банків були визнані неплатоспроможними, і широко повідомлялося, що активи багатьох таких банків були незаконно вилучені або передані власниками та/або інсайдерами за різними схемами, або існували інші проблеми з такими активами, зокрема, навмисне знищення інформації, пов’язаної з активами, тощо. В середовищі, де подібні проблеми не рідкісні, передача активів компанії спеціального призначення відповідно до моделі </w:t>
      </w:r>
      <w:r w:rsidR="007F7882" w:rsidRPr="0024327D">
        <w:rPr>
          <w:lang w:val="uk-UA"/>
        </w:rPr>
        <w:t xml:space="preserve">з залученням </w:t>
      </w:r>
      <w:r w:rsidRPr="0024327D">
        <w:rPr>
          <w:lang w:val="uk-UA"/>
        </w:rPr>
        <w:t xml:space="preserve">компанії </w:t>
      </w:r>
      <w:r w:rsidRPr="0024327D">
        <w:rPr>
          <w:lang w:val="uk-UA"/>
        </w:rPr>
        <w:lastRenderedPageBreak/>
        <w:t>спеціального призначення може сприяти поступовому усуненню шахрайських та інших протиправних дій порівняно з виділенням активів на балансі українського банку.</w:t>
      </w:r>
    </w:p>
    <w:p w14:paraId="1A8FCBF7" w14:textId="10007110" w:rsidR="00C23F1F" w:rsidRPr="0024327D" w:rsidRDefault="00C23F1F" w:rsidP="00C23F1F">
      <w:pPr>
        <w:keepNext/>
        <w:keepLines/>
        <w:numPr>
          <w:ilvl w:val="1"/>
          <w:numId w:val="10"/>
        </w:numPr>
        <w:spacing w:before="240" w:after="0" w:line="240" w:lineRule="auto"/>
        <w:ind w:left="1434" w:hanging="357"/>
        <w:rPr>
          <w:rFonts w:eastAsia="Times New Roman"/>
          <w:b/>
          <w:bCs/>
          <w:lang w:val="uk-UA"/>
        </w:rPr>
      </w:pPr>
      <w:r w:rsidRPr="0024327D">
        <w:rPr>
          <w:rFonts w:eastAsia="Times New Roman"/>
          <w:lang w:val="uk-UA"/>
        </w:rPr>
        <w:t xml:space="preserve"> </w:t>
      </w:r>
      <w:r w:rsidRPr="0024327D">
        <w:rPr>
          <w:rFonts w:eastAsia="Times New Roman"/>
          <w:b/>
          <w:bCs/>
          <w:lang w:val="uk-UA"/>
        </w:rPr>
        <w:t xml:space="preserve">Трансакції з самим собою </w:t>
      </w:r>
    </w:p>
    <w:p w14:paraId="19908F29" w14:textId="66C026BA" w:rsidR="00C23F1F" w:rsidRPr="0024327D" w:rsidRDefault="00C23F1F" w:rsidP="00C23F1F">
      <w:pPr>
        <w:spacing w:before="60" w:after="60"/>
        <w:ind w:left="1440"/>
        <w:rPr>
          <w:rFonts w:eastAsia="Times New Roman"/>
          <w:b/>
          <w:bCs/>
          <w:lang w:val="uk-UA"/>
        </w:rPr>
      </w:pPr>
      <w:r w:rsidRPr="0024327D">
        <w:rPr>
          <w:rFonts w:eastAsia="Times New Roman"/>
          <w:lang w:val="uk-UA"/>
        </w:rPr>
        <w:t xml:space="preserve">Для пулу </w:t>
      </w:r>
      <w:r w:rsidR="00130CEE" w:rsidRPr="0024327D">
        <w:rPr>
          <w:rFonts w:eastAsia="Times New Roman"/>
          <w:lang w:val="uk-UA"/>
        </w:rPr>
        <w:t xml:space="preserve">покриття </w:t>
      </w:r>
      <w:r w:rsidRPr="0024327D">
        <w:rPr>
          <w:rFonts w:eastAsia="Times New Roman"/>
          <w:lang w:val="uk-UA"/>
        </w:rPr>
        <w:t>необхідні дериватив</w:t>
      </w:r>
      <w:r w:rsidR="00130CEE" w:rsidRPr="0024327D">
        <w:rPr>
          <w:rFonts w:eastAsia="Times New Roman"/>
          <w:lang w:val="uk-UA"/>
        </w:rPr>
        <w:t xml:space="preserve">ні </w:t>
      </w:r>
      <w:r w:rsidR="009B1A8C" w:rsidRPr="0024327D">
        <w:rPr>
          <w:rFonts w:eastAsia="Times New Roman"/>
          <w:lang w:val="uk-UA"/>
        </w:rPr>
        <w:t xml:space="preserve"> фінансові інструменти</w:t>
      </w:r>
      <w:r w:rsidRPr="0024327D">
        <w:rPr>
          <w:rFonts w:eastAsia="Times New Roman"/>
          <w:lang w:val="uk-UA"/>
        </w:rPr>
        <w:t xml:space="preserve">, наприклад, для </w:t>
      </w:r>
      <w:r w:rsidR="007F7882" w:rsidRPr="0024327D">
        <w:rPr>
          <w:rFonts w:eastAsia="Times New Roman"/>
          <w:lang w:val="uk-UA"/>
        </w:rPr>
        <w:t xml:space="preserve">хеджування </w:t>
      </w:r>
      <w:r w:rsidR="000743FE" w:rsidRPr="0024327D">
        <w:rPr>
          <w:rFonts w:eastAsia="Times New Roman"/>
          <w:lang w:val="uk-UA"/>
        </w:rPr>
        <w:t xml:space="preserve">валютних ризиків та </w:t>
      </w:r>
      <w:r w:rsidRPr="0024327D">
        <w:rPr>
          <w:rFonts w:eastAsia="Times New Roman"/>
          <w:lang w:val="uk-UA"/>
        </w:rPr>
        <w:t>ризик</w:t>
      </w:r>
      <w:r w:rsidR="007F7882" w:rsidRPr="0024327D">
        <w:rPr>
          <w:rFonts w:eastAsia="Times New Roman"/>
          <w:lang w:val="uk-UA"/>
        </w:rPr>
        <w:t>ів, пов’язаних з</w:t>
      </w:r>
      <w:r w:rsidR="00373F95" w:rsidRPr="0024327D">
        <w:rPr>
          <w:rFonts w:eastAsia="Times New Roman"/>
          <w:lang w:val="uk-UA"/>
        </w:rPr>
        <w:t xml:space="preserve"> </w:t>
      </w:r>
      <w:r w:rsidR="00D238A4" w:rsidRPr="0024327D">
        <w:rPr>
          <w:rFonts w:eastAsia="Times New Roman"/>
          <w:lang w:val="uk-UA"/>
        </w:rPr>
        <w:t xml:space="preserve">відсотковими </w:t>
      </w:r>
      <w:r w:rsidRPr="0024327D">
        <w:rPr>
          <w:rFonts w:eastAsia="Times New Roman"/>
          <w:lang w:val="uk-UA"/>
        </w:rPr>
        <w:t>став</w:t>
      </w:r>
      <w:r w:rsidR="007F7882" w:rsidRPr="0024327D">
        <w:rPr>
          <w:rFonts w:eastAsia="Times New Roman"/>
          <w:lang w:val="uk-UA"/>
        </w:rPr>
        <w:t>ками</w:t>
      </w:r>
      <w:r w:rsidR="007C7422" w:rsidRPr="0024327D">
        <w:rPr>
          <w:rFonts w:eastAsia="Times New Roman"/>
          <w:lang w:val="uk-UA"/>
        </w:rPr>
        <w:t xml:space="preserve">. Наприклад, облігації можуть бути випущені у твердій валюті, </w:t>
      </w:r>
      <w:r w:rsidR="008E2024" w:rsidRPr="0024327D">
        <w:rPr>
          <w:rFonts w:eastAsia="Times New Roman"/>
          <w:lang w:val="uk-UA"/>
        </w:rPr>
        <w:t>у той час</w:t>
      </w:r>
      <w:r w:rsidR="007C7422" w:rsidRPr="0024327D">
        <w:rPr>
          <w:rFonts w:eastAsia="Times New Roman"/>
          <w:lang w:val="uk-UA"/>
        </w:rPr>
        <w:t xml:space="preserve"> як іпотеки будуть номіновані в гривні, і необхідно буде хеджувати пов’язані валютні ризики.</w:t>
      </w:r>
      <w:r w:rsidRPr="0024327D">
        <w:rPr>
          <w:rFonts w:eastAsia="Times New Roman"/>
          <w:lang w:val="uk-UA"/>
        </w:rPr>
        <w:t xml:space="preserve"> </w:t>
      </w:r>
      <w:r w:rsidR="00BE74B4" w:rsidRPr="0024327D">
        <w:rPr>
          <w:rFonts w:eastAsia="Times New Roman"/>
          <w:lang w:val="uk-UA"/>
        </w:rPr>
        <w:t xml:space="preserve">Крім того, </w:t>
      </w:r>
      <w:r w:rsidRPr="0024327D">
        <w:rPr>
          <w:rFonts w:eastAsia="Times New Roman"/>
          <w:lang w:val="uk-UA"/>
        </w:rPr>
        <w:t>виплати за відсотками/купонами за облігаціями</w:t>
      </w:r>
      <w:r w:rsidR="003E46D4" w:rsidRPr="0024327D">
        <w:rPr>
          <w:rFonts w:eastAsia="Times New Roman"/>
          <w:lang w:val="uk-UA"/>
        </w:rPr>
        <w:t xml:space="preserve"> </w:t>
      </w:r>
      <w:r w:rsidR="008E2024" w:rsidRPr="0024327D">
        <w:rPr>
          <w:rFonts w:eastAsia="Times New Roman"/>
          <w:lang w:val="uk-UA"/>
        </w:rPr>
        <w:t>вірогідно</w:t>
      </w:r>
      <w:r w:rsidR="003E46D4" w:rsidRPr="0024327D">
        <w:rPr>
          <w:rFonts w:eastAsia="Times New Roman"/>
          <w:lang w:val="uk-UA"/>
        </w:rPr>
        <w:t xml:space="preserve"> </w:t>
      </w:r>
      <w:r w:rsidR="00CE1E7D" w:rsidRPr="0024327D">
        <w:rPr>
          <w:rFonts w:eastAsia="Times New Roman"/>
          <w:lang w:val="uk-UA"/>
        </w:rPr>
        <w:t>будуть</w:t>
      </w:r>
      <w:r w:rsidR="00F76CFD" w:rsidRPr="0024327D">
        <w:rPr>
          <w:rFonts w:eastAsia="Times New Roman"/>
          <w:lang w:val="uk-UA"/>
        </w:rPr>
        <w:t xml:space="preserve"> </w:t>
      </w:r>
      <w:r w:rsidRPr="0024327D">
        <w:rPr>
          <w:rFonts w:eastAsia="Times New Roman"/>
          <w:lang w:val="uk-UA"/>
        </w:rPr>
        <w:t xml:space="preserve">фіксованими, тоді як </w:t>
      </w:r>
      <w:r w:rsidR="00D238A4" w:rsidRPr="0024327D">
        <w:rPr>
          <w:rFonts w:eastAsia="Times New Roman"/>
          <w:lang w:val="uk-UA"/>
        </w:rPr>
        <w:t xml:space="preserve">відсоткові </w:t>
      </w:r>
      <w:r w:rsidRPr="0024327D">
        <w:rPr>
          <w:rFonts w:eastAsia="Times New Roman"/>
          <w:lang w:val="uk-UA"/>
        </w:rPr>
        <w:t>платежі за іпотечними активами</w:t>
      </w:r>
      <w:r w:rsidR="000C5ACA" w:rsidRPr="0024327D">
        <w:rPr>
          <w:rFonts w:eastAsia="Times New Roman"/>
          <w:lang w:val="uk-UA"/>
        </w:rPr>
        <w:t>, включеними до забезпечення,</w:t>
      </w:r>
      <w:r w:rsidRPr="0024327D">
        <w:rPr>
          <w:rFonts w:eastAsia="Times New Roman"/>
          <w:lang w:val="uk-UA"/>
        </w:rPr>
        <w:t xml:space="preserve"> могли б бути плаваючими (тобто стягуватися зі спредом на стандартну </w:t>
      </w:r>
      <w:r w:rsidR="00400A67" w:rsidRPr="0024327D">
        <w:rPr>
          <w:rFonts w:eastAsia="Times New Roman"/>
          <w:lang w:val="uk-UA"/>
        </w:rPr>
        <w:t xml:space="preserve">плаваючу </w:t>
      </w:r>
      <w:r w:rsidRPr="0024327D">
        <w:rPr>
          <w:rFonts w:eastAsia="Times New Roman"/>
          <w:lang w:val="uk-UA"/>
        </w:rPr>
        <w:t>ставку банк</w:t>
      </w:r>
      <w:r w:rsidR="00400A67" w:rsidRPr="0024327D">
        <w:rPr>
          <w:rFonts w:eastAsia="Times New Roman"/>
          <w:lang w:val="uk-UA"/>
        </w:rPr>
        <w:t>у</w:t>
      </w:r>
      <w:r w:rsidRPr="0024327D">
        <w:rPr>
          <w:rFonts w:eastAsia="Times New Roman"/>
          <w:lang w:val="uk-UA"/>
        </w:rPr>
        <w:t xml:space="preserve">-оригінатора). У моделі </w:t>
      </w:r>
      <w:r w:rsidR="00400A67" w:rsidRPr="0024327D">
        <w:rPr>
          <w:rFonts w:eastAsia="Times New Roman"/>
          <w:lang w:val="uk-UA"/>
        </w:rPr>
        <w:t xml:space="preserve">з </w:t>
      </w:r>
      <w:r w:rsidRPr="0024327D">
        <w:rPr>
          <w:rFonts w:eastAsia="Times New Roman"/>
          <w:lang w:val="uk-UA"/>
        </w:rPr>
        <w:t>компані</w:t>
      </w:r>
      <w:r w:rsidR="00400A67" w:rsidRPr="0024327D">
        <w:rPr>
          <w:rFonts w:eastAsia="Times New Roman"/>
          <w:lang w:val="uk-UA"/>
        </w:rPr>
        <w:t>єю</w:t>
      </w:r>
      <w:r w:rsidRPr="0024327D">
        <w:rPr>
          <w:rFonts w:eastAsia="Times New Roman"/>
          <w:lang w:val="uk-UA"/>
        </w:rPr>
        <w:t xml:space="preserve"> спеціального призначення ці дериватив</w:t>
      </w:r>
      <w:r w:rsidR="00130CEE" w:rsidRPr="0024327D">
        <w:rPr>
          <w:rFonts w:eastAsia="Times New Roman"/>
          <w:lang w:val="uk-UA"/>
        </w:rPr>
        <w:t>ні котракти</w:t>
      </w:r>
      <w:r w:rsidRPr="0024327D">
        <w:rPr>
          <w:rFonts w:eastAsia="Times New Roman"/>
          <w:lang w:val="uk-UA"/>
        </w:rPr>
        <w:t xml:space="preserve"> </w:t>
      </w:r>
      <w:r w:rsidR="00400A67" w:rsidRPr="0024327D">
        <w:rPr>
          <w:rFonts w:eastAsia="Times New Roman"/>
          <w:lang w:val="uk-UA"/>
        </w:rPr>
        <w:t xml:space="preserve">укладаються </w:t>
      </w:r>
      <w:r w:rsidRPr="0024327D">
        <w:rPr>
          <w:rFonts w:eastAsia="Times New Roman"/>
          <w:lang w:val="uk-UA"/>
        </w:rPr>
        <w:t xml:space="preserve">між компанією спеціального призначення та емітентом. Для моделі </w:t>
      </w:r>
      <w:r w:rsidR="00400A67" w:rsidRPr="0024327D">
        <w:rPr>
          <w:rFonts w:eastAsia="Times New Roman"/>
          <w:lang w:val="uk-UA"/>
        </w:rPr>
        <w:t xml:space="preserve">активів на балансі </w:t>
      </w:r>
      <w:r w:rsidRPr="0024327D">
        <w:rPr>
          <w:rFonts w:eastAsia="Times New Roman"/>
          <w:lang w:val="uk-UA"/>
        </w:rPr>
        <w:t>потрібно буде розробити нову технологію, яка дозволить емітенту укласти дериватив</w:t>
      </w:r>
      <w:r w:rsidR="00130CEE" w:rsidRPr="0024327D">
        <w:rPr>
          <w:rFonts w:eastAsia="Times New Roman"/>
          <w:lang w:val="uk-UA"/>
        </w:rPr>
        <w:t>ні контракти</w:t>
      </w:r>
      <w:r w:rsidRPr="0024327D">
        <w:rPr>
          <w:rFonts w:eastAsia="Times New Roman"/>
          <w:lang w:val="uk-UA"/>
        </w:rPr>
        <w:t xml:space="preserve"> із самим собою (</w:t>
      </w:r>
      <w:r w:rsidR="00E023AB" w:rsidRPr="0024327D">
        <w:rPr>
          <w:rFonts w:eastAsia="Times New Roman"/>
          <w:lang w:val="uk-UA"/>
        </w:rPr>
        <w:t xml:space="preserve">з тою ж </w:t>
      </w:r>
      <w:r w:rsidRPr="0024327D">
        <w:rPr>
          <w:rFonts w:eastAsia="Times New Roman"/>
          <w:lang w:val="uk-UA"/>
        </w:rPr>
        <w:t>юридичн</w:t>
      </w:r>
      <w:r w:rsidR="00E023AB" w:rsidRPr="0024327D">
        <w:rPr>
          <w:rFonts w:eastAsia="Times New Roman"/>
          <w:lang w:val="uk-UA"/>
        </w:rPr>
        <w:t>ою</w:t>
      </w:r>
      <w:r w:rsidRPr="0024327D">
        <w:rPr>
          <w:rFonts w:eastAsia="Times New Roman"/>
          <w:lang w:val="uk-UA"/>
        </w:rPr>
        <w:t xml:space="preserve"> особ</w:t>
      </w:r>
      <w:r w:rsidR="00E023AB" w:rsidRPr="0024327D">
        <w:rPr>
          <w:rFonts w:eastAsia="Times New Roman"/>
          <w:lang w:val="uk-UA"/>
        </w:rPr>
        <w:t>ою</w:t>
      </w:r>
      <w:r w:rsidRPr="0024327D">
        <w:rPr>
          <w:rFonts w:eastAsia="Times New Roman"/>
          <w:lang w:val="uk-UA"/>
        </w:rPr>
        <w:t xml:space="preserve">), або якщо це виявиться неможливим, емітентам потрібно буде отримати свопи від третіх осіб. Якщо використовуються свопи третьої особи, контрагенти </w:t>
      </w:r>
      <w:r w:rsidR="00E023AB" w:rsidRPr="0024327D">
        <w:rPr>
          <w:rFonts w:eastAsia="Times New Roman"/>
          <w:lang w:val="uk-UA"/>
        </w:rPr>
        <w:t xml:space="preserve">за </w:t>
      </w:r>
      <w:r w:rsidRPr="0024327D">
        <w:rPr>
          <w:rFonts w:eastAsia="Times New Roman"/>
          <w:lang w:val="uk-UA"/>
        </w:rPr>
        <w:t>своп</w:t>
      </w:r>
      <w:r w:rsidR="00E023AB" w:rsidRPr="0024327D">
        <w:rPr>
          <w:rFonts w:eastAsia="Times New Roman"/>
          <w:lang w:val="uk-UA"/>
        </w:rPr>
        <w:t>ом</w:t>
      </w:r>
      <w:r w:rsidRPr="0024327D">
        <w:rPr>
          <w:rFonts w:eastAsia="Times New Roman"/>
          <w:lang w:val="uk-UA"/>
        </w:rPr>
        <w:t xml:space="preserve"> повинні домовитись про </w:t>
      </w:r>
      <w:r w:rsidR="00114626" w:rsidRPr="0024327D">
        <w:rPr>
          <w:rFonts w:eastAsia="Times New Roman"/>
          <w:lang w:val="uk-UA"/>
        </w:rPr>
        <w:t>окремі генеральні угоди</w:t>
      </w:r>
      <w:r w:rsidRPr="0024327D">
        <w:rPr>
          <w:rFonts w:eastAsia="Times New Roman"/>
          <w:lang w:val="uk-UA"/>
        </w:rPr>
        <w:t xml:space="preserve"> ISDA </w:t>
      </w:r>
      <w:r w:rsidR="004E2416" w:rsidRPr="0024327D">
        <w:rPr>
          <w:rFonts w:eastAsia="Times New Roman"/>
          <w:lang w:val="uk-UA"/>
        </w:rPr>
        <w:t xml:space="preserve">для транзакцій, пов’язаних з </w:t>
      </w:r>
      <w:r w:rsidRPr="0024327D">
        <w:rPr>
          <w:rFonts w:eastAsia="Times New Roman"/>
          <w:lang w:val="uk-UA"/>
        </w:rPr>
        <w:t>пул</w:t>
      </w:r>
      <w:r w:rsidR="004E2416" w:rsidRPr="0024327D">
        <w:rPr>
          <w:rFonts w:eastAsia="Times New Roman"/>
          <w:lang w:val="uk-UA"/>
        </w:rPr>
        <w:t>ом</w:t>
      </w:r>
      <w:r w:rsidRPr="0024327D">
        <w:rPr>
          <w:rFonts w:eastAsia="Times New Roman"/>
          <w:lang w:val="uk-UA"/>
        </w:rPr>
        <w:t xml:space="preserve"> </w:t>
      </w:r>
      <w:r w:rsidR="00C93CE0" w:rsidRPr="0024327D">
        <w:rPr>
          <w:lang w:val="uk-UA"/>
        </w:rPr>
        <w:t>покриття</w:t>
      </w:r>
      <w:r w:rsidRPr="0024327D">
        <w:rPr>
          <w:rFonts w:eastAsia="Times New Roman"/>
          <w:lang w:val="uk-UA"/>
        </w:rPr>
        <w:t xml:space="preserve">, а </w:t>
      </w:r>
      <w:r w:rsidR="009F4617" w:rsidRPr="0024327D">
        <w:rPr>
          <w:lang w:val="uk-UA"/>
        </w:rPr>
        <w:t>“</w:t>
      </w:r>
      <w:r w:rsidR="009F4617" w:rsidRPr="0024327D">
        <w:rPr>
          <w:rFonts w:eastAsia="Times New Roman"/>
          <w:lang w:val="uk-UA"/>
        </w:rPr>
        <w:t>звичайні</w:t>
      </w:r>
      <w:r w:rsidR="009F4617" w:rsidRPr="0024327D">
        <w:rPr>
          <w:lang w:val="uk-UA"/>
        </w:rPr>
        <w:t>”</w:t>
      </w:r>
      <w:r w:rsidRPr="0024327D">
        <w:rPr>
          <w:rFonts w:eastAsia="Times New Roman"/>
          <w:lang w:val="uk-UA"/>
        </w:rPr>
        <w:t xml:space="preserve"> свопи та неттінг між ними повинні бути заборонені. Це може бути комерційно проблематичним для контрагентів.</w:t>
      </w:r>
    </w:p>
    <w:p w14:paraId="59D0D5DC" w14:textId="25E0C7A1" w:rsidR="00C23F1F" w:rsidRPr="0024327D" w:rsidRDefault="00C23F1F" w:rsidP="00C23F1F">
      <w:pPr>
        <w:spacing w:before="60" w:after="60"/>
        <w:ind w:left="1440"/>
        <w:rPr>
          <w:rFonts w:eastAsia="Times New Roman"/>
          <w:lang w:val="uk-UA"/>
        </w:rPr>
      </w:pPr>
      <w:r w:rsidRPr="0024327D">
        <w:rPr>
          <w:rFonts w:eastAsia="Times New Roman"/>
          <w:lang w:val="uk-UA"/>
        </w:rPr>
        <w:t xml:space="preserve">Хоча багато європейських юрисдикцій, що </w:t>
      </w:r>
      <w:r w:rsidR="004E2416" w:rsidRPr="0024327D">
        <w:rPr>
          <w:rFonts w:eastAsia="Times New Roman"/>
          <w:lang w:val="uk-UA"/>
        </w:rPr>
        <w:t xml:space="preserve">використовують </w:t>
      </w:r>
      <w:r w:rsidR="005D4A55" w:rsidRPr="0024327D">
        <w:rPr>
          <w:rFonts w:eastAsia="Times New Roman"/>
          <w:lang w:val="uk-UA"/>
        </w:rPr>
        <w:t>модель активів на балансі</w:t>
      </w:r>
      <w:r w:rsidR="00373F95" w:rsidRPr="0024327D">
        <w:rPr>
          <w:rFonts w:eastAsia="Times New Roman"/>
          <w:lang w:val="uk-UA"/>
        </w:rPr>
        <w:t>,</w:t>
      </w:r>
      <w:r w:rsidRPr="0024327D">
        <w:rPr>
          <w:rFonts w:eastAsia="Times New Roman"/>
          <w:lang w:val="uk-UA"/>
        </w:rPr>
        <w:t xml:space="preserve"> дозволяють трансакці</w:t>
      </w:r>
      <w:r w:rsidR="0014595E" w:rsidRPr="0024327D">
        <w:rPr>
          <w:rFonts w:eastAsia="Times New Roman"/>
          <w:lang w:val="uk-UA"/>
        </w:rPr>
        <w:t>ї</w:t>
      </w:r>
      <w:r w:rsidRPr="0024327D">
        <w:rPr>
          <w:rFonts w:eastAsia="Times New Roman"/>
          <w:lang w:val="uk-UA"/>
        </w:rPr>
        <w:t xml:space="preserve"> із самим собою</w:t>
      </w:r>
      <w:r w:rsidR="0014595E" w:rsidRPr="0024327D">
        <w:rPr>
          <w:rFonts w:eastAsia="Times New Roman"/>
          <w:lang w:val="uk-UA"/>
        </w:rPr>
        <w:t xml:space="preserve">, щоб </w:t>
      </w:r>
      <w:r w:rsidRPr="0024327D">
        <w:rPr>
          <w:rFonts w:eastAsia="Times New Roman"/>
          <w:lang w:val="uk-UA"/>
        </w:rPr>
        <w:t>забезпечити збереження в силі дериватив</w:t>
      </w:r>
      <w:r w:rsidR="009B1A8C" w:rsidRPr="0024327D">
        <w:rPr>
          <w:rFonts w:eastAsia="Times New Roman"/>
          <w:lang w:val="uk-UA"/>
        </w:rPr>
        <w:t>них</w:t>
      </w:r>
      <w:r w:rsidRPr="0024327D">
        <w:rPr>
          <w:rFonts w:eastAsia="Times New Roman"/>
          <w:lang w:val="uk-UA"/>
        </w:rPr>
        <w:t xml:space="preserve"> </w:t>
      </w:r>
      <w:r w:rsidR="009B1A8C" w:rsidRPr="0024327D">
        <w:rPr>
          <w:rFonts w:eastAsia="Times New Roman"/>
          <w:lang w:val="uk-UA"/>
        </w:rPr>
        <w:t xml:space="preserve">контрактів </w:t>
      </w:r>
      <w:r w:rsidRPr="0024327D">
        <w:rPr>
          <w:rFonts w:eastAsia="Times New Roman"/>
          <w:lang w:val="uk-UA"/>
        </w:rPr>
        <w:t xml:space="preserve">у разі неплатоспроможності емітента, український правовий режим не передбачає поняття деривативних </w:t>
      </w:r>
      <w:r w:rsidR="0014595E" w:rsidRPr="0024327D">
        <w:rPr>
          <w:rFonts w:eastAsia="Times New Roman"/>
          <w:lang w:val="uk-UA"/>
        </w:rPr>
        <w:t xml:space="preserve">контрактів </w:t>
      </w:r>
      <w:r w:rsidRPr="0024327D">
        <w:rPr>
          <w:rFonts w:eastAsia="Times New Roman"/>
          <w:lang w:val="uk-UA"/>
        </w:rPr>
        <w:t xml:space="preserve">з самим собою. Закон про іпотечні облігації містить правило, яке </w:t>
      </w:r>
      <w:r w:rsidR="00301C12" w:rsidRPr="0024327D">
        <w:rPr>
          <w:rFonts w:eastAsia="Times New Roman"/>
          <w:lang w:val="uk-UA"/>
        </w:rPr>
        <w:t xml:space="preserve">загалом </w:t>
      </w:r>
      <w:r w:rsidRPr="0024327D">
        <w:rPr>
          <w:rFonts w:eastAsia="Times New Roman"/>
          <w:lang w:val="uk-UA"/>
        </w:rPr>
        <w:t xml:space="preserve">дозволяє включення деривативів до пулу </w:t>
      </w:r>
      <w:r w:rsidR="00C93CE0" w:rsidRPr="0024327D">
        <w:rPr>
          <w:lang w:val="uk-UA"/>
        </w:rPr>
        <w:t>покриття</w:t>
      </w:r>
      <w:r w:rsidRPr="0024327D">
        <w:rPr>
          <w:rFonts w:eastAsia="Times New Roman"/>
          <w:lang w:val="uk-UA"/>
        </w:rPr>
        <w:t>, однак спеціальних правил щодо деривативів не передбачено (можливо, через недостатньо розвинене законодавство про похідні фінансові інструменти в Україні</w:t>
      </w:r>
      <w:r w:rsidR="0031467F" w:rsidRPr="0024327D">
        <w:rPr>
          <w:rFonts w:eastAsia="Times New Roman"/>
          <w:lang w:val="uk-UA"/>
        </w:rPr>
        <w:t xml:space="preserve"> на  час прийняття цього Закону</w:t>
      </w:r>
      <w:r w:rsidRPr="0024327D">
        <w:rPr>
          <w:rFonts w:eastAsia="Times New Roman"/>
          <w:lang w:val="uk-UA"/>
        </w:rPr>
        <w:t>). Реалізація концепції трансакцій з самим собою може становити для України велику проблему через її новизну та складність.</w:t>
      </w:r>
    </w:p>
    <w:p w14:paraId="3BA93B14" w14:textId="77777777" w:rsidR="00C23F1F" w:rsidRPr="0024327D" w:rsidRDefault="00C23F1F" w:rsidP="00C23F1F">
      <w:pPr>
        <w:numPr>
          <w:ilvl w:val="1"/>
          <w:numId w:val="10"/>
        </w:numPr>
        <w:spacing w:before="240" w:after="0" w:line="240" w:lineRule="auto"/>
        <w:rPr>
          <w:rFonts w:eastAsia="Times New Roman"/>
          <w:b/>
          <w:bCs/>
          <w:lang w:val="uk-UA"/>
        </w:rPr>
      </w:pPr>
      <w:r w:rsidRPr="0024327D">
        <w:rPr>
          <w:rFonts w:eastAsia="Times New Roman"/>
          <w:b/>
          <w:bCs/>
          <w:lang w:val="uk-UA"/>
        </w:rPr>
        <w:t>Захист інтересів власників облігацій</w:t>
      </w:r>
    </w:p>
    <w:p w14:paraId="664C4628" w14:textId="6C34A02B" w:rsidR="00C23F1F" w:rsidRPr="0024327D" w:rsidRDefault="00C23F1F" w:rsidP="00C23F1F">
      <w:pPr>
        <w:spacing w:before="60" w:after="60"/>
        <w:ind w:left="1440"/>
        <w:rPr>
          <w:rFonts w:eastAsia="Times New Roman"/>
          <w:lang w:val="uk-UA"/>
        </w:rPr>
      </w:pPr>
      <w:r w:rsidRPr="0024327D">
        <w:rPr>
          <w:rFonts w:eastAsia="Times New Roman"/>
          <w:lang w:val="uk-UA"/>
        </w:rPr>
        <w:t xml:space="preserve">У моделі </w:t>
      </w:r>
      <w:r w:rsidR="00301C12" w:rsidRPr="0024327D">
        <w:rPr>
          <w:rFonts w:eastAsia="Times New Roman"/>
          <w:lang w:val="uk-UA"/>
        </w:rPr>
        <w:t xml:space="preserve">з використанням </w:t>
      </w:r>
      <w:r w:rsidRPr="0024327D">
        <w:rPr>
          <w:rFonts w:eastAsia="Times New Roman"/>
          <w:lang w:val="uk-UA"/>
        </w:rPr>
        <w:t xml:space="preserve">компанії спеціального призначення директори компанії спеціального призначення </w:t>
      </w:r>
      <w:r w:rsidR="00F13913" w:rsidRPr="0024327D">
        <w:rPr>
          <w:rFonts w:eastAsia="Times New Roman"/>
          <w:lang w:val="uk-UA"/>
        </w:rPr>
        <w:t xml:space="preserve">можуть </w:t>
      </w:r>
      <w:r w:rsidRPr="0024327D">
        <w:rPr>
          <w:rFonts w:eastAsia="Times New Roman"/>
          <w:lang w:val="uk-UA"/>
        </w:rPr>
        <w:t>заміню</w:t>
      </w:r>
      <w:r w:rsidR="00621DA0" w:rsidRPr="0024327D">
        <w:rPr>
          <w:rFonts w:eastAsia="Times New Roman"/>
          <w:lang w:val="uk-UA"/>
        </w:rPr>
        <w:t>ватися</w:t>
      </w:r>
      <w:r w:rsidRPr="0024327D">
        <w:rPr>
          <w:rFonts w:eastAsia="Times New Roman"/>
          <w:lang w:val="uk-UA"/>
        </w:rPr>
        <w:t xml:space="preserve"> </w:t>
      </w:r>
      <w:r w:rsidR="00BA42BC" w:rsidRPr="0024327D">
        <w:rPr>
          <w:rFonts w:eastAsia="Times New Roman"/>
          <w:lang w:val="uk-UA"/>
        </w:rPr>
        <w:t>тимчасовими керівниками</w:t>
      </w:r>
      <w:r w:rsidRPr="0024327D">
        <w:rPr>
          <w:rFonts w:eastAsia="Times New Roman"/>
          <w:lang w:val="uk-UA"/>
        </w:rPr>
        <w:t xml:space="preserve"> у разі неплатоспроможності емітента з метою </w:t>
      </w:r>
      <w:r w:rsidR="00301C12" w:rsidRPr="0024327D">
        <w:rPr>
          <w:rFonts w:eastAsia="Times New Roman"/>
          <w:lang w:val="uk-UA"/>
        </w:rPr>
        <w:t xml:space="preserve">захисту </w:t>
      </w:r>
      <w:r w:rsidRPr="0024327D">
        <w:rPr>
          <w:rFonts w:eastAsia="Times New Roman"/>
          <w:lang w:val="uk-UA"/>
        </w:rPr>
        <w:t>інтересів власників облігацій</w:t>
      </w:r>
      <w:r w:rsidR="000654B3" w:rsidRPr="0024327D">
        <w:rPr>
          <w:lang w:val="uk-UA"/>
        </w:rPr>
        <w:t xml:space="preserve"> </w:t>
      </w:r>
      <w:r w:rsidR="000654B3" w:rsidRPr="0024327D">
        <w:rPr>
          <w:rFonts w:eastAsia="Times New Roman"/>
          <w:lang w:val="uk-UA"/>
        </w:rPr>
        <w:t xml:space="preserve">(наприклад, якщо директори були </w:t>
      </w:r>
      <w:r w:rsidR="008E2024" w:rsidRPr="0024327D">
        <w:rPr>
          <w:rFonts w:eastAsia="Times New Roman"/>
          <w:lang w:val="uk-UA"/>
        </w:rPr>
        <w:t>номіновані</w:t>
      </w:r>
      <w:r w:rsidR="000654B3" w:rsidRPr="0024327D">
        <w:rPr>
          <w:rFonts w:eastAsia="Times New Roman"/>
          <w:lang w:val="uk-UA"/>
        </w:rPr>
        <w:t xml:space="preserve"> на посаду емітентом або </w:t>
      </w:r>
      <w:r w:rsidR="008E2024" w:rsidRPr="0024327D">
        <w:rPr>
          <w:rFonts w:eastAsia="Times New Roman"/>
          <w:lang w:val="uk-UA"/>
        </w:rPr>
        <w:t xml:space="preserve">є </w:t>
      </w:r>
      <w:r w:rsidR="000654B3" w:rsidRPr="0024327D">
        <w:rPr>
          <w:rFonts w:eastAsia="Times New Roman"/>
          <w:lang w:val="uk-UA"/>
        </w:rPr>
        <w:t>пов’язан</w:t>
      </w:r>
      <w:r w:rsidR="008E2024" w:rsidRPr="0024327D">
        <w:rPr>
          <w:rFonts w:eastAsia="Times New Roman"/>
          <w:lang w:val="uk-UA"/>
        </w:rPr>
        <w:t>ими</w:t>
      </w:r>
      <w:r w:rsidR="000654B3" w:rsidRPr="0024327D">
        <w:rPr>
          <w:rFonts w:eastAsia="Times New Roman"/>
          <w:lang w:val="uk-UA"/>
        </w:rPr>
        <w:t xml:space="preserve"> з ним</w:t>
      </w:r>
      <w:r w:rsidR="008E2024" w:rsidRPr="0024327D">
        <w:rPr>
          <w:rFonts w:eastAsia="Times New Roman"/>
          <w:lang w:val="uk-UA"/>
        </w:rPr>
        <w:t xml:space="preserve"> особоами</w:t>
      </w:r>
      <w:r w:rsidR="000654B3" w:rsidRPr="0024327D">
        <w:rPr>
          <w:rFonts w:eastAsia="Times New Roman"/>
          <w:lang w:val="uk-UA"/>
        </w:rPr>
        <w:t>)</w:t>
      </w:r>
      <w:r w:rsidRPr="0024327D">
        <w:rPr>
          <w:rFonts w:eastAsia="Times New Roman"/>
          <w:lang w:val="uk-UA"/>
        </w:rPr>
        <w:t xml:space="preserve">. </w:t>
      </w:r>
    </w:p>
    <w:p w14:paraId="18F357EB" w14:textId="78E38A71" w:rsidR="00C23F1F" w:rsidRPr="0024327D" w:rsidRDefault="00C23F1F" w:rsidP="00C23F1F">
      <w:pPr>
        <w:spacing w:before="60" w:after="60"/>
        <w:ind w:left="1440"/>
        <w:rPr>
          <w:rFonts w:eastAsia="Times New Roman"/>
          <w:lang w:val="uk-UA"/>
        </w:rPr>
      </w:pPr>
      <w:r w:rsidRPr="0024327D">
        <w:rPr>
          <w:rFonts w:eastAsia="Times New Roman"/>
          <w:lang w:val="uk-UA"/>
        </w:rPr>
        <w:t xml:space="preserve">У моделі </w:t>
      </w:r>
      <w:r w:rsidR="00301C12" w:rsidRPr="0024327D">
        <w:rPr>
          <w:rFonts w:eastAsia="Times New Roman"/>
          <w:lang w:val="uk-UA"/>
        </w:rPr>
        <w:t xml:space="preserve">активів на балансі </w:t>
      </w:r>
      <w:r w:rsidRPr="0024327D">
        <w:rPr>
          <w:rFonts w:eastAsia="Times New Roman"/>
          <w:lang w:val="uk-UA"/>
        </w:rPr>
        <w:t>судом</w:t>
      </w:r>
      <w:r w:rsidR="0035280D" w:rsidRPr="0024327D">
        <w:rPr>
          <w:rFonts w:eastAsia="Times New Roman"/>
          <w:lang w:val="uk-UA"/>
        </w:rPr>
        <w:t>, в провадженні якого знаходиться справа про неплатоспроможність</w:t>
      </w:r>
      <w:r w:rsidRPr="0024327D">
        <w:rPr>
          <w:rFonts w:eastAsia="Times New Roman"/>
          <w:lang w:val="uk-UA"/>
        </w:rPr>
        <w:t xml:space="preserve">, </w:t>
      </w:r>
      <w:r w:rsidR="0035280D" w:rsidRPr="0024327D">
        <w:rPr>
          <w:rFonts w:eastAsia="Times New Roman"/>
          <w:lang w:val="uk-UA"/>
        </w:rPr>
        <w:t xml:space="preserve">арбітражним керуючим </w:t>
      </w:r>
      <w:r w:rsidRPr="0024327D">
        <w:rPr>
          <w:rFonts w:eastAsia="Times New Roman"/>
          <w:lang w:val="uk-UA"/>
        </w:rPr>
        <w:t xml:space="preserve">та регулятором </w:t>
      </w:r>
      <w:r w:rsidR="00581ABE" w:rsidRPr="0024327D">
        <w:rPr>
          <w:rFonts w:eastAsia="Times New Roman"/>
          <w:lang w:val="uk-UA"/>
        </w:rPr>
        <w:t>повинен бути розроблений механізм, який дозволить досягти такого ж ефекту</w:t>
      </w:r>
      <w:r w:rsidRPr="0024327D">
        <w:rPr>
          <w:rFonts w:eastAsia="Times New Roman"/>
          <w:lang w:val="uk-UA"/>
        </w:rPr>
        <w:t>. Залежно від юрисдикції, управління пул</w:t>
      </w:r>
      <w:r w:rsidR="0082240A" w:rsidRPr="0024327D">
        <w:rPr>
          <w:rFonts w:eastAsia="Times New Roman"/>
          <w:lang w:val="uk-UA"/>
        </w:rPr>
        <w:t>ом</w:t>
      </w:r>
      <w:r w:rsidRPr="0024327D">
        <w:rPr>
          <w:rFonts w:eastAsia="Times New Roman"/>
          <w:lang w:val="uk-UA"/>
        </w:rPr>
        <w:t xml:space="preserve"> </w:t>
      </w:r>
      <w:r w:rsidR="00A825CB" w:rsidRPr="0024327D">
        <w:rPr>
          <w:rFonts w:eastAsia="Times New Roman"/>
          <w:lang w:val="uk-UA"/>
        </w:rPr>
        <w:t xml:space="preserve"> покриття </w:t>
      </w:r>
      <w:r w:rsidR="0082240A" w:rsidRPr="0024327D">
        <w:rPr>
          <w:rFonts w:eastAsia="Times New Roman"/>
          <w:lang w:val="uk-UA"/>
        </w:rPr>
        <w:t xml:space="preserve">у випадку неплатоспроможності </w:t>
      </w:r>
      <w:r w:rsidRPr="0024327D">
        <w:rPr>
          <w:rFonts w:eastAsia="Times New Roman"/>
          <w:lang w:val="uk-UA"/>
        </w:rPr>
        <w:t xml:space="preserve">часто делегується окремому незалежному органу (який часто називають </w:t>
      </w:r>
      <w:r w:rsidR="0082240A" w:rsidRPr="0024327D">
        <w:rPr>
          <w:lang w:val="uk-UA"/>
        </w:rPr>
        <w:t>С</w:t>
      </w:r>
      <w:r w:rsidRPr="0024327D">
        <w:rPr>
          <w:lang w:val="uk-UA"/>
        </w:rPr>
        <w:t>пеціальним</w:t>
      </w:r>
      <w:r w:rsidR="0082240A" w:rsidRPr="0024327D">
        <w:rPr>
          <w:lang w:val="uk-UA"/>
        </w:rPr>
        <w:t xml:space="preserve"> адміністратором</w:t>
      </w:r>
      <w:r w:rsidRPr="0024327D">
        <w:rPr>
          <w:lang w:val="uk-UA"/>
        </w:rPr>
        <w:t>),</w:t>
      </w:r>
      <w:r w:rsidRPr="0024327D">
        <w:rPr>
          <w:rFonts w:eastAsia="Times New Roman"/>
          <w:lang w:val="uk-UA"/>
        </w:rPr>
        <w:t xml:space="preserve"> але може також бути довірене тому самому</w:t>
      </w:r>
      <w:r w:rsidR="007F3E7C" w:rsidRPr="0024327D">
        <w:rPr>
          <w:rFonts w:eastAsia="Times New Roman"/>
          <w:lang w:val="uk-UA"/>
        </w:rPr>
        <w:t xml:space="preserve"> </w:t>
      </w:r>
      <w:r w:rsidR="007F3E7C" w:rsidRPr="0024327D">
        <w:rPr>
          <w:lang w:val="uk-UA"/>
        </w:rPr>
        <w:t>арбітражному керуючому</w:t>
      </w:r>
      <w:r w:rsidRPr="0024327D">
        <w:rPr>
          <w:lang w:val="uk-UA"/>
        </w:rPr>
        <w:t>,</w:t>
      </w:r>
      <w:r w:rsidRPr="0024327D">
        <w:rPr>
          <w:rFonts w:eastAsia="Times New Roman"/>
          <w:lang w:val="uk-UA"/>
        </w:rPr>
        <w:t xml:space="preserve"> який займається питаннями неплатоспроможності емітента.</w:t>
      </w:r>
      <w:r w:rsidR="00E62AD6" w:rsidRPr="0024327D">
        <w:rPr>
          <w:rFonts w:eastAsia="Times New Roman"/>
          <w:lang w:val="uk-UA"/>
        </w:rPr>
        <w:t xml:space="preserve"> </w:t>
      </w:r>
      <w:r w:rsidRPr="0024327D">
        <w:rPr>
          <w:rFonts w:eastAsia="Times New Roman"/>
          <w:lang w:val="uk-UA"/>
        </w:rPr>
        <w:t xml:space="preserve">Це не обов'язково означає, що двом різним суб'єктам повинно бути доручено управління пулом </w:t>
      </w:r>
      <w:r w:rsidR="00A67E34" w:rsidRPr="0024327D">
        <w:rPr>
          <w:rFonts w:eastAsia="Times New Roman"/>
          <w:lang w:val="uk-UA"/>
        </w:rPr>
        <w:t xml:space="preserve"> покриття </w:t>
      </w:r>
      <w:r w:rsidRPr="0024327D">
        <w:rPr>
          <w:rFonts w:eastAsia="Times New Roman"/>
          <w:lang w:val="uk-UA"/>
        </w:rPr>
        <w:t xml:space="preserve">та неплатоспроможністю емітента, однак повинні бути встановлені відповідні правила та процедури для управління пулом </w:t>
      </w:r>
      <w:r w:rsidR="00C93CE0" w:rsidRPr="0024327D">
        <w:rPr>
          <w:lang w:val="uk-UA"/>
        </w:rPr>
        <w:t xml:space="preserve">покриття </w:t>
      </w:r>
      <w:r w:rsidRPr="0024327D">
        <w:rPr>
          <w:rFonts w:eastAsia="Times New Roman"/>
          <w:lang w:val="uk-UA"/>
        </w:rPr>
        <w:t>в інтересах інвесторів.</w:t>
      </w:r>
    </w:p>
    <w:p w14:paraId="4A8096DB" w14:textId="77777777" w:rsidR="00C23F1F" w:rsidRPr="0024327D" w:rsidRDefault="00C23F1F" w:rsidP="00C23F1F">
      <w:pPr>
        <w:numPr>
          <w:ilvl w:val="0"/>
          <w:numId w:val="10"/>
        </w:numPr>
        <w:spacing w:before="0" w:after="160"/>
        <w:contextualSpacing/>
        <w:jc w:val="left"/>
        <w:rPr>
          <w:lang w:val="uk-UA"/>
        </w:rPr>
      </w:pPr>
      <w:r w:rsidRPr="0024327D">
        <w:rPr>
          <w:lang w:val="uk-UA"/>
        </w:rPr>
        <w:lastRenderedPageBreak/>
        <w:t>Відповідність закону про сек'юритизацію.</w:t>
      </w:r>
    </w:p>
    <w:p w14:paraId="2E3A3C2F" w14:textId="77777777" w:rsidR="003B3774" w:rsidRPr="0024327D" w:rsidRDefault="003B3774" w:rsidP="00C23F1F">
      <w:pPr>
        <w:rPr>
          <w:lang w:val="uk-UA"/>
        </w:rPr>
      </w:pPr>
      <w:bookmarkStart w:id="224" w:name="_Toc527619374"/>
      <w:bookmarkStart w:id="225" w:name="_Toc527619457"/>
      <w:bookmarkStart w:id="226" w:name="_Toc527619813"/>
      <w:bookmarkStart w:id="227" w:name="_Toc527619900"/>
      <w:bookmarkEnd w:id="224"/>
      <w:bookmarkEnd w:id="225"/>
      <w:bookmarkEnd w:id="226"/>
      <w:bookmarkEnd w:id="227"/>
    </w:p>
    <w:p w14:paraId="42282A26" w14:textId="4C42FC93" w:rsidR="00C23F1F" w:rsidRPr="0024327D" w:rsidRDefault="00D2600B" w:rsidP="00C23F1F">
      <w:pPr>
        <w:rPr>
          <w:lang w:val="uk-UA"/>
        </w:rPr>
      </w:pPr>
      <w:r w:rsidRPr="0024327D">
        <w:rPr>
          <w:lang w:val="uk-UA"/>
        </w:rPr>
        <w:t>М</w:t>
      </w:r>
      <w:r w:rsidR="00C23F1F" w:rsidRPr="0024327D">
        <w:rPr>
          <w:lang w:val="uk-UA"/>
        </w:rPr>
        <w:t>одель</w:t>
      </w:r>
      <w:r w:rsidRPr="0024327D">
        <w:rPr>
          <w:lang w:val="uk-UA"/>
        </w:rPr>
        <w:t xml:space="preserve"> активів на балансі</w:t>
      </w:r>
      <w:r w:rsidR="00C23F1F" w:rsidRPr="0024327D">
        <w:rPr>
          <w:lang w:val="uk-UA"/>
        </w:rPr>
        <w:t xml:space="preserve"> буде менш сумісною з сек'юритизацією порівняно з моделлю компанії спеціального призначення. Сек'юритизація, хоча з економічної точки зору сильно відрізняється від </w:t>
      </w:r>
      <w:r w:rsidR="00645A85" w:rsidRPr="0024327D">
        <w:rPr>
          <w:lang w:val="uk-UA"/>
        </w:rPr>
        <w:t>облігацій з покриттям</w:t>
      </w:r>
      <w:r w:rsidR="00C23F1F" w:rsidRPr="0024327D">
        <w:rPr>
          <w:lang w:val="uk-UA"/>
        </w:rPr>
        <w:t xml:space="preserve">, включає багато тих самих правових питань, що і модель компанії спеціального призначення </w:t>
      </w:r>
      <w:r w:rsidR="00645A85" w:rsidRPr="0024327D">
        <w:rPr>
          <w:lang w:val="uk-UA"/>
        </w:rPr>
        <w:t>облігацій з покриттям</w:t>
      </w:r>
      <w:r w:rsidR="00C23F1F" w:rsidRPr="0024327D">
        <w:rPr>
          <w:lang w:val="uk-UA"/>
        </w:rPr>
        <w:t xml:space="preserve"> - зокрема, створення юридичної особи, звільнення її від </w:t>
      </w:r>
      <w:r w:rsidRPr="0024327D">
        <w:rPr>
          <w:lang w:val="uk-UA"/>
        </w:rPr>
        <w:t>вимог до капіталу</w:t>
      </w:r>
      <w:r w:rsidR="00C23F1F" w:rsidRPr="0024327D">
        <w:rPr>
          <w:lang w:val="uk-UA"/>
        </w:rPr>
        <w:t xml:space="preserve">, передачу активів та взаємодію між компанією спеціального призначення та </w:t>
      </w:r>
      <w:r w:rsidR="001732D3" w:rsidRPr="0024327D">
        <w:rPr>
          <w:lang w:val="uk-UA"/>
        </w:rPr>
        <w:t>о</w:t>
      </w:r>
      <w:r w:rsidR="003B3774" w:rsidRPr="0024327D">
        <w:rPr>
          <w:lang w:val="uk-UA"/>
        </w:rPr>
        <w:t>ригінатором</w:t>
      </w:r>
      <w:r w:rsidR="00C23F1F" w:rsidRPr="0024327D">
        <w:rPr>
          <w:lang w:val="uk-UA"/>
        </w:rPr>
        <w:t>.</w:t>
      </w:r>
    </w:p>
    <w:p w14:paraId="19E5BE70" w14:textId="4C10DCEB" w:rsidR="00C23F1F" w:rsidRPr="0024327D" w:rsidRDefault="00A67E34" w:rsidP="00C23F1F">
      <w:pPr>
        <w:rPr>
          <w:lang w:val="uk-UA"/>
        </w:rPr>
      </w:pPr>
      <w:r w:rsidRPr="0024327D">
        <w:rPr>
          <w:lang w:val="uk-UA"/>
        </w:rPr>
        <w:t xml:space="preserve">З огляду на зазначене, </w:t>
      </w:r>
      <w:r w:rsidR="00C23F1F" w:rsidRPr="0024327D">
        <w:rPr>
          <w:lang w:val="uk-UA"/>
        </w:rPr>
        <w:t xml:space="preserve">в Україні </w:t>
      </w:r>
      <w:r w:rsidRPr="0024327D">
        <w:rPr>
          <w:lang w:val="uk-UA"/>
        </w:rPr>
        <w:t xml:space="preserve">здійснення </w:t>
      </w:r>
      <w:r w:rsidR="00C23F1F" w:rsidRPr="0024327D">
        <w:rPr>
          <w:lang w:val="uk-UA"/>
        </w:rPr>
        <w:t>сек</w:t>
      </w:r>
      <w:r w:rsidR="001C5D1F" w:rsidRPr="0024327D">
        <w:rPr>
          <w:lang w:val="uk-UA"/>
        </w:rPr>
        <w:t>’</w:t>
      </w:r>
      <w:r w:rsidR="00C23F1F" w:rsidRPr="0024327D">
        <w:rPr>
          <w:lang w:val="uk-UA"/>
        </w:rPr>
        <w:t>юритизаці</w:t>
      </w:r>
      <w:r w:rsidRPr="0024327D">
        <w:rPr>
          <w:lang w:val="uk-UA"/>
        </w:rPr>
        <w:t>ї</w:t>
      </w:r>
      <w:r w:rsidR="00C23F1F" w:rsidRPr="0024327D">
        <w:rPr>
          <w:lang w:val="uk-UA"/>
        </w:rPr>
        <w:t xml:space="preserve"> </w:t>
      </w:r>
      <w:r w:rsidRPr="0024327D">
        <w:rPr>
          <w:lang w:val="uk-UA"/>
        </w:rPr>
        <w:t xml:space="preserve"> може зацікавити</w:t>
      </w:r>
      <w:r w:rsidR="00C23F1F" w:rsidRPr="0024327D">
        <w:rPr>
          <w:lang w:val="uk-UA"/>
        </w:rPr>
        <w:t>: i)</w:t>
      </w:r>
      <w:r w:rsidR="0005060D" w:rsidRPr="0024327D">
        <w:rPr>
          <w:lang w:val="uk-UA"/>
        </w:rPr>
        <w:t> </w:t>
      </w:r>
      <w:r w:rsidR="00C23F1F" w:rsidRPr="0024327D">
        <w:rPr>
          <w:lang w:val="uk-UA"/>
        </w:rPr>
        <w:t>банк</w:t>
      </w:r>
      <w:r w:rsidRPr="0024327D">
        <w:rPr>
          <w:lang w:val="uk-UA"/>
        </w:rPr>
        <w:t>и</w:t>
      </w:r>
      <w:r w:rsidR="00C23F1F" w:rsidRPr="0024327D">
        <w:rPr>
          <w:lang w:val="uk-UA"/>
        </w:rPr>
        <w:t xml:space="preserve">, що </w:t>
      </w:r>
      <w:r w:rsidR="00817C28" w:rsidRPr="0024327D">
        <w:rPr>
          <w:lang w:val="uk-UA"/>
        </w:rPr>
        <w:t>ре</w:t>
      </w:r>
      <w:r w:rsidR="00C23F1F" w:rsidRPr="0024327D">
        <w:rPr>
          <w:lang w:val="uk-UA"/>
        </w:rPr>
        <w:t xml:space="preserve">фінансують активи, що не є прийнятними для </w:t>
      </w:r>
      <w:r w:rsidR="00645A85" w:rsidRPr="0024327D">
        <w:rPr>
          <w:lang w:val="uk-UA"/>
        </w:rPr>
        <w:t>облігацій з покриттям</w:t>
      </w:r>
      <w:r w:rsidR="00C23F1F" w:rsidRPr="0024327D">
        <w:rPr>
          <w:lang w:val="uk-UA"/>
        </w:rPr>
        <w:t xml:space="preserve">, такі як </w:t>
      </w:r>
      <w:r w:rsidR="00C13987" w:rsidRPr="0024327D">
        <w:rPr>
          <w:lang w:val="uk-UA"/>
        </w:rPr>
        <w:t xml:space="preserve">незабезпечені споживчі </w:t>
      </w:r>
      <w:r w:rsidR="00B47C57" w:rsidRPr="0024327D">
        <w:rPr>
          <w:lang w:val="uk-UA"/>
        </w:rPr>
        <w:t>кредити</w:t>
      </w:r>
      <w:r w:rsidR="00C23F1F" w:rsidRPr="0024327D">
        <w:rPr>
          <w:lang w:val="uk-UA"/>
        </w:rPr>
        <w:t>, ii) банк</w:t>
      </w:r>
      <w:r w:rsidRPr="0024327D">
        <w:rPr>
          <w:lang w:val="uk-UA"/>
        </w:rPr>
        <w:t>и</w:t>
      </w:r>
      <w:r w:rsidR="00C23F1F" w:rsidRPr="0024327D">
        <w:rPr>
          <w:lang w:val="uk-UA"/>
        </w:rPr>
        <w:t xml:space="preserve">, що намагаються досягти зменшення </w:t>
      </w:r>
      <w:r w:rsidR="00817C28" w:rsidRPr="0024327D">
        <w:rPr>
          <w:lang w:val="uk-UA"/>
        </w:rPr>
        <w:t xml:space="preserve">тиску на </w:t>
      </w:r>
      <w:r w:rsidR="00C23F1F" w:rsidRPr="0024327D">
        <w:rPr>
          <w:lang w:val="uk-UA"/>
        </w:rPr>
        <w:t>регулятивн</w:t>
      </w:r>
      <w:r w:rsidR="00817C28" w:rsidRPr="0024327D">
        <w:rPr>
          <w:lang w:val="uk-UA"/>
        </w:rPr>
        <w:t>ий</w:t>
      </w:r>
      <w:r w:rsidR="00C23F1F" w:rsidRPr="0024327D">
        <w:rPr>
          <w:lang w:val="uk-UA"/>
        </w:rPr>
        <w:t xml:space="preserve"> капітал за рахунок активів, які є прийнятними для </w:t>
      </w:r>
      <w:r w:rsidR="00645A85" w:rsidRPr="0024327D">
        <w:rPr>
          <w:lang w:val="uk-UA"/>
        </w:rPr>
        <w:t>облігацій з покриттям</w:t>
      </w:r>
      <w:r w:rsidR="00C23F1F" w:rsidRPr="0024327D">
        <w:rPr>
          <w:lang w:val="uk-UA"/>
        </w:rPr>
        <w:t xml:space="preserve">, такі як житлові іпотечні кредити, </w:t>
      </w:r>
      <w:r w:rsidR="001C5D1F" w:rsidRPr="0024327D">
        <w:rPr>
          <w:lang w:val="uk-UA"/>
        </w:rPr>
        <w:t xml:space="preserve">ііі) кредиторів в аграрному секторі, </w:t>
      </w:r>
      <w:r w:rsidR="00C656E2" w:rsidRPr="0024327D">
        <w:rPr>
          <w:lang w:val="uk-UA"/>
        </w:rPr>
        <w:t xml:space="preserve"> що рефінансують дебіторську заборгованість, у тому числі аграрні розписки, </w:t>
      </w:r>
      <w:r w:rsidR="00C23F1F" w:rsidRPr="0024327D">
        <w:rPr>
          <w:lang w:val="uk-UA"/>
        </w:rPr>
        <w:t>або i</w:t>
      </w:r>
      <w:r w:rsidR="00C656E2" w:rsidRPr="0024327D">
        <w:rPr>
          <w:lang w:val="en-US"/>
        </w:rPr>
        <w:t>v</w:t>
      </w:r>
      <w:r w:rsidR="00C23F1F" w:rsidRPr="0024327D">
        <w:rPr>
          <w:lang w:val="uk-UA"/>
        </w:rPr>
        <w:t>) небанківських кредиторів.</w:t>
      </w:r>
    </w:p>
    <w:p w14:paraId="181AEFB1" w14:textId="2E83D8BB" w:rsidR="00DD3B5B" w:rsidRPr="0024327D" w:rsidRDefault="00C23F1F" w:rsidP="00C23F1F">
      <w:pPr>
        <w:rPr>
          <w:lang w:val="uk-UA"/>
        </w:rPr>
      </w:pPr>
      <w:r w:rsidRPr="0024327D">
        <w:rPr>
          <w:lang w:val="uk-UA"/>
        </w:rPr>
        <w:t>Існує значна потенційна синергія між цими двома продуктами як з точки зору складання законопро</w:t>
      </w:r>
      <w:r w:rsidR="00A67E34" w:rsidRPr="0024327D">
        <w:rPr>
          <w:lang w:val="uk-UA"/>
        </w:rPr>
        <w:t>є</w:t>
      </w:r>
      <w:r w:rsidRPr="0024327D">
        <w:rPr>
          <w:lang w:val="uk-UA"/>
        </w:rPr>
        <w:t xml:space="preserve">кту, так і, в майбутньому, під час </w:t>
      </w:r>
      <w:r w:rsidR="00A67E34" w:rsidRPr="0024327D">
        <w:rPr>
          <w:lang w:val="uk-UA"/>
        </w:rPr>
        <w:t xml:space="preserve"> розробки нормативної бази</w:t>
      </w:r>
      <w:r w:rsidR="00DD3B5B" w:rsidRPr="0024327D">
        <w:rPr>
          <w:lang w:val="uk-UA"/>
        </w:rPr>
        <w:t xml:space="preserve">. </w:t>
      </w:r>
    </w:p>
    <w:bookmarkEnd w:id="214"/>
    <w:p w14:paraId="5C6A17CA" w14:textId="77777777" w:rsidR="00985776" w:rsidRPr="0024327D" w:rsidRDefault="00985776">
      <w:pPr>
        <w:spacing w:before="0" w:after="160"/>
        <w:jc w:val="left"/>
        <w:rPr>
          <w:lang w:val="uk-UA"/>
        </w:rPr>
      </w:pPr>
      <w:r w:rsidRPr="0024327D">
        <w:rPr>
          <w:lang w:val="uk-UA"/>
        </w:rPr>
        <w:br w:type="page"/>
      </w:r>
    </w:p>
    <w:p w14:paraId="2ED1C5E9" w14:textId="77777777" w:rsidR="00C23F1F" w:rsidRPr="0024327D" w:rsidRDefault="00C23F1F" w:rsidP="00C23F1F">
      <w:pPr>
        <w:keepNext/>
        <w:keepLines/>
        <w:pageBreakBefore/>
        <w:spacing w:before="360" w:after="240" w:line="240" w:lineRule="auto"/>
        <w:ind w:left="432" w:hanging="432"/>
        <w:outlineLvl w:val="0"/>
        <w:rPr>
          <w:rFonts w:eastAsiaTheme="majorEastAsia" w:cstheme="majorBidi"/>
          <w:color w:val="1F4E79" w:themeColor="accent1" w:themeShade="80"/>
          <w:sz w:val="36"/>
          <w:szCs w:val="32"/>
          <w:lang w:val="uk-UA"/>
        </w:rPr>
      </w:pPr>
      <w:bookmarkStart w:id="228" w:name="_Toc27153487"/>
      <w:bookmarkStart w:id="229" w:name="_Toc32498770"/>
      <w:bookmarkStart w:id="230" w:name="_Toc95481036"/>
      <w:bookmarkStart w:id="231" w:name="_Toc6942278"/>
      <w:r w:rsidRPr="0024327D">
        <w:rPr>
          <w:rFonts w:eastAsiaTheme="majorEastAsia" w:cstheme="majorBidi"/>
          <w:color w:val="1F4E79" w:themeColor="accent1" w:themeShade="80"/>
          <w:sz w:val="36"/>
          <w:szCs w:val="32"/>
          <w:lang w:val="uk-UA"/>
        </w:rPr>
        <w:lastRenderedPageBreak/>
        <w:t xml:space="preserve">Додаток 5: </w:t>
      </w:r>
      <w:bookmarkEnd w:id="228"/>
      <w:bookmarkEnd w:id="229"/>
      <w:r w:rsidRPr="0024327D">
        <w:rPr>
          <w:rFonts w:eastAsiaTheme="majorEastAsia" w:cstheme="majorBidi"/>
          <w:color w:val="1F4E79" w:themeColor="accent1" w:themeShade="80"/>
          <w:sz w:val="36"/>
          <w:szCs w:val="32"/>
          <w:lang w:val="uk-UA"/>
        </w:rPr>
        <w:t>Законодавство та найкращі практики</w:t>
      </w:r>
      <w:r w:rsidRPr="0024327D">
        <w:rPr>
          <w:lang w:val="uk-UA"/>
        </w:rPr>
        <w:t xml:space="preserve"> </w:t>
      </w:r>
      <w:r w:rsidRPr="0024327D">
        <w:rPr>
          <w:rFonts w:eastAsiaTheme="majorEastAsia" w:cstheme="majorBidi"/>
          <w:color w:val="1F4E79" w:themeColor="accent1" w:themeShade="80"/>
          <w:sz w:val="36"/>
          <w:szCs w:val="32"/>
          <w:lang w:val="uk-UA"/>
        </w:rPr>
        <w:t>ЄС</w:t>
      </w:r>
      <w:bookmarkEnd w:id="230"/>
    </w:p>
    <w:bookmarkEnd w:id="231"/>
    <w:p w14:paraId="40A23C4F" w14:textId="77777777" w:rsidR="00C23F1F" w:rsidRPr="0024327D" w:rsidRDefault="00C23F1F" w:rsidP="00C23F1F">
      <w:pPr>
        <w:rPr>
          <w:rFonts w:cstheme="minorHAnsi"/>
          <w:b/>
          <w:bCs/>
          <w:lang w:val="uk-UA"/>
        </w:rPr>
      </w:pPr>
      <w:r w:rsidRPr="0024327D">
        <w:rPr>
          <w:rFonts w:cstheme="minorHAnsi"/>
          <w:b/>
          <w:bCs/>
          <w:lang w:val="uk-UA"/>
        </w:rPr>
        <w:t>Сек'юритизація</w:t>
      </w:r>
    </w:p>
    <w:p w14:paraId="2AF0732C" w14:textId="79F2D782" w:rsidR="00C23F1F" w:rsidRPr="0024327D" w:rsidRDefault="00C23F1F" w:rsidP="00133A3B">
      <w:pPr>
        <w:numPr>
          <w:ilvl w:val="0"/>
          <w:numId w:val="16"/>
        </w:numPr>
        <w:ind w:left="426" w:hanging="426"/>
        <w:contextualSpacing/>
        <w:rPr>
          <w:rFonts w:cstheme="minorHAnsi"/>
          <w:shd w:val="clear" w:color="auto" w:fill="FFFFFF"/>
          <w:lang w:val="uk-UA"/>
        </w:rPr>
      </w:pPr>
      <w:r w:rsidRPr="0024327D">
        <w:rPr>
          <w:rFonts w:cstheme="minorHAnsi"/>
          <w:shd w:val="clear" w:color="auto" w:fill="FFFFFF"/>
          <w:lang w:val="uk-UA"/>
        </w:rPr>
        <w:t xml:space="preserve">Регламент (ЄС) 2017/2402 Європейського Парламенту та Ради від 12 грудня 2017 р., що визначає загальні </w:t>
      </w:r>
      <w:r w:rsidR="007B30FA" w:rsidRPr="0024327D">
        <w:rPr>
          <w:rFonts w:cstheme="minorHAnsi"/>
          <w:shd w:val="clear" w:color="auto" w:fill="FFFFFF"/>
          <w:lang w:val="uk-UA"/>
        </w:rPr>
        <w:t xml:space="preserve">засади </w:t>
      </w:r>
      <w:r w:rsidRPr="0024327D">
        <w:rPr>
          <w:rFonts w:cstheme="minorHAnsi"/>
          <w:shd w:val="clear" w:color="auto" w:fill="FFFFFF"/>
          <w:lang w:val="uk-UA"/>
        </w:rPr>
        <w:t xml:space="preserve">для сек'юритизації та </w:t>
      </w:r>
      <w:r w:rsidR="00D17922" w:rsidRPr="0024327D">
        <w:rPr>
          <w:rFonts w:cstheme="minorHAnsi"/>
          <w:shd w:val="clear" w:color="auto" w:fill="FFFFFF"/>
          <w:lang w:val="uk-UA"/>
        </w:rPr>
        <w:t xml:space="preserve">встановлює </w:t>
      </w:r>
      <w:r w:rsidRPr="0024327D">
        <w:rPr>
          <w:rFonts w:cstheme="minorHAnsi"/>
          <w:shd w:val="clear" w:color="auto" w:fill="FFFFFF"/>
          <w:lang w:val="uk-UA"/>
        </w:rPr>
        <w:t xml:space="preserve">конкретні </w:t>
      </w:r>
      <w:r w:rsidR="009345C7" w:rsidRPr="0024327D">
        <w:rPr>
          <w:rFonts w:cstheme="minorHAnsi"/>
          <w:shd w:val="clear" w:color="auto" w:fill="FFFFFF"/>
          <w:lang w:val="uk-UA"/>
        </w:rPr>
        <w:t xml:space="preserve">правила </w:t>
      </w:r>
      <w:r w:rsidRPr="0024327D">
        <w:rPr>
          <w:rFonts w:cstheme="minorHAnsi"/>
          <w:shd w:val="clear" w:color="auto" w:fill="FFFFFF"/>
          <w:lang w:val="uk-UA"/>
        </w:rPr>
        <w:t>для простої, прозорої та стандартизованої сек'юритизації, а також вносить зміни до Директив 2009/65/ЄС, 2009/138/ЄС та 2011/61/ЄС та Регламентів (ЄС) № 1060/2009 та (ЄС) № 648/2012:</w:t>
      </w:r>
    </w:p>
    <w:p w14:paraId="657F3BF8" w14:textId="77777777" w:rsidR="00C23F1F" w:rsidRPr="0024327D" w:rsidRDefault="00C21269" w:rsidP="00C23F1F">
      <w:pPr>
        <w:rPr>
          <w:rFonts w:cstheme="minorHAnsi"/>
          <w:lang w:val="uk-UA"/>
        </w:rPr>
      </w:pPr>
      <w:hyperlink r:id="rId9" w:history="1">
        <w:r w:rsidR="00C23F1F" w:rsidRPr="0024327D">
          <w:rPr>
            <w:rFonts w:cstheme="minorHAnsi"/>
            <w:color w:val="0563C1" w:themeColor="hyperlink"/>
            <w:u w:val="single"/>
            <w:lang w:val="uk-UA"/>
          </w:rPr>
          <w:t>https://eur-lex.europa.eu/legal-content/en/TXT/?uri=celex:32017R2402</w:t>
        </w:r>
      </w:hyperlink>
    </w:p>
    <w:p w14:paraId="0FA650F4" w14:textId="74428FFB" w:rsidR="00C23F1F" w:rsidRPr="0024327D" w:rsidRDefault="00C23F1F" w:rsidP="00133A3B">
      <w:pPr>
        <w:numPr>
          <w:ilvl w:val="0"/>
          <w:numId w:val="16"/>
        </w:numPr>
        <w:ind w:left="426" w:hanging="426"/>
        <w:contextualSpacing/>
        <w:rPr>
          <w:rFonts w:cstheme="minorHAnsi"/>
          <w:shd w:val="clear" w:color="auto" w:fill="FFFFFF"/>
          <w:lang w:val="uk-UA"/>
        </w:rPr>
      </w:pPr>
      <w:r w:rsidRPr="0024327D">
        <w:rPr>
          <w:rFonts w:cstheme="minorHAnsi"/>
          <w:shd w:val="clear" w:color="auto" w:fill="FFFFFF"/>
          <w:lang w:val="uk-UA"/>
        </w:rPr>
        <w:t xml:space="preserve">Технічні стандарти, опубліковані </w:t>
      </w:r>
      <w:r w:rsidR="00761C66" w:rsidRPr="0024327D">
        <w:rPr>
          <w:rFonts w:cstheme="minorHAnsi"/>
          <w:shd w:val="clear" w:color="auto" w:fill="FFFFFF"/>
          <w:lang w:val="uk-UA"/>
        </w:rPr>
        <w:t xml:space="preserve">щодо </w:t>
      </w:r>
      <w:r w:rsidRPr="0024327D">
        <w:rPr>
          <w:rFonts w:cstheme="minorHAnsi"/>
          <w:shd w:val="clear" w:color="auto" w:fill="FFFFFF"/>
          <w:lang w:val="uk-UA"/>
        </w:rPr>
        <w:t>регламенту</w:t>
      </w:r>
    </w:p>
    <w:p w14:paraId="7A7C583C" w14:textId="77777777" w:rsidR="00C23F1F" w:rsidRPr="0024327D" w:rsidRDefault="00C23F1F" w:rsidP="00133A3B">
      <w:pPr>
        <w:numPr>
          <w:ilvl w:val="0"/>
          <w:numId w:val="14"/>
        </w:numPr>
        <w:contextualSpacing/>
        <w:rPr>
          <w:rFonts w:cstheme="minorHAnsi"/>
          <w:lang w:val="uk-UA"/>
        </w:rPr>
      </w:pPr>
      <w:r w:rsidRPr="0024327D">
        <w:rPr>
          <w:rFonts w:cstheme="minorHAnsi"/>
          <w:lang w:val="uk-UA"/>
        </w:rPr>
        <w:t>Збереження ризику:</w:t>
      </w:r>
    </w:p>
    <w:p w14:paraId="0F51ED76" w14:textId="77777777" w:rsidR="00C23F1F" w:rsidRPr="0024327D" w:rsidRDefault="00C21269" w:rsidP="00C23F1F">
      <w:pPr>
        <w:rPr>
          <w:rFonts w:cstheme="minorHAnsi"/>
          <w:lang w:val="uk-UA"/>
        </w:rPr>
      </w:pPr>
      <w:hyperlink r:id="rId10" w:history="1">
        <w:r w:rsidR="00C23F1F" w:rsidRPr="0024327D">
          <w:rPr>
            <w:rFonts w:cstheme="minorHAnsi"/>
            <w:color w:val="0563C1" w:themeColor="hyperlink"/>
            <w:u w:val="single"/>
            <w:lang w:val="uk-UA"/>
          </w:rPr>
          <w:t>https://eba.europa.eu/regulation-and-policy/securitisation-and-covered-bonds/rts-on-risk-retention</w:t>
        </w:r>
      </w:hyperlink>
    </w:p>
    <w:p w14:paraId="550F7E7D" w14:textId="77777777" w:rsidR="00C23F1F" w:rsidRPr="0024327D" w:rsidRDefault="00C23F1F" w:rsidP="00133A3B">
      <w:pPr>
        <w:numPr>
          <w:ilvl w:val="0"/>
          <w:numId w:val="14"/>
        </w:numPr>
        <w:contextualSpacing/>
        <w:rPr>
          <w:rFonts w:cstheme="minorHAnsi"/>
          <w:lang w:val="uk-UA"/>
        </w:rPr>
      </w:pPr>
      <w:r w:rsidRPr="0024327D">
        <w:rPr>
          <w:rFonts w:cstheme="minorHAnsi"/>
          <w:lang w:val="uk-UA"/>
        </w:rPr>
        <w:t>Правила однорідності активів</w:t>
      </w:r>
    </w:p>
    <w:p w14:paraId="4E746B35" w14:textId="77777777" w:rsidR="00C23F1F" w:rsidRPr="0024327D" w:rsidRDefault="00C21269" w:rsidP="00C23F1F">
      <w:pPr>
        <w:rPr>
          <w:rFonts w:cstheme="minorHAnsi"/>
          <w:lang w:val="uk-UA"/>
        </w:rPr>
      </w:pPr>
      <w:hyperlink r:id="rId11" w:history="1">
        <w:r w:rsidR="00C23F1F" w:rsidRPr="0024327D">
          <w:rPr>
            <w:rFonts w:cstheme="minorHAnsi"/>
            <w:color w:val="0563C1" w:themeColor="hyperlink"/>
            <w:u w:val="single"/>
            <w:lang w:val="uk-UA"/>
          </w:rPr>
          <w:t>https://eba.europa.eu/regulation-and-policy/securitisation-and-covered-bonds/rts-on-the-homogeneity-of-the-underlying-exposures-in-securitisation</w:t>
        </w:r>
      </w:hyperlink>
    </w:p>
    <w:p w14:paraId="6341BC60" w14:textId="389A96D5" w:rsidR="00C23F1F" w:rsidRPr="0024327D" w:rsidRDefault="00C23F1F" w:rsidP="00133A3B">
      <w:pPr>
        <w:numPr>
          <w:ilvl w:val="0"/>
          <w:numId w:val="16"/>
        </w:numPr>
        <w:ind w:left="426" w:hanging="426"/>
        <w:contextualSpacing/>
        <w:rPr>
          <w:rFonts w:cstheme="minorHAnsi"/>
          <w:shd w:val="clear" w:color="auto" w:fill="FFFFFF"/>
          <w:lang w:val="uk-UA"/>
        </w:rPr>
      </w:pPr>
      <w:r w:rsidRPr="0024327D">
        <w:rPr>
          <w:rFonts w:cstheme="minorHAnsi"/>
          <w:shd w:val="clear" w:color="auto" w:fill="FFFFFF"/>
          <w:lang w:val="uk-UA"/>
        </w:rPr>
        <w:t xml:space="preserve">Настанови, опубліковані </w:t>
      </w:r>
      <w:r w:rsidR="00761C66" w:rsidRPr="0024327D">
        <w:rPr>
          <w:rFonts w:cstheme="minorHAnsi"/>
          <w:shd w:val="clear" w:color="auto" w:fill="FFFFFF"/>
          <w:lang w:val="uk-UA"/>
        </w:rPr>
        <w:t xml:space="preserve">щодо </w:t>
      </w:r>
      <w:r w:rsidRPr="0024327D">
        <w:rPr>
          <w:rFonts w:cstheme="minorHAnsi"/>
          <w:shd w:val="clear" w:color="auto" w:fill="FFFFFF"/>
          <w:lang w:val="uk-UA"/>
        </w:rPr>
        <w:t>регламенту</w:t>
      </w:r>
    </w:p>
    <w:p w14:paraId="6BE48CD5" w14:textId="77777777" w:rsidR="00C23F1F" w:rsidRPr="0024327D" w:rsidRDefault="00C23F1F" w:rsidP="00133A3B">
      <w:pPr>
        <w:numPr>
          <w:ilvl w:val="0"/>
          <w:numId w:val="14"/>
        </w:numPr>
        <w:contextualSpacing/>
        <w:rPr>
          <w:rFonts w:cstheme="minorHAnsi"/>
          <w:lang w:val="uk-UA"/>
        </w:rPr>
      </w:pPr>
      <w:r w:rsidRPr="0024327D">
        <w:rPr>
          <w:rFonts w:cstheme="minorHAnsi"/>
          <w:lang w:val="uk-UA"/>
        </w:rPr>
        <w:t>Передача ризику</w:t>
      </w:r>
    </w:p>
    <w:p w14:paraId="39FBBF0A" w14:textId="77777777" w:rsidR="00C23F1F" w:rsidRPr="0024327D" w:rsidRDefault="00C21269" w:rsidP="00C23F1F">
      <w:pPr>
        <w:rPr>
          <w:rFonts w:cstheme="minorHAnsi"/>
          <w:lang w:val="uk-UA"/>
        </w:rPr>
      </w:pPr>
      <w:hyperlink r:id="rId12" w:history="1">
        <w:r w:rsidR="00C23F1F" w:rsidRPr="0024327D">
          <w:rPr>
            <w:rFonts w:cstheme="minorHAnsi"/>
            <w:color w:val="0563C1" w:themeColor="hyperlink"/>
            <w:u w:val="single"/>
            <w:lang w:val="uk-UA"/>
          </w:rPr>
          <w:t>https://eba.europa.eu/regulation-and-policy/securitisation-and-covered-bonds/guidelines-on-significant-risk-transfer-srt-for-securitisation-transactions</w:t>
        </w:r>
      </w:hyperlink>
    </w:p>
    <w:p w14:paraId="09DCBF9F" w14:textId="6E691499" w:rsidR="00C23F1F" w:rsidRPr="0024327D" w:rsidRDefault="006142A7" w:rsidP="00133A3B">
      <w:pPr>
        <w:numPr>
          <w:ilvl w:val="0"/>
          <w:numId w:val="14"/>
        </w:numPr>
        <w:contextualSpacing/>
        <w:rPr>
          <w:rFonts w:cstheme="minorHAnsi"/>
          <w:lang w:val="uk-UA"/>
        </w:rPr>
      </w:pPr>
      <w:r w:rsidRPr="0024327D">
        <w:rPr>
          <w:rFonts w:cstheme="minorHAnsi"/>
          <w:lang w:val="uk-UA"/>
        </w:rPr>
        <w:t>Положення щодо</w:t>
      </w:r>
      <w:r w:rsidR="00C23F1F" w:rsidRPr="0024327D">
        <w:rPr>
          <w:rFonts w:cstheme="minorHAnsi"/>
          <w:lang w:val="uk-UA"/>
        </w:rPr>
        <w:t xml:space="preserve"> </w:t>
      </w:r>
      <w:r w:rsidR="00D13C52" w:rsidRPr="0024327D">
        <w:rPr>
          <w:rFonts w:cstheme="minorHAnsi"/>
          <w:lang w:val="uk-UA"/>
        </w:rPr>
        <w:t xml:space="preserve">надання </w:t>
      </w:r>
      <w:r w:rsidRPr="0024327D">
        <w:rPr>
          <w:rFonts w:cstheme="minorHAnsi"/>
          <w:lang w:val="uk-UA"/>
        </w:rPr>
        <w:t xml:space="preserve">опосередкованої </w:t>
      </w:r>
      <w:r w:rsidR="00D13C52" w:rsidRPr="0024327D">
        <w:rPr>
          <w:rFonts w:cstheme="minorHAnsi"/>
          <w:lang w:val="uk-UA"/>
        </w:rPr>
        <w:t>допомоги</w:t>
      </w:r>
      <w:r w:rsidRPr="0024327D">
        <w:rPr>
          <w:rFonts w:cstheme="minorHAnsi"/>
          <w:lang w:val="uk-UA"/>
        </w:rPr>
        <w:t xml:space="preserve"> при здійсненні сек’юритизації</w:t>
      </w:r>
    </w:p>
    <w:p w14:paraId="74AFFA32" w14:textId="77777777" w:rsidR="00C23F1F" w:rsidRPr="0024327D" w:rsidRDefault="00C21269" w:rsidP="00C23F1F">
      <w:pPr>
        <w:rPr>
          <w:rFonts w:cstheme="minorHAnsi"/>
          <w:lang w:val="uk-UA"/>
        </w:rPr>
      </w:pPr>
      <w:hyperlink r:id="rId13" w:history="1">
        <w:r w:rsidR="00C23F1F" w:rsidRPr="0024327D">
          <w:rPr>
            <w:rFonts w:cstheme="minorHAnsi"/>
            <w:color w:val="0563C1" w:themeColor="hyperlink"/>
            <w:u w:val="single"/>
            <w:lang w:val="uk-UA"/>
          </w:rPr>
          <w:t>https://eba.europa.eu/regulation-and-policy/securitisation-and-covered-bonds/guidelines-on-implicit-support-for-securitisation-transactions</w:t>
        </w:r>
      </w:hyperlink>
    </w:p>
    <w:p w14:paraId="1E1E3C4A" w14:textId="5C156E97" w:rsidR="00C23F1F" w:rsidRPr="0024327D" w:rsidRDefault="00C23F1F" w:rsidP="00133A3B">
      <w:pPr>
        <w:numPr>
          <w:ilvl w:val="0"/>
          <w:numId w:val="14"/>
        </w:numPr>
        <w:contextualSpacing/>
        <w:rPr>
          <w:rFonts w:cstheme="minorHAnsi"/>
          <w:lang w:val="uk-UA"/>
        </w:rPr>
      </w:pPr>
      <w:r w:rsidRPr="0024327D">
        <w:rPr>
          <w:rFonts w:cstheme="minorHAnsi"/>
          <w:lang w:val="uk-UA"/>
        </w:rPr>
        <w:t xml:space="preserve">Тлумачення правил </w:t>
      </w:r>
      <w:r w:rsidR="004F74B8" w:rsidRPr="0024327D">
        <w:rPr>
          <w:rFonts w:cstheme="minorHAnsi"/>
          <w:lang w:val="uk-UA"/>
        </w:rPr>
        <w:t xml:space="preserve">щодо стандарту </w:t>
      </w:r>
      <w:r w:rsidRPr="0024327D">
        <w:rPr>
          <w:rFonts w:cstheme="minorHAnsi"/>
          <w:lang w:val="uk-UA"/>
        </w:rPr>
        <w:t>STS</w:t>
      </w:r>
    </w:p>
    <w:p w14:paraId="08FB9A8F" w14:textId="77777777" w:rsidR="00C23F1F" w:rsidRPr="0024327D" w:rsidRDefault="00C21269" w:rsidP="00C23F1F">
      <w:pPr>
        <w:rPr>
          <w:rFonts w:cstheme="minorHAnsi"/>
          <w:lang w:val="uk-UA"/>
        </w:rPr>
      </w:pPr>
      <w:hyperlink r:id="rId14" w:history="1">
        <w:r w:rsidR="00C23F1F" w:rsidRPr="0024327D">
          <w:rPr>
            <w:rFonts w:cstheme="minorHAnsi"/>
            <w:color w:val="0563C1" w:themeColor="hyperlink"/>
            <w:u w:val="single"/>
            <w:lang w:val="uk-UA"/>
          </w:rPr>
          <w:t>https://eba.europa.eu/regulation-and-policy/securitisation-and-covered-bonds/guidelines-on-the-sts-criteria-for-abcp-and-non-abcp-securitisation</w:t>
        </w:r>
      </w:hyperlink>
    </w:p>
    <w:p w14:paraId="376511DA" w14:textId="77777777" w:rsidR="00C23F1F" w:rsidRPr="0024327D" w:rsidRDefault="00C23F1F" w:rsidP="00C23F1F">
      <w:pPr>
        <w:rPr>
          <w:rFonts w:cstheme="minorHAnsi"/>
          <w:lang w:val="uk-UA"/>
        </w:rPr>
      </w:pPr>
    </w:p>
    <w:p w14:paraId="3B6AB0FC" w14:textId="65552FA5" w:rsidR="00C23F1F" w:rsidRPr="0024327D" w:rsidRDefault="00FB118B" w:rsidP="00C23F1F">
      <w:pPr>
        <w:rPr>
          <w:rFonts w:cstheme="minorHAnsi"/>
          <w:b/>
          <w:lang w:val="uk-UA"/>
        </w:rPr>
      </w:pPr>
      <w:r w:rsidRPr="0024327D">
        <w:rPr>
          <w:rFonts w:cstheme="minorHAnsi"/>
          <w:b/>
          <w:lang w:val="uk-UA"/>
        </w:rPr>
        <w:t>Облігації з покриттям</w:t>
      </w:r>
    </w:p>
    <w:p w14:paraId="071496C1" w14:textId="0794212E" w:rsidR="00C23F1F" w:rsidRPr="0024327D" w:rsidRDefault="00C23F1F" w:rsidP="00133A3B">
      <w:pPr>
        <w:numPr>
          <w:ilvl w:val="0"/>
          <w:numId w:val="18"/>
        </w:numPr>
        <w:ind w:left="426" w:hanging="426"/>
        <w:contextualSpacing/>
        <w:rPr>
          <w:rFonts w:cstheme="minorHAnsi"/>
          <w:shd w:val="clear" w:color="auto" w:fill="FFFFFF"/>
          <w:lang w:val="uk-UA"/>
        </w:rPr>
      </w:pPr>
      <w:r w:rsidRPr="0024327D">
        <w:rPr>
          <w:rFonts w:cstheme="minorHAnsi"/>
          <w:shd w:val="clear" w:color="auto" w:fill="FFFFFF"/>
          <w:lang w:val="uk-UA"/>
        </w:rPr>
        <w:t xml:space="preserve">Директива (ЄС) 2019/2162 Європейського Парламенту та Ради від 27 листопада 2019 р. з питання </w:t>
      </w:r>
      <w:r w:rsidR="00645A85" w:rsidRPr="0024327D">
        <w:rPr>
          <w:rFonts w:cstheme="minorHAnsi"/>
          <w:shd w:val="clear" w:color="auto" w:fill="FFFFFF"/>
          <w:lang w:val="uk-UA"/>
        </w:rPr>
        <w:t>облігацій з покриттям</w:t>
      </w:r>
      <w:r w:rsidRPr="0024327D">
        <w:rPr>
          <w:rFonts w:cstheme="minorHAnsi"/>
          <w:shd w:val="clear" w:color="auto" w:fill="FFFFFF"/>
          <w:lang w:val="uk-UA"/>
        </w:rPr>
        <w:t xml:space="preserve"> та державного контролю за </w:t>
      </w:r>
      <w:r w:rsidR="00645A85" w:rsidRPr="0024327D">
        <w:rPr>
          <w:rFonts w:cstheme="minorHAnsi"/>
          <w:shd w:val="clear" w:color="auto" w:fill="FFFFFF"/>
          <w:lang w:val="uk-UA"/>
        </w:rPr>
        <w:t>облігаціями з покриттям</w:t>
      </w:r>
      <w:r w:rsidRPr="0024327D">
        <w:rPr>
          <w:rFonts w:cstheme="minorHAnsi"/>
          <w:shd w:val="clear" w:color="auto" w:fill="FFFFFF"/>
          <w:lang w:val="uk-UA"/>
        </w:rPr>
        <w:t xml:space="preserve">, що вносить зміни до Директив 2009/65/ЄС та 2014/59/ЄС (далі – </w:t>
      </w:r>
      <w:r w:rsidR="00A16F44" w:rsidRPr="0024327D">
        <w:rPr>
          <w:rFonts w:cstheme="minorHAnsi"/>
          <w:shd w:val="clear" w:color="auto" w:fill="FFFFFF"/>
          <w:lang w:val="uk-UA"/>
        </w:rPr>
        <w:t>“</w:t>
      </w:r>
      <w:r w:rsidRPr="0024327D">
        <w:rPr>
          <w:rFonts w:cstheme="minorHAnsi"/>
          <w:shd w:val="clear" w:color="auto" w:fill="FFFFFF"/>
          <w:lang w:val="uk-UA"/>
        </w:rPr>
        <w:t xml:space="preserve">Директива щодо </w:t>
      </w:r>
      <w:r w:rsidR="00645A85" w:rsidRPr="0024327D">
        <w:rPr>
          <w:rFonts w:cstheme="minorHAnsi"/>
          <w:shd w:val="clear" w:color="auto" w:fill="FFFFFF"/>
          <w:lang w:val="uk-UA"/>
        </w:rPr>
        <w:t>облігацій з покриттям</w:t>
      </w:r>
      <w:r w:rsidR="00A16F44" w:rsidRPr="0024327D">
        <w:rPr>
          <w:rFonts w:cstheme="minorHAnsi"/>
          <w:shd w:val="clear" w:color="auto" w:fill="FFFFFF"/>
          <w:lang w:val="uk-UA"/>
        </w:rPr>
        <w:t>”</w:t>
      </w:r>
      <w:r w:rsidRPr="0024327D">
        <w:rPr>
          <w:rFonts w:cstheme="minorHAnsi"/>
          <w:shd w:val="clear" w:color="auto" w:fill="FFFFFF"/>
          <w:lang w:val="uk-UA"/>
        </w:rPr>
        <w:t>):</w:t>
      </w:r>
    </w:p>
    <w:p w14:paraId="3BE83079" w14:textId="77777777" w:rsidR="00C23F1F" w:rsidRPr="0024327D" w:rsidRDefault="00C21269" w:rsidP="00C23F1F">
      <w:pPr>
        <w:rPr>
          <w:rFonts w:cstheme="minorHAnsi"/>
          <w:lang w:val="uk-UA"/>
        </w:rPr>
      </w:pPr>
      <w:hyperlink r:id="rId15" w:history="1">
        <w:r w:rsidR="00C23F1F" w:rsidRPr="0024327D">
          <w:rPr>
            <w:rFonts w:cstheme="minorHAnsi"/>
            <w:color w:val="0563C1" w:themeColor="hyperlink"/>
            <w:u w:val="single"/>
            <w:lang w:val="uk-UA"/>
          </w:rPr>
          <w:t>https://eur-lex.europa.eu/eli/dir/2019/2162/oj</w:t>
        </w:r>
      </w:hyperlink>
    </w:p>
    <w:p w14:paraId="55985AF0" w14:textId="77777777" w:rsidR="00C23F1F" w:rsidRPr="0024327D" w:rsidRDefault="00C23F1F" w:rsidP="00C23F1F">
      <w:pPr>
        <w:rPr>
          <w:rFonts w:cstheme="minorHAnsi"/>
          <w:shd w:val="clear" w:color="auto" w:fill="FFFFFF"/>
          <w:lang w:val="uk-UA"/>
        </w:rPr>
      </w:pPr>
      <w:bookmarkStart w:id="232" w:name="_Hlk31710188"/>
    </w:p>
    <w:p w14:paraId="50E57FE1" w14:textId="77777777" w:rsidR="00C23F1F" w:rsidRPr="0024327D" w:rsidRDefault="00C23F1F" w:rsidP="00C23F1F">
      <w:pPr>
        <w:rPr>
          <w:rFonts w:cstheme="minorHAnsi"/>
          <w:shd w:val="clear" w:color="auto" w:fill="FFFFFF"/>
          <w:lang w:val="uk-UA"/>
        </w:rPr>
      </w:pPr>
      <w:r w:rsidRPr="0024327D">
        <w:rPr>
          <w:rFonts w:cstheme="minorHAnsi"/>
          <w:b/>
          <w:lang w:val="uk-UA"/>
        </w:rPr>
        <w:t>Інше</w:t>
      </w:r>
    </w:p>
    <w:bookmarkEnd w:id="232"/>
    <w:p w14:paraId="0F67BAA6" w14:textId="2AFE56D4" w:rsidR="00C23F1F" w:rsidRPr="0024327D" w:rsidRDefault="00C23F1F" w:rsidP="001A3C33">
      <w:pPr>
        <w:numPr>
          <w:ilvl w:val="0"/>
          <w:numId w:val="19"/>
        </w:numPr>
        <w:contextualSpacing/>
        <w:rPr>
          <w:rFonts w:cstheme="minorHAnsi"/>
          <w:shd w:val="clear" w:color="auto" w:fill="FFFFFF"/>
          <w:lang w:val="uk-UA"/>
        </w:rPr>
      </w:pPr>
      <w:r w:rsidRPr="0024327D">
        <w:rPr>
          <w:rFonts w:cstheme="minorHAnsi"/>
          <w:shd w:val="clear" w:color="auto" w:fill="FFFFFF"/>
          <w:lang w:val="uk-UA"/>
        </w:rPr>
        <w:t>Директива 2009/65/ЄС Європейського Парламенту та Ради від 13 липня 2009 р.</w:t>
      </w:r>
      <w:r w:rsidR="002A1B9F" w:rsidRPr="0024327D">
        <w:rPr>
          <w:rFonts w:cstheme="minorHAnsi"/>
          <w:shd w:val="clear" w:color="auto" w:fill="FFFFFF"/>
          <w:lang w:val="uk-UA"/>
        </w:rPr>
        <w:t xml:space="preserve"> </w:t>
      </w:r>
      <w:r w:rsidR="00C01B3C" w:rsidRPr="0024327D">
        <w:rPr>
          <w:rFonts w:cstheme="minorHAnsi"/>
          <w:shd w:val="clear" w:color="auto" w:fill="FFFFFF"/>
          <w:lang w:val="uk-UA"/>
        </w:rPr>
        <w:t xml:space="preserve">про координацію законів, підзаконних актів та адміністративних положень стосовно підприємств колективного інвестування в перевідні цінні папери (ПКІПЦП) </w:t>
      </w:r>
      <w:r w:rsidRPr="0024327D">
        <w:rPr>
          <w:rFonts w:cstheme="minorHAnsi"/>
          <w:shd w:val="clear" w:color="auto" w:fill="FFFFFF"/>
          <w:lang w:val="uk-UA"/>
        </w:rPr>
        <w:t xml:space="preserve"> (далі – </w:t>
      </w:r>
      <w:r w:rsidR="00A16F44" w:rsidRPr="0024327D">
        <w:rPr>
          <w:rFonts w:cstheme="minorHAnsi"/>
          <w:shd w:val="clear" w:color="auto" w:fill="FFFFFF"/>
          <w:lang w:val="uk-UA"/>
        </w:rPr>
        <w:t>“</w:t>
      </w:r>
      <w:r w:rsidRPr="0024327D">
        <w:rPr>
          <w:rFonts w:cstheme="minorHAnsi"/>
          <w:shd w:val="clear" w:color="auto" w:fill="FFFFFF"/>
          <w:lang w:val="uk-UA"/>
        </w:rPr>
        <w:t>Директива UCITS</w:t>
      </w:r>
      <w:r w:rsidR="00A16F44" w:rsidRPr="0024327D">
        <w:rPr>
          <w:rFonts w:cstheme="minorHAnsi"/>
          <w:shd w:val="clear" w:color="auto" w:fill="FFFFFF"/>
          <w:lang w:val="uk-UA"/>
        </w:rPr>
        <w:t>”</w:t>
      </w:r>
      <w:r w:rsidRPr="0024327D">
        <w:rPr>
          <w:rFonts w:cstheme="minorHAnsi"/>
          <w:shd w:val="clear" w:color="auto" w:fill="FFFFFF"/>
          <w:lang w:val="uk-UA"/>
        </w:rPr>
        <w:t>):</w:t>
      </w:r>
    </w:p>
    <w:p w14:paraId="197038F7" w14:textId="77777777" w:rsidR="00C23F1F" w:rsidRPr="0024327D" w:rsidRDefault="00C21269" w:rsidP="00C23F1F">
      <w:pPr>
        <w:rPr>
          <w:rFonts w:cstheme="minorHAnsi"/>
          <w:shd w:val="clear" w:color="auto" w:fill="FFFFFF"/>
          <w:lang w:val="uk-UA"/>
        </w:rPr>
      </w:pPr>
      <w:hyperlink r:id="rId16" w:history="1">
        <w:r w:rsidR="00C23F1F" w:rsidRPr="0024327D">
          <w:rPr>
            <w:rFonts w:cstheme="minorHAnsi"/>
            <w:color w:val="0563C1" w:themeColor="hyperlink"/>
            <w:u w:val="single"/>
            <w:shd w:val="clear" w:color="auto" w:fill="FFFFFF"/>
            <w:lang w:val="uk-UA"/>
          </w:rPr>
          <w:t>http://data.europa.eu/eli/dir/2009/65/oj</w:t>
        </w:r>
      </w:hyperlink>
    </w:p>
    <w:p w14:paraId="01461A3A" w14:textId="1892650A" w:rsidR="00C23F1F" w:rsidRPr="0024327D" w:rsidRDefault="00C23F1F" w:rsidP="00133A3B">
      <w:pPr>
        <w:numPr>
          <w:ilvl w:val="0"/>
          <w:numId w:val="19"/>
        </w:numPr>
        <w:ind w:left="426" w:hanging="426"/>
        <w:contextualSpacing/>
        <w:rPr>
          <w:rFonts w:cstheme="minorHAnsi"/>
          <w:shd w:val="clear" w:color="auto" w:fill="FFFFFF"/>
          <w:lang w:val="uk-UA"/>
        </w:rPr>
      </w:pPr>
      <w:r w:rsidRPr="0024327D">
        <w:rPr>
          <w:rFonts w:cstheme="minorHAnsi"/>
          <w:shd w:val="clear" w:color="auto" w:fill="FFFFFF"/>
          <w:lang w:val="uk-UA"/>
        </w:rPr>
        <w:t xml:space="preserve">Директива 2014/59/ЄС Європейського Парламенту та Ради від 15 травня 2014 р., що встановлює </w:t>
      </w:r>
      <w:r w:rsidR="00962A50" w:rsidRPr="0024327D">
        <w:rPr>
          <w:rFonts w:cstheme="minorHAnsi"/>
          <w:shd w:val="clear" w:color="auto" w:fill="FFFFFF"/>
          <w:lang w:val="uk-UA"/>
        </w:rPr>
        <w:t>режи</w:t>
      </w:r>
      <w:r w:rsidR="00DB41C1" w:rsidRPr="0024327D">
        <w:rPr>
          <w:rFonts w:cstheme="minorHAnsi"/>
          <w:shd w:val="clear" w:color="auto" w:fill="FFFFFF"/>
          <w:lang w:val="uk-UA"/>
        </w:rPr>
        <w:t xml:space="preserve">м </w:t>
      </w:r>
      <w:r w:rsidRPr="0024327D">
        <w:rPr>
          <w:rFonts w:cstheme="minorHAnsi"/>
          <w:shd w:val="clear" w:color="auto" w:fill="FFFFFF"/>
          <w:lang w:val="uk-UA"/>
        </w:rPr>
        <w:t xml:space="preserve">санації та ліквідації кредитних установ та інвестиційних фірм, а також вносить зміни до Директиви Ради Європи 82/891/ЄЕС та Директив 2001/24/ЄС, 2002/47/ЄС, 2004/25/ЄС, 2005/56/ЄС, 2007/36/ЄС, 2011/35/ЄС, 2012/30/ЄС та 2013/36/ЄС, та Регламентів (ЄС) № 1093/2010 та (ЄС) № 648/2012 Європейського Парламенту та Ради (далі – </w:t>
      </w:r>
      <w:r w:rsidR="00A16F44" w:rsidRPr="0024327D">
        <w:rPr>
          <w:rFonts w:cstheme="minorHAnsi"/>
          <w:shd w:val="clear" w:color="auto" w:fill="FFFFFF"/>
          <w:lang w:val="uk-UA"/>
        </w:rPr>
        <w:t>“</w:t>
      </w:r>
      <w:r w:rsidRPr="0024327D">
        <w:rPr>
          <w:rFonts w:cstheme="minorHAnsi"/>
          <w:shd w:val="clear" w:color="auto" w:fill="FFFFFF"/>
          <w:lang w:val="uk-UA"/>
        </w:rPr>
        <w:t>Директиви щодо санації та ліквідації банків</w:t>
      </w:r>
      <w:r w:rsidR="00A16F44" w:rsidRPr="0024327D">
        <w:rPr>
          <w:rFonts w:cstheme="minorHAnsi"/>
          <w:shd w:val="clear" w:color="auto" w:fill="FFFFFF"/>
          <w:lang w:val="uk-UA"/>
        </w:rPr>
        <w:t>”</w:t>
      </w:r>
      <w:r w:rsidRPr="0024327D">
        <w:rPr>
          <w:rFonts w:cstheme="minorHAnsi"/>
          <w:shd w:val="clear" w:color="auto" w:fill="FFFFFF"/>
          <w:lang w:val="uk-UA"/>
        </w:rPr>
        <w:t>):</w:t>
      </w:r>
    </w:p>
    <w:p w14:paraId="7968C2E9" w14:textId="77777777" w:rsidR="00C23F1F" w:rsidRPr="0024327D" w:rsidRDefault="00C21269" w:rsidP="00C23F1F">
      <w:pPr>
        <w:rPr>
          <w:rFonts w:cstheme="minorHAnsi"/>
          <w:shd w:val="clear" w:color="auto" w:fill="FFFFFF"/>
          <w:lang w:val="uk-UA"/>
        </w:rPr>
      </w:pPr>
      <w:hyperlink r:id="rId17" w:history="1">
        <w:r w:rsidR="00C23F1F" w:rsidRPr="0024327D">
          <w:rPr>
            <w:rFonts w:cstheme="minorHAnsi"/>
            <w:color w:val="0563C1" w:themeColor="hyperlink"/>
            <w:u w:val="single"/>
            <w:shd w:val="clear" w:color="auto" w:fill="FFFFFF"/>
            <w:lang w:val="uk-UA"/>
          </w:rPr>
          <w:t>http://data.europa.eu/eli/dir/2014/59/oj</w:t>
        </w:r>
      </w:hyperlink>
    </w:p>
    <w:p w14:paraId="430A6C6A" w14:textId="0D91165C" w:rsidR="00C23F1F" w:rsidRPr="0024327D" w:rsidRDefault="00C23F1F" w:rsidP="00133A3B">
      <w:pPr>
        <w:numPr>
          <w:ilvl w:val="0"/>
          <w:numId w:val="19"/>
        </w:numPr>
        <w:ind w:left="426" w:hanging="426"/>
        <w:contextualSpacing/>
        <w:rPr>
          <w:rFonts w:cstheme="minorHAnsi"/>
          <w:shd w:val="clear" w:color="auto" w:fill="FFFFFF"/>
          <w:lang w:val="uk-UA"/>
        </w:rPr>
      </w:pPr>
      <w:r w:rsidRPr="0024327D">
        <w:rPr>
          <w:rFonts w:cstheme="minorHAnsi"/>
          <w:shd w:val="clear" w:color="auto" w:fill="FFFFFF"/>
          <w:lang w:val="uk-UA"/>
        </w:rPr>
        <w:lastRenderedPageBreak/>
        <w:t xml:space="preserve">Директива 2009/138/ЄС Європейського Парламенту та Ради від 25 листопада 2009 р. про започаткування та ведення діяльності із страхування та перестрахування (Платоспроможність II) (далі – </w:t>
      </w:r>
      <w:r w:rsidR="00A16F44" w:rsidRPr="0024327D">
        <w:rPr>
          <w:rFonts w:cstheme="minorHAnsi"/>
          <w:shd w:val="clear" w:color="auto" w:fill="FFFFFF"/>
          <w:lang w:val="uk-UA"/>
        </w:rPr>
        <w:t>“</w:t>
      </w:r>
      <w:r w:rsidRPr="0024327D">
        <w:rPr>
          <w:rFonts w:cstheme="minorHAnsi"/>
          <w:shd w:val="clear" w:color="auto" w:fill="FFFFFF"/>
          <w:lang w:val="uk-UA"/>
        </w:rPr>
        <w:t>Директива про платоспроможність</w:t>
      </w:r>
      <w:r w:rsidR="00C308F1" w:rsidRPr="0024327D">
        <w:rPr>
          <w:rFonts w:cstheme="minorHAnsi"/>
          <w:shd w:val="clear" w:color="auto" w:fill="FFFFFF"/>
          <w:lang w:val="uk-UA"/>
        </w:rPr>
        <w:t xml:space="preserve"> II </w:t>
      </w:r>
      <w:r w:rsidR="00A16F44" w:rsidRPr="0024327D">
        <w:rPr>
          <w:rFonts w:cstheme="minorHAnsi"/>
          <w:shd w:val="clear" w:color="auto" w:fill="FFFFFF"/>
          <w:lang w:val="uk-UA"/>
        </w:rPr>
        <w:t>“</w:t>
      </w:r>
      <w:r w:rsidRPr="0024327D">
        <w:rPr>
          <w:rFonts w:cstheme="minorHAnsi"/>
          <w:shd w:val="clear" w:color="auto" w:fill="FFFFFF"/>
          <w:lang w:val="uk-UA"/>
        </w:rPr>
        <w:t>):</w:t>
      </w:r>
    </w:p>
    <w:p w14:paraId="01EE08FC" w14:textId="77777777" w:rsidR="00C23F1F" w:rsidRPr="0024327D" w:rsidRDefault="00C21269" w:rsidP="00C23F1F">
      <w:pPr>
        <w:rPr>
          <w:rFonts w:cstheme="minorHAnsi"/>
          <w:shd w:val="clear" w:color="auto" w:fill="FFFFFF"/>
          <w:lang w:val="uk-UA"/>
        </w:rPr>
      </w:pPr>
      <w:hyperlink r:id="rId18" w:history="1">
        <w:r w:rsidR="00C23F1F" w:rsidRPr="0024327D">
          <w:rPr>
            <w:rFonts w:cstheme="minorHAnsi"/>
            <w:color w:val="0563C1" w:themeColor="hyperlink"/>
            <w:u w:val="single"/>
            <w:shd w:val="clear" w:color="auto" w:fill="FFFFFF"/>
            <w:lang w:val="uk-UA"/>
          </w:rPr>
          <w:t>http://data.europa.eu/eli/dir/2009/138/oj</w:t>
        </w:r>
      </w:hyperlink>
    </w:p>
    <w:p w14:paraId="23DB634C" w14:textId="74A555EB" w:rsidR="00C23F1F" w:rsidRPr="0024327D" w:rsidRDefault="00C23F1F" w:rsidP="00133A3B">
      <w:pPr>
        <w:numPr>
          <w:ilvl w:val="0"/>
          <w:numId w:val="19"/>
        </w:numPr>
        <w:ind w:left="426" w:hanging="426"/>
        <w:contextualSpacing/>
        <w:rPr>
          <w:rFonts w:cstheme="minorHAnsi"/>
          <w:shd w:val="clear" w:color="auto" w:fill="FFFFFF"/>
          <w:lang w:val="uk-UA"/>
        </w:rPr>
      </w:pPr>
      <w:r w:rsidRPr="0024327D">
        <w:rPr>
          <w:rFonts w:cstheme="minorHAnsi"/>
          <w:shd w:val="clear" w:color="auto" w:fill="FFFFFF"/>
          <w:lang w:val="uk-UA"/>
        </w:rPr>
        <w:t xml:space="preserve">Директива 2013/36/ ЄС Європейського Парламенту та Ради від 26 червня 2013 р. про доступ до діяльності кредитних установ та пруденційний нагляд за кредитними установами та інвестиційними фірмами, що вносить зміни до Директиви 2002/87/ЄС та скасовує Директиви 2006/48/ЄС та 2006/49/ЄС Текст, що стосується ЄЕЗ (далі – </w:t>
      </w:r>
      <w:r w:rsidR="00A16F44" w:rsidRPr="0024327D">
        <w:rPr>
          <w:rFonts w:cstheme="minorHAnsi"/>
          <w:shd w:val="clear" w:color="auto" w:fill="FFFFFF"/>
          <w:lang w:val="uk-UA"/>
        </w:rPr>
        <w:t>“</w:t>
      </w:r>
      <w:r w:rsidRPr="0024327D">
        <w:rPr>
          <w:rFonts w:cstheme="minorHAnsi"/>
          <w:shd w:val="clear" w:color="auto" w:fill="FFFFFF"/>
          <w:lang w:val="uk-UA"/>
        </w:rPr>
        <w:t>Директива про вимоги до капіталу</w:t>
      </w:r>
      <w:r w:rsidR="00C308F1" w:rsidRPr="0024327D">
        <w:rPr>
          <w:rFonts w:cstheme="minorHAnsi"/>
          <w:shd w:val="clear" w:color="auto" w:fill="FFFFFF"/>
          <w:lang w:val="uk-UA"/>
        </w:rPr>
        <w:t xml:space="preserve"> IV</w:t>
      </w:r>
      <w:r w:rsidR="00A16F44" w:rsidRPr="0024327D">
        <w:rPr>
          <w:rFonts w:cstheme="minorHAnsi"/>
          <w:shd w:val="clear" w:color="auto" w:fill="FFFFFF"/>
          <w:lang w:val="uk-UA"/>
        </w:rPr>
        <w:t>”</w:t>
      </w:r>
      <w:r w:rsidR="00C308F1" w:rsidRPr="0024327D">
        <w:rPr>
          <w:rFonts w:cstheme="minorHAnsi"/>
          <w:shd w:val="clear" w:color="auto" w:fill="FFFFFF"/>
          <w:lang w:val="uk-UA"/>
        </w:rPr>
        <w:t>)</w:t>
      </w:r>
      <w:r w:rsidRPr="0024327D">
        <w:rPr>
          <w:rFonts w:cstheme="minorHAnsi"/>
          <w:shd w:val="clear" w:color="auto" w:fill="FFFFFF"/>
          <w:lang w:val="uk-UA"/>
        </w:rPr>
        <w:t xml:space="preserve">: </w:t>
      </w:r>
    </w:p>
    <w:p w14:paraId="327D137C" w14:textId="77777777" w:rsidR="00C23F1F" w:rsidRPr="0024327D" w:rsidRDefault="00C21269" w:rsidP="00C23F1F">
      <w:pPr>
        <w:rPr>
          <w:rFonts w:cstheme="minorHAnsi"/>
          <w:shd w:val="clear" w:color="auto" w:fill="FFFFFF"/>
          <w:lang w:val="uk-UA"/>
        </w:rPr>
      </w:pPr>
      <w:hyperlink r:id="rId19" w:history="1">
        <w:r w:rsidR="00C23F1F" w:rsidRPr="0024327D">
          <w:rPr>
            <w:rFonts w:cstheme="minorHAnsi"/>
            <w:color w:val="0563C1" w:themeColor="hyperlink"/>
            <w:u w:val="single"/>
            <w:shd w:val="clear" w:color="auto" w:fill="FFFFFF"/>
            <w:lang w:val="uk-UA"/>
          </w:rPr>
          <w:t>http://data.europa.eu/eli/dir/2013/36/oj</w:t>
        </w:r>
      </w:hyperlink>
    </w:p>
    <w:p w14:paraId="0361415C" w14:textId="3233EA3D" w:rsidR="00C23F1F" w:rsidRPr="0024327D" w:rsidRDefault="00C23F1F" w:rsidP="00133A3B">
      <w:pPr>
        <w:numPr>
          <w:ilvl w:val="0"/>
          <w:numId w:val="19"/>
        </w:numPr>
        <w:ind w:left="426" w:hanging="426"/>
        <w:contextualSpacing/>
        <w:rPr>
          <w:rFonts w:cstheme="minorHAnsi"/>
          <w:shd w:val="clear" w:color="auto" w:fill="FFFFFF"/>
          <w:lang w:val="uk-UA"/>
        </w:rPr>
      </w:pPr>
      <w:r w:rsidRPr="0024327D">
        <w:rPr>
          <w:rFonts w:cstheme="minorHAnsi"/>
          <w:shd w:val="clear" w:color="auto" w:fill="FFFFFF"/>
          <w:lang w:val="uk-UA"/>
        </w:rPr>
        <w:t>Регламент (ЄС) № 575/2013 Європейського Парламенту та Ради від 26 червня 2013 р. про пруденційний нагляд за кредитними установами та інвестиційними фірмами, що вносить зміни до Регламенту (ЄС) № 648/2012</w:t>
      </w:r>
      <w:r w:rsidRPr="0024327D" w:rsidDel="00FF6E1C">
        <w:rPr>
          <w:rFonts w:cstheme="minorHAnsi"/>
          <w:shd w:val="clear" w:color="auto" w:fill="FFFFFF"/>
          <w:lang w:val="uk-UA"/>
        </w:rPr>
        <w:t xml:space="preserve"> </w:t>
      </w:r>
      <w:r w:rsidRPr="0024327D">
        <w:rPr>
          <w:rFonts w:cstheme="minorHAnsi"/>
          <w:shd w:val="clear" w:color="auto" w:fill="FFFFFF"/>
          <w:lang w:val="uk-UA"/>
        </w:rPr>
        <w:t xml:space="preserve">(далі – </w:t>
      </w:r>
      <w:r w:rsidR="00A16F44" w:rsidRPr="0024327D">
        <w:rPr>
          <w:rFonts w:cstheme="minorHAnsi"/>
          <w:shd w:val="clear" w:color="auto" w:fill="FFFFFF"/>
          <w:lang w:val="uk-UA"/>
        </w:rPr>
        <w:t>“</w:t>
      </w:r>
      <w:r w:rsidRPr="0024327D">
        <w:rPr>
          <w:rFonts w:cstheme="minorHAnsi"/>
          <w:shd w:val="clear" w:color="auto" w:fill="FFFFFF"/>
          <w:lang w:val="uk-UA"/>
        </w:rPr>
        <w:t>Регламент про вимоги до капіталу</w:t>
      </w:r>
      <w:r w:rsidR="00A16F44" w:rsidRPr="0024327D">
        <w:rPr>
          <w:rFonts w:cstheme="minorHAnsi"/>
          <w:shd w:val="clear" w:color="auto" w:fill="FFFFFF"/>
          <w:lang w:val="uk-UA"/>
        </w:rPr>
        <w:t>”</w:t>
      </w:r>
      <w:r w:rsidR="00D9307F" w:rsidRPr="0024327D">
        <w:rPr>
          <w:rFonts w:cstheme="minorHAnsi"/>
          <w:shd w:val="clear" w:color="auto" w:fill="FFFFFF"/>
          <w:lang w:val="uk-UA"/>
        </w:rPr>
        <w:t>)</w:t>
      </w:r>
      <w:r w:rsidRPr="0024327D">
        <w:rPr>
          <w:rFonts w:cstheme="minorHAnsi"/>
          <w:shd w:val="clear" w:color="auto" w:fill="FFFFFF"/>
          <w:lang w:val="uk-UA"/>
        </w:rPr>
        <w:t>:</w:t>
      </w:r>
    </w:p>
    <w:p w14:paraId="45151A92" w14:textId="77777777" w:rsidR="00C23F1F" w:rsidRPr="0024327D" w:rsidRDefault="00C21269" w:rsidP="00C23F1F">
      <w:pPr>
        <w:rPr>
          <w:rFonts w:cstheme="minorHAnsi"/>
          <w:shd w:val="clear" w:color="auto" w:fill="FFFFFF"/>
          <w:lang w:val="uk-UA"/>
        </w:rPr>
      </w:pPr>
      <w:hyperlink r:id="rId20" w:history="1">
        <w:r w:rsidR="00C23F1F" w:rsidRPr="0024327D">
          <w:rPr>
            <w:rFonts w:cstheme="minorHAnsi"/>
            <w:color w:val="0563C1" w:themeColor="hyperlink"/>
            <w:u w:val="single"/>
            <w:shd w:val="clear" w:color="auto" w:fill="FFFFFF"/>
            <w:lang w:val="uk-UA"/>
          </w:rPr>
          <w:t>http://data.europa.eu/eli/reg/2013/575/oj</w:t>
        </w:r>
      </w:hyperlink>
    </w:p>
    <w:p w14:paraId="55A93D10" w14:textId="0A513107" w:rsidR="00C23F1F" w:rsidRPr="0024327D" w:rsidRDefault="00C23F1F" w:rsidP="00133A3B">
      <w:pPr>
        <w:numPr>
          <w:ilvl w:val="0"/>
          <w:numId w:val="19"/>
        </w:numPr>
        <w:ind w:left="426" w:hanging="426"/>
        <w:contextualSpacing/>
        <w:rPr>
          <w:rFonts w:cstheme="minorHAnsi"/>
          <w:shd w:val="clear" w:color="auto" w:fill="FFFFFF"/>
          <w:lang w:val="uk-UA"/>
        </w:rPr>
      </w:pPr>
      <w:r w:rsidRPr="0024327D">
        <w:rPr>
          <w:rFonts w:cstheme="minorHAnsi"/>
          <w:shd w:val="clear" w:color="auto" w:fill="FFFFFF"/>
          <w:lang w:val="uk-UA"/>
        </w:rPr>
        <w:t xml:space="preserve">Регламент (ЄС) 2017/1129 Європейського Парламенту та Ради від 14 червня 2017 р. про проспект емісії, який повинен бути опублікований, коли цінні папери будуть розміщені або допущені до торгів на регульованому ринку, та про скасування Директиви 2003/71/ЄС (далі – </w:t>
      </w:r>
      <w:r w:rsidR="00A16F44" w:rsidRPr="0024327D">
        <w:rPr>
          <w:rFonts w:cstheme="minorHAnsi"/>
          <w:shd w:val="clear" w:color="auto" w:fill="FFFFFF"/>
          <w:lang w:val="uk-UA"/>
        </w:rPr>
        <w:t>“</w:t>
      </w:r>
      <w:r w:rsidRPr="0024327D">
        <w:rPr>
          <w:rFonts w:cstheme="minorHAnsi"/>
          <w:shd w:val="clear" w:color="auto" w:fill="FFFFFF"/>
          <w:lang w:val="uk-UA"/>
        </w:rPr>
        <w:t>Регламент про проспект емісії</w:t>
      </w:r>
      <w:r w:rsidR="00A16F44" w:rsidRPr="0024327D">
        <w:rPr>
          <w:rFonts w:cstheme="minorHAnsi"/>
          <w:shd w:val="clear" w:color="auto" w:fill="FFFFFF"/>
          <w:lang w:val="uk-UA"/>
        </w:rPr>
        <w:t>”</w:t>
      </w:r>
      <w:r w:rsidRPr="0024327D">
        <w:rPr>
          <w:rFonts w:cstheme="minorHAnsi"/>
          <w:shd w:val="clear" w:color="auto" w:fill="FFFFFF"/>
          <w:lang w:val="uk-UA"/>
        </w:rPr>
        <w:t xml:space="preserve">): </w:t>
      </w:r>
    </w:p>
    <w:p w14:paraId="58986979" w14:textId="77777777" w:rsidR="00C23F1F" w:rsidRPr="0024327D" w:rsidRDefault="00C21269" w:rsidP="00C23F1F">
      <w:pPr>
        <w:rPr>
          <w:rFonts w:cstheme="minorHAnsi"/>
          <w:shd w:val="clear" w:color="auto" w:fill="FFFFFF"/>
          <w:lang w:val="uk-UA"/>
        </w:rPr>
      </w:pPr>
      <w:hyperlink r:id="rId21" w:history="1">
        <w:r w:rsidR="00C23F1F" w:rsidRPr="0024327D">
          <w:rPr>
            <w:rFonts w:cstheme="minorHAnsi"/>
            <w:color w:val="0563C1" w:themeColor="hyperlink"/>
            <w:u w:val="single"/>
            <w:shd w:val="clear" w:color="auto" w:fill="FFFFFF"/>
            <w:lang w:val="uk-UA"/>
          </w:rPr>
          <w:t>http://data.europa.eu/eli/reg/2017/1129/oj</w:t>
        </w:r>
      </w:hyperlink>
    </w:p>
    <w:p w14:paraId="1134A6FC" w14:textId="47159CA0" w:rsidR="006D6ECE" w:rsidRPr="0024327D" w:rsidRDefault="00C23F1F" w:rsidP="00133A3B">
      <w:pPr>
        <w:pStyle w:val="a4"/>
        <w:numPr>
          <w:ilvl w:val="0"/>
          <w:numId w:val="19"/>
        </w:numPr>
        <w:ind w:left="426" w:hanging="426"/>
        <w:rPr>
          <w:rFonts w:cstheme="minorHAnsi"/>
          <w:shd w:val="clear" w:color="auto" w:fill="FFFFFF"/>
          <w:lang w:val="uk-UA"/>
        </w:rPr>
      </w:pPr>
      <w:r w:rsidRPr="0024327D">
        <w:rPr>
          <w:rFonts w:cstheme="minorHAnsi"/>
          <w:shd w:val="clear" w:color="auto" w:fill="FFFFFF"/>
          <w:lang w:val="uk-UA"/>
        </w:rPr>
        <w:t>Регламент (ЄС) № 1060/2009 Європейського Парламенту та Ради від 16 вересня 2009 р.</w:t>
      </w:r>
      <w:r w:rsidR="00C01B3C" w:rsidRPr="0024327D">
        <w:rPr>
          <w:sz w:val="28"/>
          <w:lang w:val="uk-UA"/>
        </w:rPr>
        <w:t xml:space="preserve"> </w:t>
      </w:r>
      <w:r w:rsidR="00C01B3C" w:rsidRPr="0024327D">
        <w:rPr>
          <w:rFonts w:cstheme="minorHAnsi"/>
          <w:shd w:val="clear" w:color="auto" w:fill="FFFFFF"/>
          <w:lang w:val="uk-UA"/>
        </w:rPr>
        <w:t>щодо кредитних рейтингових агентств</w:t>
      </w:r>
      <w:r w:rsidR="006D6ECE" w:rsidRPr="0024327D">
        <w:rPr>
          <w:rFonts w:cstheme="minorHAnsi"/>
          <w:shd w:val="clear" w:color="auto" w:fill="FFFFFF"/>
          <w:lang w:val="uk-UA"/>
        </w:rPr>
        <w:t>:</w:t>
      </w:r>
    </w:p>
    <w:p w14:paraId="3B0458DD" w14:textId="201F0801" w:rsidR="0035268F" w:rsidRPr="00581CFE" w:rsidRDefault="00C21269" w:rsidP="0035268F">
      <w:pPr>
        <w:rPr>
          <w:rFonts w:cstheme="minorHAnsi"/>
          <w:shd w:val="clear" w:color="auto" w:fill="FFFFFF"/>
          <w:lang w:val="uk-UA"/>
        </w:rPr>
      </w:pPr>
      <w:hyperlink r:id="rId22" w:history="1">
        <w:r w:rsidR="0035268F" w:rsidRPr="0024327D">
          <w:rPr>
            <w:rStyle w:val="af4"/>
            <w:rFonts w:cstheme="minorHAnsi"/>
            <w:shd w:val="clear" w:color="auto" w:fill="FFFFFF"/>
            <w:lang w:val="uk-UA"/>
          </w:rPr>
          <w:t>http://data.europa.eu/eli/reg/2009/1060/oj</w:t>
        </w:r>
      </w:hyperlink>
    </w:p>
    <w:sectPr w:rsidR="0035268F" w:rsidRPr="00581CFE" w:rsidSect="009015FC">
      <w:footerReference w:type="default" r:id="rId23"/>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233E6" w14:textId="77777777" w:rsidR="00C21269" w:rsidRDefault="00C21269" w:rsidP="006E2CB1">
      <w:r>
        <w:separator/>
      </w:r>
    </w:p>
    <w:p w14:paraId="65BDB6F9" w14:textId="77777777" w:rsidR="00C21269" w:rsidRDefault="00C21269" w:rsidP="006E2CB1"/>
  </w:endnote>
  <w:endnote w:type="continuationSeparator" w:id="0">
    <w:p w14:paraId="2E5489F1" w14:textId="77777777" w:rsidR="00C21269" w:rsidRDefault="00C21269" w:rsidP="006E2CB1">
      <w:r>
        <w:continuationSeparator/>
      </w:r>
    </w:p>
    <w:p w14:paraId="7C3CA323" w14:textId="77777777" w:rsidR="00C21269" w:rsidRDefault="00C21269" w:rsidP="006E2CB1"/>
  </w:endnote>
  <w:endnote w:type="continuationNotice" w:id="1">
    <w:p w14:paraId="1084E650" w14:textId="77777777" w:rsidR="00C21269" w:rsidRDefault="00C21269" w:rsidP="006E2CB1"/>
    <w:p w14:paraId="55845517" w14:textId="77777777" w:rsidR="00C21269" w:rsidRDefault="00C21269" w:rsidP="006E2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B67D" w14:textId="37675BF8" w:rsidR="005634FA" w:rsidRDefault="005634FA" w:rsidP="003E375E">
    <w:pPr>
      <w:pStyle w:val="ae"/>
    </w:pPr>
    <w:r>
      <w:fldChar w:fldCharType="begin"/>
    </w:r>
    <w:r>
      <w:instrText xml:space="preserve"> PAGE   \* MERGEFORMAT </w:instrText>
    </w:r>
    <w:r>
      <w:fldChar w:fldCharType="separate"/>
    </w:r>
    <w:r w:rsidR="002D7C56">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95CC3" w14:textId="77777777" w:rsidR="00C21269" w:rsidRDefault="00C21269" w:rsidP="006E2CB1">
      <w:r>
        <w:separator/>
      </w:r>
    </w:p>
    <w:p w14:paraId="2B988F51" w14:textId="77777777" w:rsidR="00C21269" w:rsidRDefault="00C21269" w:rsidP="006E2CB1"/>
  </w:footnote>
  <w:footnote w:type="continuationSeparator" w:id="0">
    <w:p w14:paraId="30FB2D17" w14:textId="77777777" w:rsidR="00C21269" w:rsidRDefault="00C21269" w:rsidP="006E2CB1">
      <w:r>
        <w:continuationSeparator/>
      </w:r>
    </w:p>
    <w:p w14:paraId="2EFD9BE8" w14:textId="77777777" w:rsidR="00C21269" w:rsidRDefault="00C21269" w:rsidP="006E2CB1"/>
  </w:footnote>
  <w:footnote w:type="continuationNotice" w:id="1">
    <w:p w14:paraId="4E23E0B0" w14:textId="77777777" w:rsidR="00C21269" w:rsidRDefault="00C21269" w:rsidP="006E2CB1"/>
    <w:p w14:paraId="516FAC6F" w14:textId="77777777" w:rsidR="00C21269" w:rsidRDefault="00C21269" w:rsidP="006E2CB1"/>
  </w:footnote>
  <w:footnote w:id="2">
    <w:p w14:paraId="6335356A" w14:textId="15FCCD64" w:rsidR="005634FA" w:rsidRPr="008F56E8" w:rsidRDefault="005634FA">
      <w:pPr>
        <w:pStyle w:val="af0"/>
        <w:rPr>
          <w:lang w:val="uk-UA"/>
        </w:rPr>
      </w:pPr>
      <w:r w:rsidRPr="008F56E8">
        <w:rPr>
          <w:rStyle w:val="af2"/>
        </w:rPr>
        <w:footnoteRef/>
      </w:r>
      <w:r w:rsidRPr="008F56E8">
        <w:rPr>
          <w:lang w:val="uk-UA"/>
        </w:rPr>
        <w:t xml:space="preserve"> В Україні, для цього може використовуватися порука або інший спосіб забезпечення виконання зобов’язань</w:t>
      </w:r>
      <w:r>
        <w:rPr>
          <w:lang w:val="uk-UA"/>
        </w:rPr>
        <w:t>.</w:t>
      </w:r>
    </w:p>
  </w:footnote>
  <w:footnote w:id="3">
    <w:p w14:paraId="2E374B6E" w14:textId="1A8C9A35" w:rsidR="005634FA" w:rsidRPr="002E6ADF" w:rsidRDefault="005634FA">
      <w:pPr>
        <w:pStyle w:val="af0"/>
        <w:rPr>
          <w:lang w:val="ru-RU"/>
        </w:rPr>
      </w:pPr>
      <w:r>
        <w:rPr>
          <w:rStyle w:val="af2"/>
        </w:rPr>
        <w:footnoteRef/>
      </w:r>
      <w:r w:rsidRPr="002E6ADF">
        <w:rPr>
          <w:lang w:val="ru-RU"/>
        </w:rPr>
        <w:t xml:space="preserve"> Суверенний кредитний рейтинг України було знижено після 24 лютого 2022 року</w:t>
      </w:r>
      <w:r>
        <w:rPr>
          <w:lang w:val="ru-RU"/>
        </w:rPr>
        <w:t>.</w:t>
      </w:r>
    </w:p>
  </w:footnote>
  <w:footnote w:id="4">
    <w:p w14:paraId="4CA4F3DC" w14:textId="0318218B"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uk-UA"/>
        </w:rPr>
        <w:t>, Стаття</w:t>
      </w:r>
      <w:r w:rsidRPr="008F56E8">
        <w:rPr>
          <w:lang w:val="ru-RU"/>
        </w:rPr>
        <w:t xml:space="preserve"> 2(3)</w:t>
      </w:r>
      <w:r>
        <w:rPr>
          <w:lang w:val="ru-RU"/>
        </w:rPr>
        <w:t>.</w:t>
      </w:r>
    </w:p>
  </w:footnote>
  <w:footnote w:id="5">
    <w:p w14:paraId="1F9C43F1" w14:textId="4FCB75E9"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Директива щодо  облігацій з покриттям</w:t>
      </w:r>
      <w:r w:rsidRPr="008F56E8">
        <w:rPr>
          <w:lang w:val="ru-RU"/>
        </w:rPr>
        <w:t xml:space="preserve">, </w:t>
      </w:r>
      <w:r w:rsidRPr="008F56E8">
        <w:rPr>
          <w:lang w:val="uk-UA"/>
        </w:rPr>
        <w:t xml:space="preserve">Стаття </w:t>
      </w:r>
      <w:r w:rsidRPr="008F56E8">
        <w:rPr>
          <w:lang w:val="ru-RU"/>
        </w:rPr>
        <w:t xml:space="preserve">6; </w:t>
      </w:r>
      <w:r w:rsidRPr="008F56E8">
        <w:rPr>
          <w:lang w:val="uk-UA"/>
        </w:rPr>
        <w:t>Регламент про вимоги до капіталу, Стаття</w:t>
      </w:r>
      <w:r w:rsidRPr="008F56E8">
        <w:rPr>
          <w:lang w:val="ru-RU"/>
        </w:rPr>
        <w:t xml:space="preserve"> 129(1)</w:t>
      </w:r>
      <w:r>
        <w:rPr>
          <w:lang w:val="ru-RU"/>
        </w:rPr>
        <w:t>.</w:t>
      </w:r>
    </w:p>
  </w:footnote>
  <w:footnote w:id="6">
    <w:p w14:paraId="424149B1" w14:textId="1AE4D1D2"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 xml:space="preserve">Див. Регламент </w:t>
      </w:r>
      <w:r w:rsidRPr="008F56E8">
        <w:t>STS</w:t>
      </w:r>
      <w:r w:rsidRPr="008F56E8">
        <w:rPr>
          <w:lang w:val="uk-UA"/>
        </w:rPr>
        <w:t>, Глава</w:t>
      </w:r>
      <w:r w:rsidRPr="008F56E8">
        <w:rPr>
          <w:lang w:val="ru-RU"/>
        </w:rPr>
        <w:t xml:space="preserve"> 5</w:t>
      </w:r>
      <w:r>
        <w:rPr>
          <w:lang w:val="ru-RU"/>
        </w:rPr>
        <w:t>.</w:t>
      </w:r>
      <w:r w:rsidRPr="008F56E8">
        <w:rPr>
          <w:lang w:val="ru-RU"/>
        </w:rPr>
        <w:t xml:space="preserve"> </w:t>
      </w:r>
    </w:p>
  </w:footnote>
  <w:footnote w:id="7">
    <w:p w14:paraId="64294EE1" w14:textId="4B775020"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Директива про санацію та ліквідацію банків, Стаття</w:t>
      </w:r>
      <w:r w:rsidRPr="008F56E8">
        <w:rPr>
          <w:lang w:val="ru-RU"/>
        </w:rPr>
        <w:t xml:space="preserve"> 44(2)</w:t>
      </w:r>
      <w:r>
        <w:rPr>
          <w:lang w:val="ru-RU"/>
        </w:rPr>
        <w:t>.</w:t>
      </w:r>
    </w:p>
  </w:footnote>
  <w:footnote w:id="8">
    <w:p w14:paraId="4C4A1D35" w14:textId="5824F985"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Там сам</w:t>
      </w:r>
      <w:r w:rsidRPr="008F56E8">
        <w:rPr>
          <w:lang w:val="ru-RU"/>
        </w:rPr>
        <w:t>о</w:t>
      </w:r>
      <w:r>
        <w:rPr>
          <w:lang w:val="ru-RU"/>
        </w:rPr>
        <w:t>.</w:t>
      </w:r>
    </w:p>
  </w:footnote>
  <w:footnote w:id="9">
    <w:p w14:paraId="4DE3F677" w14:textId="3B49BC5C" w:rsidR="005634FA" w:rsidRPr="008F56E8" w:rsidRDefault="005634FA">
      <w:pPr>
        <w:pStyle w:val="af0"/>
        <w:rPr>
          <w:lang w:val="ru-RU"/>
        </w:rPr>
      </w:pPr>
      <w:r w:rsidRPr="008F56E8">
        <w:rPr>
          <w:rStyle w:val="af2"/>
        </w:rPr>
        <w:footnoteRef/>
      </w:r>
      <w:r w:rsidRPr="008F56E8">
        <w:rPr>
          <w:lang w:val="ru-RU"/>
        </w:rPr>
        <w:t xml:space="preserve"> </w:t>
      </w:r>
      <w:r w:rsidRPr="008F56E8">
        <w:t>UCITS</w:t>
      </w:r>
      <w:r w:rsidRPr="008F56E8">
        <w:rPr>
          <w:lang w:val="ru-RU"/>
        </w:rPr>
        <w:t xml:space="preserve">, </w:t>
      </w:r>
      <w:r w:rsidRPr="008F56E8">
        <w:rPr>
          <w:lang w:val="uk-UA"/>
        </w:rPr>
        <w:t xml:space="preserve">Стаття </w:t>
      </w:r>
      <w:r w:rsidRPr="008F56E8">
        <w:rPr>
          <w:lang w:val="ru-RU"/>
        </w:rPr>
        <w:t>52(4)</w:t>
      </w:r>
      <w:r>
        <w:rPr>
          <w:lang w:val="ru-RU"/>
        </w:rPr>
        <w:t>.</w:t>
      </w:r>
    </w:p>
  </w:footnote>
  <w:footnote w:id="10">
    <w:p w14:paraId="32C1AF3C" w14:textId="16CBDC02" w:rsidR="005634FA" w:rsidRPr="008F56E8" w:rsidRDefault="005634FA" w:rsidP="0038505C">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rPr>
          <w:lang w:val="en-US"/>
        </w:rPr>
        <w:t>STS</w:t>
      </w:r>
      <w:r w:rsidRPr="008F56E8">
        <w:rPr>
          <w:lang w:val="uk-UA"/>
        </w:rPr>
        <w:t>, Статті</w:t>
      </w:r>
      <w:r w:rsidRPr="008F56E8">
        <w:rPr>
          <w:lang w:val="ru-RU"/>
        </w:rPr>
        <w:t xml:space="preserve"> 2(1)</w:t>
      </w:r>
      <w:r>
        <w:rPr>
          <w:lang w:val="ru-RU"/>
        </w:rPr>
        <w:t>.</w:t>
      </w:r>
    </w:p>
  </w:footnote>
  <w:footnote w:id="11">
    <w:p w14:paraId="0344F8F0" w14:textId="4E448E8A"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ru-RU"/>
        </w:rPr>
        <w:t xml:space="preserve">, </w:t>
      </w:r>
      <w:r w:rsidRPr="008F56E8">
        <w:rPr>
          <w:lang w:val="uk-UA"/>
        </w:rPr>
        <w:t xml:space="preserve">Стаття </w:t>
      </w:r>
      <w:r w:rsidRPr="008F56E8">
        <w:rPr>
          <w:lang w:val="ru-RU"/>
        </w:rPr>
        <w:t>6</w:t>
      </w:r>
      <w:r>
        <w:rPr>
          <w:lang w:val="ru-RU"/>
        </w:rPr>
        <w:t>.</w:t>
      </w:r>
    </w:p>
  </w:footnote>
  <w:footnote w:id="12">
    <w:p w14:paraId="0BA53A0D" w14:textId="6340058A" w:rsidR="005634FA" w:rsidRPr="008F56E8" w:rsidRDefault="005634FA">
      <w:pPr>
        <w:pStyle w:val="af0"/>
        <w:rPr>
          <w:lang w:val="uk-UA"/>
        </w:rPr>
      </w:pPr>
      <w:r w:rsidRPr="008F56E8">
        <w:rPr>
          <w:rStyle w:val="af2"/>
        </w:rPr>
        <w:footnoteRef/>
      </w:r>
      <w:r w:rsidRPr="008F56E8">
        <w:rPr>
          <w:lang w:val="ru-RU"/>
        </w:rPr>
        <w:t xml:space="preserve"> </w:t>
      </w:r>
      <w:r w:rsidRPr="008F56E8">
        <w:rPr>
          <w:lang w:val="uk-UA"/>
        </w:rPr>
        <w:t xml:space="preserve">Див. вимоги, викладені у Регламенті </w:t>
      </w:r>
      <w:r w:rsidRPr="008F56E8">
        <w:t>STS</w:t>
      </w:r>
      <w:r w:rsidRPr="008F56E8">
        <w:rPr>
          <w:lang w:val="uk-UA"/>
        </w:rPr>
        <w:t>, Стаття</w:t>
      </w:r>
      <w:r w:rsidRPr="008F56E8">
        <w:rPr>
          <w:lang w:val="ru-RU"/>
        </w:rPr>
        <w:t xml:space="preserve"> 5</w:t>
      </w:r>
      <w:r>
        <w:rPr>
          <w:lang w:val="ru-RU"/>
        </w:rPr>
        <w:t>.</w:t>
      </w:r>
    </w:p>
  </w:footnote>
  <w:footnote w:id="13">
    <w:p w14:paraId="3677C124" w14:textId="25C3F040" w:rsidR="005634FA" w:rsidRPr="008F56E8" w:rsidRDefault="005634FA" w:rsidP="004C37C0">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uk-UA"/>
        </w:rPr>
        <w:t>, Стаття</w:t>
      </w:r>
      <w:r w:rsidRPr="008F56E8">
        <w:rPr>
          <w:lang w:val="ru-RU"/>
        </w:rPr>
        <w:t xml:space="preserve"> 2(1)</w:t>
      </w:r>
      <w:r>
        <w:rPr>
          <w:lang w:val="ru-RU"/>
        </w:rPr>
        <w:t>.</w:t>
      </w:r>
    </w:p>
  </w:footnote>
  <w:footnote w:id="14">
    <w:p w14:paraId="5C892B9A" w14:textId="68E49194" w:rsidR="005634FA" w:rsidRPr="008F56E8" w:rsidRDefault="005634FA" w:rsidP="00F071C6">
      <w:pPr>
        <w:pStyle w:val="af0"/>
        <w:rPr>
          <w:lang w:val="uk-UA"/>
        </w:rPr>
      </w:pPr>
      <w:r w:rsidRPr="008F56E8">
        <w:rPr>
          <w:rStyle w:val="af2"/>
        </w:rPr>
        <w:footnoteRef/>
      </w:r>
      <w:r w:rsidRPr="008F56E8">
        <w:rPr>
          <w:lang w:val="ru-RU"/>
        </w:rPr>
        <w:t xml:space="preserve"> </w:t>
      </w:r>
      <w:r w:rsidRPr="008F56E8">
        <w:rPr>
          <w:lang w:val="uk-UA"/>
        </w:rPr>
        <w:t>Див., наприклад, Регламент</w:t>
      </w:r>
      <w:r w:rsidRPr="008F56E8">
        <w:rPr>
          <w:lang w:val="ru-RU"/>
        </w:rPr>
        <w:t xml:space="preserve"> </w:t>
      </w:r>
      <w:r w:rsidRPr="008F56E8">
        <w:t>STS</w:t>
      </w:r>
      <w:r w:rsidRPr="008F56E8">
        <w:rPr>
          <w:lang w:val="uk-UA"/>
        </w:rPr>
        <w:t>, Стаття</w:t>
      </w:r>
      <w:r w:rsidRPr="008F56E8">
        <w:rPr>
          <w:lang w:val="ru-RU"/>
        </w:rPr>
        <w:t xml:space="preserve"> 2(10)</w:t>
      </w:r>
      <w:r>
        <w:rPr>
          <w:lang w:val="ru-RU"/>
        </w:rPr>
        <w:t>.</w:t>
      </w:r>
    </w:p>
  </w:footnote>
  <w:footnote w:id="15">
    <w:p w14:paraId="405AB3C0" w14:textId="23B1BBCD" w:rsidR="005634FA" w:rsidRPr="008F56E8" w:rsidRDefault="005634FA" w:rsidP="00EF4837">
      <w:pPr>
        <w:pStyle w:val="af0"/>
        <w:rPr>
          <w:lang w:val="uk-UA"/>
        </w:rPr>
      </w:pPr>
      <w:r w:rsidRPr="008F56E8">
        <w:rPr>
          <w:rStyle w:val="af2"/>
        </w:rPr>
        <w:footnoteRef/>
      </w:r>
      <w:r w:rsidRPr="008F56E8">
        <w:rPr>
          <w:lang w:val="uk-UA"/>
        </w:rPr>
        <w:t xml:space="preserve"> Див. Аналіз економічної доцільності щодо забезпечених облігацій в Європі, Підсумковий звіт, доступний за посиланням: </w:t>
      </w:r>
      <w:hyperlink r:id="rId1" w:history="1">
        <w:r w:rsidRPr="008F56E8">
          <w:rPr>
            <w:rStyle w:val="af4"/>
          </w:rPr>
          <w:t>https</w:t>
        </w:r>
        <w:r w:rsidRPr="008F56E8">
          <w:rPr>
            <w:rStyle w:val="af4"/>
            <w:lang w:val="uk-UA"/>
          </w:rPr>
          <w:t>://</w:t>
        </w:r>
        <w:r w:rsidRPr="008F56E8">
          <w:rPr>
            <w:rStyle w:val="af4"/>
          </w:rPr>
          <w:t>op</w:t>
        </w:r>
        <w:r w:rsidRPr="008F56E8">
          <w:rPr>
            <w:rStyle w:val="af4"/>
            <w:lang w:val="uk-UA"/>
          </w:rPr>
          <w:t>.</w:t>
        </w:r>
        <w:r w:rsidRPr="008F56E8">
          <w:rPr>
            <w:rStyle w:val="af4"/>
          </w:rPr>
          <w:t>europa</w:t>
        </w:r>
        <w:r w:rsidRPr="008F56E8">
          <w:rPr>
            <w:rStyle w:val="af4"/>
            <w:lang w:val="uk-UA"/>
          </w:rPr>
          <w:t>.</w:t>
        </w:r>
        <w:r w:rsidRPr="008F56E8">
          <w:rPr>
            <w:rStyle w:val="af4"/>
          </w:rPr>
          <w:t>eu</w:t>
        </w:r>
        <w:r w:rsidRPr="008F56E8">
          <w:rPr>
            <w:rStyle w:val="af4"/>
            <w:lang w:val="uk-UA"/>
          </w:rPr>
          <w:t>/</w:t>
        </w:r>
        <w:r w:rsidRPr="008F56E8">
          <w:rPr>
            <w:rStyle w:val="af4"/>
          </w:rPr>
          <w:t>en</w:t>
        </w:r>
        <w:r w:rsidRPr="008F56E8">
          <w:rPr>
            <w:rStyle w:val="af4"/>
            <w:lang w:val="uk-UA"/>
          </w:rPr>
          <w:t>/</w:t>
        </w:r>
        <w:r w:rsidRPr="008F56E8">
          <w:rPr>
            <w:rStyle w:val="af4"/>
          </w:rPr>
          <w:t>publication</w:t>
        </w:r>
        <w:r w:rsidRPr="008F56E8">
          <w:rPr>
            <w:rStyle w:val="af4"/>
            <w:lang w:val="uk-UA"/>
          </w:rPr>
          <w:t>-</w:t>
        </w:r>
        <w:r w:rsidRPr="008F56E8">
          <w:rPr>
            <w:rStyle w:val="af4"/>
          </w:rPr>
          <w:t>detail</w:t>
        </w:r>
        <w:r w:rsidRPr="008F56E8">
          <w:rPr>
            <w:rStyle w:val="af4"/>
            <w:lang w:val="uk-UA"/>
          </w:rPr>
          <w:t>/-/</w:t>
        </w:r>
        <w:r w:rsidRPr="008F56E8">
          <w:rPr>
            <w:rStyle w:val="af4"/>
          </w:rPr>
          <w:t>publication</w:t>
        </w:r>
        <w:r w:rsidRPr="008F56E8">
          <w:rPr>
            <w:rStyle w:val="af4"/>
            <w:lang w:val="uk-UA"/>
          </w:rPr>
          <w:t>/</w:t>
        </w:r>
        <w:r w:rsidRPr="008F56E8">
          <w:rPr>
            <w:rStyle w:val="af4"/>
          </w:rPr>
          <w:t>eba</w:t>
        </w:r>
        <w:r w:rsidRPr="008F56E8">
          <w:rPr>
            <w:rStyle w:val="af4"/>
            <w:lang w:val="uk-UA"/>
          </w:rPr>
          <w:t>761</w:t>
        </w:r>
        <w:r w:rsidRPr="008F56E8">
          <w:rPr>
            <w:rStyle w:val="af4"/>
          </w:rPr>
          <w:t>b</w:t>
        </w:r>
        <w:r w:rsidRPr="008F56E8">
          <w:rPr>
            <w:rStyle w:val="af4"/>
            <w:lang w:val="uk-UA"/>
          </w:rPr>
          <w:t>4-</w:t>
        </w:r>
        <w:r w:rsidRPr="008F56E8">
          <w:rPr>
            <w:rStyle w:val="af4"/>
          </w:rPr>
          <w:t>d</w:t>
        </w:r>
        <w:r w:rsidRPr="008F56E8">
          <w:rPr>
            <w:rStyle w:val="af4"/>
            <w:lang w:val="uk-UA"/>
          </w:rPr>
          <w:t>026-11</w:t>
        </w:r>
        <w:r w:rsidRPr="008F56E8">
          <w:rPr>
            <w:rStyle w:val="af4"/>
          </w:rPr>
          <w:t>e</w:t>
        </w:r>
        <w:r w:rsidRPr="008F56E8">
          <w:rPr>
            <w:rStyle w:val="af4"/>
            <w:lang w:val="uk-UA"/>
          </w:rPr>
          <w:t>8-9424-01</w:t>
        </w:r>
        <w:r w:rsidRPr="008F56E8">
          <w:rPr>
            <w:rStyle w:val="af4"/>
          </w:rPr>
          <w:t>aa</w:t>
        </w:r>
        <w:r w:rsidRPr="008F56E8">
          <w:rPr>
            <w:rStyle w:val="af4"/>
            <w:lang w:val="uk-UA"/>
          </w:rPr>
          <w:t>75</w:t>
        </w:r>
        <w:r w:rsidRPr="008F56E8">
          <w:rPr>
            <w:rStyle w:val="af4"/>
          </w:rPr>
          <w:t>ed</w:t>
        </w:r>
        <w:r w:rsidRPr="008F56E8">
          <w:rPr>
            <w:rStyle w:val="af4"/>
            <w:lang w:val="uk-UA"/>
          </w:rPr>
          <w:t>71</w:t>
        </w:r>
        <w:r w:rsidRPr="008F56E8">
          <w:rPr>
            <w:rStyle w:val="af4"/>
          </w:rPr>
          <w:t>a</w:t>
        </w:r>
        <w:r w:rsidRPr="008F56E8">
          <w:rPr>
            <w:rStyle w:val="af4"/>
            <w:lang w:val="uk-UA"/>
          </w:rPr>
          <w:t>1/</w:t>
        </w:r>
        <w:r w:rsidRPr="008F56E8">
          <w:rPr>
            <w:rStyle w:val="af4"/>
          </w:rPr>
          <w:t>language</w:t>
        </w:r>
        <w:r w:rsidRPr="008F56E8">
          <w:rPr>
            <w:rStyle w:val="af4"/>
            <w:lang w:val="uk-UA"/>
          </w:rPr>
          <w:t>-</w:t>
        </w:r>
        <w:r w:rsidRPr="008F56E8">
          <w:rPr>
            <w:rStyle w:val="af4"/>
          </w:rPr>
          <w:t>en</w:t>
        </w:r>
      </w:hyperlink>
      <w:r>
        <w:rPr>
          <w:lang w:val="uk-UA"/>
        </w:rPr>
        <w:t>.</w:t>
      </w:r>
    </w:p>
  </w:footnote>
  <w:footnote w:id="16">
    <w:p w14:paraId="723474FC" w14:textId="7B4304B3" w:rsidR="005634FA" w:rsidRPr="008F56E8" w:rsidRDefault="005634FA" w:rsidP="002044B6">
      <w:pPr>
        <w:pStyle w:val="af0"/>
        <w:rPr>
          <w:lang w:val="ru-RU"/>
        </w:rPr>
      </w:pPr>
      <w:r w:rsidRPr="008F56E8">
        <w:rPr>
          <w:rStyle w:val="af2"/>
        </w:rPr>
        <w:footnoteRef/>
      </w:r>
      <w:r w:rsidRPr="008F56E8">
        <w:rPr>
          <w:lang w:val="ru-RU"/>
        </w:rPr>
        <w:t xml:space="preserve"> </w:t>
      </w:r>
      <w:r w:rsidRPr="008F56E8">
        <w:rPr>
          <w:lang w:val="uk-UA"/>
        </w:rPr>
        <w:t xml:space="preserve">Див. Регламент </w:t>
      </w:r>
      <w:r w:rsidRPr="008F56E8">
        <w:t>STS</w:t>
      </w:r>
      <w:r w:rsidRPr="008F56E8">
        <w:rPr>
          <w:lang w:val="uk-UA"/>
        </w:rPr>
        <w:t>, Стаття</w:t>
      </w:r>
      <w:r w:rsidRPr="008F56E8">
        <w:rPr>
          <w:lang w:val="ru-RU"/>
        </w:rPr>
        <w:t xml:space="preserve"> 20</w:t>
      </w:r>
      <w:r>
        <w:rPr>
          <w:lang w:val="ru-RU"/>
        </w:rPr>
        <w:t>.</w:t>
      </w:r>
    </w:p>
  </w:footnote>
  <w:footnote w:id="17">
    <w:p w14:paraId="0F60C61E" w14:textId="747E6390" w:rsidR="005634FA" w:rsidRPr="008F56E8" w:rsidRDefault="005634FA" w:rsidP="002044B6">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8(1); </w:t>
      </w:r>
      <w:r w:rsidRPr="008F56E8">
        <w:rPr>
          <w:lang w:val="uk-UA"/>
        </w:rPr>
        <w:t>Стаття</w:t>
      </w:r>
      <w:r w:rsidRPr="008F56E8">
        <w:rPr>
          <w:lang w:val="ru-RU"/>
        </w:rPr>
        <w:t xml:space="preserve"> 24(15)</w:t>
      </w:r>
      <w:r>
        <w:rPr>
          <w:lang w:val="ru-RU"/>
        </w:rPr>
        <w:t>.</w:t>
      </w:r>
    </w:p>
  </w:footnote>
  <w:footnote w:id="18">
    <w:p w14:paraId="75595D8A" w14:textId="0031C550" w:rsidR="005634FA" w:rsidRPr="008F56E8" w:rsidRDefault="005634FA" w:rsidP="002044B6">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6</w:t>
      </w:r>
      <w:r>
        <w:rPr>
          <w:lang w:val="ru-RU"/>
        </w:rPr>
        <w:t>.</w:t>
      </w:r>
    </w:p>
  </w:footnote>
  <w:footnote w:id="19">
    <w:p w14:paraId="5B9C8E61" w14:textId="6DFD0AEE" w:rsidR="005634FA" w:rsidRPr="008F56E8" w:rsidRDefault="005634FA" w:rsidP="002044B6">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22</w:t>
      </w:r>
      <w:r>
        <w:rPr>
          <w:lang w:val="ru-RU"/>
        </w:rPr>
        <w:t>.</w:t>
      </w:r>
    </w:p>
  </w:footnote>
  <w:footnote w:id="20">
    <w:p w14:paraId="27C21DCF" w14:textId="45E4B479" w:rsidR="005634FA" w:rsidRPr="008F56E8" w:rsidRDefault="005634FA" w:rsidP="0045403B">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ru-RU"/>
        </w:rPr>
        <w:t xml:space="preserve"> </w:t>
      </w:r>
      <w:r w:rsidRPr="008F56E8">
        <w:rPr>
          <w:lang w:val="uk-UA"/>
        </w:rPr>
        <w:t>та Директива щодо облігацій з покриттям</w:t>
      </w:r>
      <w:r>
        <w:rPr>
          <w:lang w:val="uk-UA"/>
        </w:rPr>
        <w:t>.</w:t>
      </w:r>
    </w:p>
  </w:footnote>
  <w:footnote w:id="21">
    <w:p w14:paraId="6AFD43BE" w14:textId="0D29E324" w:rsidR="005634FA" w:rsidRPr="008F56E8" w:rsidRDefault="005634FA">
      <w:pPr>
        <w:pStyle w:val="af0"/>
        <w:rPr>
          <w:lang w:val="uk-UA"/>
        </w:rPr>
      </w:pPr>
      <w:r w:rsidRPr="008F56E8">
        <w:rPr>
          <w:rStyle w:val="af2"/>
        </w:rPr>
        <w:footnoteRef/>
      </w:r>
      <w:r w:rsidRPr="008F56E8">
        <w:rPr>
          <w:lang w:val="ru-RU"/>
        </w:rPr>
        <w:t xml:space="preserve"> </w:t>
      </w:r>
      <w:r w:rsidRPr="008F56E8">
        <w:rPr>
          <w:lang w:val="uk-UA"/>
        </w:rPr>
        <w:t xml:space="preserve">Регламент </w:t>
      </w:r>
      <w:r w:rsidRPr="008F56E8">
        <w:rPr>
          <w:lang w:val="en-US"/>
        </w:rPr>
        <w:t>STS</w:t>
      </w:r>
      <w:r w:rsidRPr="008F56E8">
        <w:rPr>
          <w:lang w:val="ru-RU"/>
        </w:rPr>
        <w:t xml:space="preserve">, </w:t>
      </w:r>
      <w:r w:rsidRPr="008F56E8">
        <w:rPr>
          <w:lang w:val="uk-UA"/>
        </w:rPr>
        <w:t>п.11 преамбули, стаття 6</w:t>
      </w:r>
      <w:r>
        <w:rPr>
          <w:lang w:val="uk-UA"/>
        </w:rPr>
        <w:t>.</w:t>
      </w:r>
    </w:p>
  </w:footnote>
  <w:footnote w:id="22">
    <w:p w14:paraId="59E907FE" w14:textId="2FBE7F14" w:rsidR="005634FA" w:rsidRPr="008F56E8" w:rsidRDefault="005634FA" w:rsidP="000716BD">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uk-UA"/>
        </w:rPr>
        <w:t>, Стаття</w:t>
      </w:r>
      <w:r w:rsidRPr="008F56E8">
        <w:rPr>
          <w:lang w:val="ru-RU"/>
        </w:rPr>
        <w:t xml:space="preserve"> 2(2)</w:t>
      </w:r>
      <w:r>
        <w:rPr>
          <w:lang w:val="ru-RU"/>
        </w:rPr>
        <w:t>.</w:t>
      </w:r>
    </w:p>
  </w:footnote>
  <w:footnote w:id="23">
    <w:p w14:paraId="08E698B3" w14:textId="5AFDDDD9" w:rsidR="005634FA" w:rsidRPr="00D41517" w:rsidRDefault="005634FA" w:rsidP="00AB16CB">
      <w:pPr>
        <w:pStyle w:val="af0"/>
        <w:rPr>
          <w:lang w:val="ru-RU"/>
        </w:rPr>
      </w:pPr>
      <w:r w:rsidRPr="008F56E8">
        <w:rPr>
          <w:rStyle w:val="af2"/>
        </w:rPr>
        <w:footnoteRef/>
      </w:r>
      <w:r w:rsidRPr="008F56E8">
        <w:rPr>
          <w:lang w:val="ru-RU"/>
        </w:rPr>
        <w:t xml:space="preserve"> </w:t>
      </w:r>
      <w:r w:rsidRPr="008F56E8">
        <w:rPr>
          <w:lang w:val="uk-UA"/>
        </w:rPr>
        <w:t>Там само</w:t>
      </w:r>
      <w:r w:rsidRPr="00D41517">
        <w:rPr>
          <w:lang w:val="ru-RU"/>
        </w:rPr>
        <w:t>.</w:t>
      </w:r>
    </w:p>
  </w:footnote>
  <w:footnote w:id="24">
    <w:p w14:paraId="1CF84872" w14:textId="3A1DEE2B" w:rsidR="005634FA" w:rsidRPr="00D41517" w:rsidRDefault="005634FA">
      <w:pPr>
        <w:pStyle w:val="af0"/>
        <w:rPr>
          <w:lang w:val="ru-RU"/>
        </w:rPr>
      </w:pPr>
      <w:r w:rsidRPr="008F56E8">
        <w:rPr>
          <w:rStyle w:val="af2"/>
        </w:rPr>
        <w:footnoteRef/>
      </w:r>
      <w:r w:rsidRPr="008F56E8">
        <w:rPr>
          <w:lang w:val="ru-RU"/>
        </w:rPr>
        <w:t xml:space="preserve"> </w:t>
      </w:r>
      <w:r w:rsidRPr="008F56E8">
        <w:rPr>
          <w:lang w:val="uk-UA"/>
        </w:rPr>
        <w:t>Там само</w:t>
      </w:r>
      <w:r w:rsidRPr="008F56E8">
        <w:rPr>
          <w:lang w:val="ru-RU"/>
        </w:rPr>
        <w:t xml:space="preserve">, </w:t>
      </w:r>
      <w:r w:rsidRPr="008F56E8">
        <w:rPr>
          <w:lang w:val="uk-UA"/>
        </w:rPr>
        <w:t>Стаття</w:t>
      </w:r>
      <w:r w:rsidRPr="008F56E8">
        <w:rPr>
          <w:lang w:val="ru-RU"/>
        </w:rPr>
        <w:t xml:space="preserve"> 20(1)</w:t>
      </w:r>
      <w:r w:rsidRPr="00D41517">
        <w:rPr>
          <w:lang w:val="ru-RU"/>
        </w:rPr>
        <w:t>.</w:t>
      </w:r>
    </w:p>
  </w:footnote>
  <w:footnote w:id="25">
    <w:p w14:paraId="21DAE699" w14:textId="780A8326" w:rsidR="005634FA" w:rsidRPr="00D41517" w:rsidRDefault="005634FA">
      <w:pPr>
        <w:pStyle w:val="af0"/>
        <w:rPr>
          <w:lang w:val="ru-RU"/>
        </w:rPr>
      </w:pPr>
      <w:r w:rsidRPr="008F56E8">
        <w:rPr>
          <w:rStyle w:val="af2"/>
        </w:rPr>
        <w:footnoteRef/>
      </w:r>
      <w:r w:rsidRPr="008F56E8">
        <w:rPr>
          <w:lang w:val="ru-RU"/>
        </w:rPr>
        <w:t xml:space="preserve"> </w:t>
      </w:r>
      <w:r w:rsidRPr="008F56E8">
        <w:rPr>
          <w:lang w:val="uk-UA"/>
        </w:rPr>
        <w:t>Там само</w:t>
      </w:r>
      <w:r w:rsidRPr="00D41517">
        <w:rPr>
          <w:lang w:val="ru-RU"/>
        </w:rPr>
        <w:t>.</w:t>
      </w:r>
    </w:p>
  </w:footnote>
  <w:footnote w:id="26">
    <w:p w14:paraId="67EACC06" w14:textId="2946C189" w:rsidR="005634FA" w:rsidRPr="00CD2403"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2(6),(18)</w:t>
      </w:r>
      <w:r w:rsidRPr="00CD2403">
        <w:rPr>
          <w:lang w:val="ru-RU"/>
        </w:rPr>
        <w:t>.</w:t>
      </w:r>
    </w:p>
  </w:footnote>
  <w:footnote w:id="27">
    <w:p w14:paraId="4B00930D" w14:textId="1A7B7D6A" w:rsidR="005634FA" w:rsidRPr="00EC0E2F"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20(8)</w:t>
      </w:r>
      <w:r w:rsidRPr="00EC0E2F">
        <w:rPr>
          <w:lang w:val="ru-RU"/>
        </w:rPr>
        <w:t>.</w:t>
      </w:r>
    </w:p>
  </w:footnote>
  <w:footnote w:id="28">
    <w:p w14:paraId="45876C5C" w14:textId="0E86FA6B" w:rsidR="005634FA" w:rsidRPr="00EC0E2F"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20(10)</w:t>
      </w:r>
      <w:r w:rsidRPr="00EC0E2F">
        <w:rPr>
          <w:lang w:val="ru-RU"/>
        </w:rPr>
        <w:t>.</w:t>
      </w:r>
    </w:p>
  </w:footnote>
  <w:footnote w:id="29">
    <w:p w14:paraId="641291A6" w14:textId="6B41831B" w:rsidR="005634FA" w:rsidRPr="00EC0E2F"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7(1)</w:t>
      </w:r>
      <w:r w:rsidRPr="00EC0E2F">
        <w:rPr>
          <w:lang w:val="ru-RU"/>
        </w:rPr>
        <w:t>.</w:t>
      </w:r>
    </w:p>
  </w:footnote>
  <w:footnote w:id="30">
    <w:p w14:paraId="53D37724" w14:textId="4B4F9167" w:rsidR="005634FA" w:rsidRPr="00EC0E2F"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21(2)</w:t>
      </w:r>
      <w:r w:rsidRPr="00EC0E2F">
        <w:rPr>
          <w:lang w:val="ru-RU"/>
        </w:rPr>
        <w:t>.</w:t>
      </w:r>
    </w:p>
  </w:footnote>
  <w:footnote w:id="31">
    <w:p w14:paraId="3B8319AF" w14:textId="4689FA27" w:rsidR="005634FA" w:rsidRPr="00EC0E2F"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22(3)</w:t>
      </w:r>
      <w:r w:rsidRPr="00EC0E2F">
        <w:rPr>
          <w:lang w:val="ru-RU"/>
        </w:rPr>
        <w:t>.</w:t>
      </w:r>
    </w:p>
  </w:footnote>
  <w:footnote w:id="32">
    <w:p w14:paraId="548269D2" w14:textId="364E8CED" w:rsidR="005634FA" w:rsidRPr="00FB6EEE" w:rsidRDefault="005634FA">
      <w:pPr>
        <w:pStyle w:val="af0"/>
        <w:rPr>
          <w:lang w:val="ru-RU"/>
        </w:rPr>
      </w:pPr>
      <w:r w:rsidRPr="008F56E8">
        <w:rPr>
          <w:rStyle w:val="af2"/>
        </w:rPr>
        <w:footnoteRef/>
      </w:r>
      <w:r w:rsidRPr="008F56E8">
        <w:rPr>
          <w:lang w:val="ru-RU"/>
        </w:rPr>
        <w:t xml:space="preserve"> </w:t>
      </w:r>
      <w:r w:rsidRPr="008F56E8">
        <w:rPr>
          <w:lang w:val="uk-UA"/>
        </w:rPr>
        <w:t>Там само, Стаття</w:t>
      </w:r>
      <w:r w:rsidRPr="008F56E8">
        <w:rPr>
          <w:lang w:val="ru-RU"/>
        </w:rPr>
        <w:t xml:space="preserve"> 6(1)</w:t>
      </w:r>
      <w:r w:rsidRPr="00FB6EEE">
        <w:rPr>
          <w:lang w:val="ru-RU"/>
        </w:rPr>
        <w:t>.</w:t>
      </w:r>
    </w:p>
  </w:footnote>
  <w:footnote w:id="33">
    <w:p w14:paraId="3867F5C1" w14:textId="00EC05FA" w:rsidR="005634FA" w:rsidRPr="00FB6EEE" w:rsidRDefault="005634FA">
      <w:pPr>
        <w:pStyle w:val="af0"/>
        <w:rPr>
          <w:lang w:val="ru-RU"/>
        </w:rPr>
      </w:pPr>
      <w:r>
        <w:rPr>
          <w:rStyle w:val="af2"/>
        </w:rPr>
        <w:footnoteRef/>
      </w:r>
      <w:r w:rsidRPr="00FB6EEE">
        <w:rPr>
          <w:lang w:val="ru-RU"/>
        </w:rPr>
        <w:t xml:space="preserve"> Там само, Стаття</w:t>
      </w:r>
      <w:r>
        <w:rPr>
          <w:lang w:val="ru-RU"/>
        </w:rPr>
        <w:t xml:space="preserve"> 3(1).</w:t>
      </w:r>
    </w:p>
  </w:footnote>
  <w:footnote w:id="34">
    <w:p w14:paraId="0E8E8F03" w14:textId="216D1678" w:rsidR="005634FA" w:rsidRPr="008F56E8" w:rsidRDefault="005634FA" w:rsidP="0005723A">
      <w:pPr>
        <w:pStyle w:val="af0"/>
        <w:rPr>
          <w:rFonts w:cstheme="minorHAnsi"/>
          <w:lang w:val="ru-RU"/>
        </w:rPr>
      </w:pPr>
      <w:r w:rsidRPr="008F56E8">
        <w:rPr>
          <w:rStyle w:val="af2"/>
          <w:rFonts w:cstheme="minorHAnsi"/>
        </w:rPr>
        <w:footnoteRef/>
      </w:r>
      <w:r w:rsidRPr="008F56E8">
        <w:rPr>
          <w:rFonts w:cstheme="minorHAnsi"/>
          <w:lang w:val="ru-RU"/>
        </w:rPr>
        <w:t xml:space="preserve"> </w:t>
      </w:r>
      <w:r w:rsidRPr="008F56E8">
        <w:rPr>
          <w:rFonts w:cstheme="minorHAnsi"/>
          <w:lang w:val="uk-UA"/>
        </w:rPr>
        <w:t>Основою цих даних є річні звіт</w:t>
      </w:r>
      <w:r>
        <w:rPr>
          <w:rFonts w:cstheme="minorHAnsi"/>
          <w:lang w:val="uk-UA"/>
        </w:rPr>
        <w:t xml:space="preserve">и </w:t>
      </w:r>
      <w:r w:rsidRPr="008F56E8">
        <w:rPr>
          <w:rFonts w:cstheme="minorHAnsi"/>
          <w:lang w:val="uk-UA"/>
        </w:rPr>
        <w:t xml:space="preserve">НКЦПФР за </w:t>
      </w:r>
      <w:r w:rsidRPr="008F56E8">
        <w:rPr>
          <w:rFonts w:cstheme="minorHAnsi"/>
          <w:color w:val="000000"/>
          <w:lang w:val="ru-RU" w:eastAsia="uk-UA"/>
        </w:rPr>
        <w:t>2005-</w:t>
      </w:r>
      <w:r>
        <w:rPr>
          <w:rFonts w:cstheme="minorHAnsi"/>
          <w:color w:val="000000"/>
          <w:lang w:val="ru-RU" w:eastAsia="uk-UA"/>
        </w:rPr>
        <w:t>2021</w:t>
      </w:r>
      <w:r w:rsidRPr="008F56E8">
        <w:rPr>
          <w:rFonts w:cstheme="minorHAnsi"/>
          <w:color w:val="000000"/>
          <w:lang w:val="ru-RU" w:eastAsia="uk-UA"/>
        </w:rPr>
        <w:t xml:space="preserve"> </w:t>
      </w:r>
      <w:r w:rsidRPr="008F56E8">
        <w:rPr>
          <w:rFonts w:cstheme="minorHAnsi"/>
          <w:color w:val="000000"/>
          <w:lang w:val="uk-UA" w:eastAsia="uk-UA"/>
        </w:rPr>
        <w:t>роки</w:t>
      </w:r>
      <w:r>
        <w:rPr>
          <w:rFonts w:cstheme="minorHAnsi"/>
          <w:color w:val="000000"/>
          <w:lang w:val="uk-UA" w:eastAsia="uk-UA"/>
        </w:rPr>
        <w:t>.</w:t>
      </w:r>
    </w:p>
  </w:footnote>
  <w:footnote w:id="35">
    <w:p w14:paraId="61A46C78" w14:textId="6E33EF7E" w:rsidR="005634FA" w:rsidRPr="008F56E8" w:rsidRDefault="005634FA">
      <w:pPr>
        <w:pStyle w:val="af0"/>
        <w:rPr>
          <w:lang w:val="ru-RU"/>
        </w:rPr>
      </w:pPr>
      <w:r w:rsidRPr="008F56E8">
        <w:rPr>
          <w:rStyle w:val="af2"/>
        </w:rPr>
        <w:footnoteRef/>
      </w:r>
      <w:r w:rsidRPr="008F56E8">
        <w:rPr>
          <w:lang w:val="ru-RU"/>
        </w:rPr>
        <w:t xml:space="preserve"> </w:t>
      </w:r>
      <w:r w:rsidRPr="008F56E8">
        <w:rPr>
          <w:lang w:val="uk-UA"/>
        </w:rPr>
        <w:t>В Україні, для цього може використовуватися порука або інший спосіб забезпечення виконання зобов’язань</w:t>
      </w:r>
      <w:r>
        <w:rPr>
          <w:lang w:val="uk-UA"/>
        </w:rPr>
        <w:t>.</w:t>
      </w:r>
    </w:p>
  </w:footnote>
  <w:footnote w:id="36">
    <w:p w14:paraId="0F112DFE" w14:textId="07615BD5" w:rsidR="005634FA" w:rsidRPr="008F56E8" w:rsidRDefault="005634FA" w:rsidP="008E5688">
      <w:pPr>
        <w:pStyle w:val="af0"/>
        <w:rPr>
          <w:lang w:val="uk-UA"/>
        </w:rPr>
      </w:pPr>
      <w:r w:rsidRPr="008F56E8">
        <w:rPr>
          <w:rStyle w:val="af2"/>
          <w:lang w:val="uk-UA"/>
        </w:rPr>
        <w:footnoteRef/>
      </w:r>
      <w:r w:rsidRPr="008F56E8">
        <w:rPr>
          <w:lang w:val="uk-UA"/>
        </w:rPr>
        <w:t xml:space="preserve"> </w:t>
      </w:r>
      <w:r w:rsidRPr="008F56E8">
        <w:rPr>
          <w:rFonts w:cs="Segoe UI"/>
          <w:shd w:val="clear" w:color="auto" w:fill="FFFFFF"/>
          <w:lang w:val="uk-UA"/>
        </w:rPr>
        <w:t>Регламент про вимоги до капіталу</w:t>
      </w:r>
      <w:r w:rsidRPr="008F56E8">
        <w:rPr>
          <w:lang w:val="uk-UA"/>
        </w:rPr>
        <w:t>, Стаття 129</w:t>
      </w:r>
      <w:r>
        <w:rPr>
          <w:lang w:val="uk-UA"/>
        </w:rPr>
        <w:t>.</w:t>
      </w:r>
    </w:p>
  </w:footnote>
  <w:footnote w:id="37">
    <w:p w14:paraId="211E2D29" w14:textId="2AF6A7C5" w:rsidR="005634FA" w:rsidRPr="008F56E8" w:rsidRDefault="005634FA" w:rsidP="008E5688">
      <w:pPr>
        <w:pStyle w:val="af0"/>
        <w:rPr>
          <w:lang w:val="ru-RU"/>
        </w:rPr>
      </w:pPr>
      <w:r w:rsidRPr="008F56E8">
        <w:rPr>
          <w:rStyle w:val="af2"/>
          <w:lang w:val="uk-UA"/>
        </w:rPr>
        <w:footnoteRef/>
      </w:r>
      <w:r w:rsidRPr="008F56E8">
        <w:rPr>
          <w:lang w:val="uk-UA"/>
        </w:rPr>
        <w:t xml:space="preserve"> Там само; Див. також Директива про іпотечні облігації, Стаття 6(1)</w:t>
      </w:r>
      <w:r>
        <w:rPr>
          <w:lang w:val="ru-RU"/>
        </w:rPr>
        <w:t>.</w:t>
      </w:r>
    </w:p>
  </w:footnote>
  <w:footnote w:id="38">
    <w:p w14:paraId="1DB7471A" w14:textId="538EFF3E"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 xml:space="preserve">Директива про іпотечні облігації, Стаття </w:t>
      </w:r>
      <w:r w:rsidRPr="008F56E8">
        <w:rPr>
          <w:lang w:val="ru-RU"/>
        </w:rPr>
        <w:t>11(1)</w:t>
      </w:r>
      <w:r>
        <w:rPr>
          <w:lang w:val="ru-RU"/>
        </w:rPr>
        <w:t>.</w:t>
      </w:r>
    </w:p>
  </w:footnote>
  <w:footnote w:id="39">
    <w:p w14:paraId="1B2F75AE" w14:textId="2FE2BCB9"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Там само</w:t>
      </w:r>
      <w:r w:rsidRPr="008F56E8">
        <w:rPr>
          <w:lang w:val="ru-RU"/>
        </w:rPr>
        <w:t xml:space="preserve">, </w:t>
      </w:r>
      <w:r w:rsidRPr="008F56E8">
        <w:rPr>
          <w:lang w:val="uk-UA"/>
        </w:rPr>
        <w:t>Стаття</w:t>
      </w:r>
      <w:r w:rsidRPr="008F56E8">
        <w:rPr>
          <w:lang w:val="ru-RU"/>
        </w:rPr>
        <w:t xml:space="preserve"> 6(4)</w:t>
      </w:r>
      <w:r>
        <w:rPr>
          <w:lang w:val="ru-RU"/>
        </w:rPr>
        <w:t>.</w:t>
      </w:r>
    </w:p>
  </w:footnote>
  <w:footnote w:id="40">
    <w:p w14:paraId="06C267C3" w14:textId="6E45DD38"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Див. там само</w:t>
      </w:r>
      <w:r w:rsidRPr="008F56E8">
        <w:rPr>
          <w:lang w:val="ru-RU"/>
        </w:rPr>
        <w:t xml:space="preserve">, </w:t>
      </w:r>
      <w:r w:rsidRPr="008F56E8">
        <w:rPr>
          <w:lang w:val="uk-UA"/>
        </w:rPr>
        <w:t>Стаття</w:t>
      </w:r>
      <w:r w:rsidRPr="008F56E8">
        <w:rPr>
          <w:lang w:val="ru-RU"/>
        </w:rPr>
        <w:t xml:space="preserve"> 16</w:t>
      </w:r>
      <w:r>
        <w:rPr>
          <w:lang w:val="ru-RU"/>
        </w:rPr>
        <w:t>.</w:t>
      </w:r>
    </w:p>
  </w:footnote>
  <w:footnote w:id="41">
    <w:p w14:paraId="6B134541" w14:textId="286EDED3"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3(19), 20(2)</w:t>
      </w:r>
      <w:r>
        <w:rPr>
          <w:lang w:val="ru-RU"/>
        </w:rPr>
        <w:t>.</w:t>
      </w:r>
    </w:p>
  </w:footnote>
  <w:footnote w:id="42">
    <w:p w14:paraId="5D54CF44" w14:textId="38DBF523"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12</w:t>
      </w:r>
      <w:r>
        <w:rPr>
          <w:lang w:val="ru-RU"/>
        </w:rPr>
        <w:t>.</w:t>
      </w:r>
    </w:p>
  </w:footnote>
  <w:footnote w:id="43">
    <w:p w14:paraId="19A038E6" w14:textId="53838458"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5</w:t>
      </w:r>
      <w:r>
        <w:rPr>
          <w:lang w:val="ru-RU"/>
        </w:rPr>
        <w:t>.</w:t>
      </w:r>
    </w:p>
  </w:footnote>
  <w:footnote w:id="44">
    <w:p w14:paraId="32B39730" w14:textId="4067016B"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18(1)-(2)</w:t>
      </w:r>
      <w:r>
        <w:rPr>
          <w:lang w:val="ru-RU"/>
        </w:rPr>
        <w:t>.</w:t>
      </w:r>
    </w:p>
  </w:footnote>
  <w:footnote w:id="45">
    <w:p w14:paraId="2EBBD8CA" w14:textId="4AAE4BA0"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13(1)</w:t>
      </w:r>
      <w:r>
        <w:rPr>
          <w:lang w:val="ru-RU"/>
        </w:rPr>
        <w:t>.</w:t>
      </w:r>
    </w:p>
  </w:footnote>
  <w:footnote w:id="46">
    <w:p w14:paraId="77789ABE" w14:textId="1B98063B" w:rsidR="005634FA" w:rsidRPr="008F56E8" w:rsidRDefault="005634FA" w:rsidP="008E5688">
      <w:pPr>
        <w:pStyle w:val="af0"/>
        <w:rPr>
          <w:lang w:val="ru-RU"/>
        </w:rPr>
      </w:pPr>
      <w:r w:rsidRPr="008F56E8">
        <w:rPr>
          <w:rStyle w:val="af2"/>
        </w:rPr>
        <w:footnoteRef/>
      </w:r>
      <w:r w:rsidRPr="008F56E8">
        <w:rPr>
          <w:lang w:val="ru-RU"/>
        </w:rPr>
        <w:t xml:space="preserve"> Т</w:t>
      </w:r>
      <w:r w:rsidRPr="008F56E8">
        <w:rPr>
          <w:lang w:val="uk-UA"/>
        </w:rPr>
        <w:t>ам само</w:t>
      </w:r>
      <w:r w:rsidRPr="008F56E8">
        <w:rPr>
          <w:lang w:val="ru-RU"/>
        </w:rPr>
        <w:t xml:space="preserve">, </w:t>
      </w:r>
      <w:r w:rsidRPr="008F56E8">
        <w:rPr>
          <w:lang w:val="uk-UA"/>
        </w:rPr>
        <w:t>Стаття</w:t>
      </w:r>
      <w:r w:rsidRPr="008F56E8">
        <w:rPr>
          <w:lang w:val="ru-RU"/>
        </w:rPr>
        <w:t xml:space="preserve"> 20(4)</w:t>
      </w:r>
      <w:r>
        <w:rPr>
          <w:lang w:val="ru-RU"/>
        </w:rPr>
        <w:t>.</w:t>
      </w:r>
    </w:p>
  </w:footnote>
  <w:footnote w:id="47">
    <w:p w14:paraId="68D5514C" w14:textId="3233B564"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Там само</w:t>
      </w:r>
      <w:r w:rsidRPr="008F56E8">
        <w:rPr>
          <w:lang w:val="ru-RU"/>
        </w:rPr>
        <w:t xml:space="preserve">, </w:t>
      </w:r>
      <w:r w:rsidRPr="008F56E8">
        <w:rPr>
          <w:lang w:val="uk-UA"/>
        </w:rPr>
        <w:t>Стаття</w:t>
      </w:r>
      <w:r w:rsidRPr="008F56E8">
        <w:rPr>
          <w:lang w:val="ru-RU"/>
        </w:rPr>
        <w:t xml:space="preserve"> 19(1)</w:t>
      </w:r>
      <w:r>
        <w:rPr>
          <w:lang w:val="ru-RU"/>
        </w:rPr>
        <w:t>.</w:t>
      </w:r>
    </w:p>
  </w:footnote>
  <w:footnote w:id="48">
    <w:p w14:paraId="5A9CCE90" w14:textId="04C27A66"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Там само</w:t>
      </w:r>
      <w:r w:rsidRPr="008F56E8">
        <w:rPr>
          <w:lang w:val="ru-RU"/>
        </w:rPr>
        <w:t xml:space="preserve">, </w:t>
      </w:r>
      <w:r w:rsidRPr="008F56E8">
        <w:rPr>
          <w:lang w:val="uk-UA"/>
        </w:rPr>
        <w:t>Стаття</w:t>
      </w:r>
      <w:r w:rsidRPr="008F56E8">
        <w:rPr>
          <w:lang w:val="ru-RU"/>
        </w:rPr>
        <w:t xml:space="preserve"> 21(2)</w:t>
      </w:r>
      <w:r>
        <w:rPr>
          <w:lang w:val="ru-RU"/>
        </w:rPr>
        <w:t>.</w:t>
      </w:r>
    </w:p>
  </w:footnote>
  <w:footnote w:id="49">
    <w:p w14:paraId="4CAD511D" w14:textId="33DE4FF5"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Там само</w:t>
      </w:r>
      <w:r w:rsidRPr="008F56E8">
        <w:rPr>
          <w:lang w:val="ru-RU"/>
        </w:rPr>
        <w:t xml:space="preserve">, </w:t>
      </w:r>
      <w:r w:rsidRPr="008F56E8">
        <w:rPr>
          <w:lang w:val="uk-UA"/>
        </w:rPr>
        <w:t>Стаття</w:t>
      </w:r>
      <w:r w:rsidRPr="008F56E8">
        <w:rPr>
          <w:lang w:val="ru-RU"/>
        </w:rPr>
        <w:t xml:space="preserve"> 20 (3)</w:t>
      </w:r>
      <w:r>
        <w:rPr>
          <w:lang w:val="ru-RU"/>
        </w:rPr>
        <w:t>.</w:t>
      </w:r>
    </w:p>
  </w:footnote>
  <w:footnote w:id="50">
    <w:p w14:paraId="300DA778" w14:textId="72AE269E"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ru-RU"/>
        </w:rPr>
        <w:t xml:space="preserve">, </w:t>
      </w:r>
      <w:r w:rsidRPr="008F56E8">
        <w:rPr>
          <w:lang w:val="uk-UA"/>
        </w:rPr>
        <w:t>Стаття</w:t>
      </w:r>
      <w:r w:rsidRPr="008F56E8">
        <w:rPr>
          <w:lang w:val="ru-RU"/>
        </w:rPr>
        <w:t xml:space="preserve"> 2(23)</w:t>
      </w:r>
      <w:r>
        <w:rPr>
          <w:lang w:val="ru-RU"/>
        </w:rPr>
        <w:t>.</w:t>
      </w:r>
    </w:p>
  </w:footnote>
  <w:footnote w:id="51">
    <w:p w14:paraId="16DE6995" w14:textId="4A6C46D2"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Директива щодо облігацій з покриттям</w:t>
      </w:r>
      <w:r w:rsidRPr="008F56E8">
        <w:rPr>
          <w:lang w:val="ru-RU"/>
        </w:rPr>
        <w:t xml:space="preserve">, </w:t>
      </w:r>
      <w:r w:rsidRPr="008F56E8">
        <w:rPr>
          <w:lang w:val="uk-UA"/>
        </w:rPr>
        <w:t>Стаття</w:t>
      </w:r>
      <w:r w:rsidRPr="008F56E8">
        <w:rPr>
          <w:lang w:val="ru-RU"/>
        </w:rPr>
        <w:t xml:space="preserve"> 21</w:t>
      </w:r>
      <w:r>
        <w:rPr>
          <w:lang w:val="ru-RU"/>
        </w:rPr>
        <w:t>.</w:t>
      </w:r>
      <w:r w:rsidRPr="008F56E8">
        <w:rPr>
          <w:lang w:val="ru-RU"/>
        </w:rPr>
        <w:t xml:space="preserve"> </w:t>
      </w:r>
    </w:p>
  </w:footnote>
  <w:footnote w:id="52">
    <w:p w14:paraId="6D853B70" w14:textId="1E0C7994" w:rsidR="005634FA" w:rsidRPr="008F56E8" w:rsidRDefault="005634FA" w:rsidP="008E5688">
      <w:pPr>
        <w:pStyle w:val="af0"/>
        <w:rPr>
          <w:lang w:val="ru-RU"/>
        </w:rPr>
      </w:pPr>
      <w:r w:rsidRPr="008F56E8">
        <w:rPr>
          <w:rStyle w:val="af2"/>
        </w:rPr>
        <w:footnoteRef/>
      </w:r>
      <w:r>
        <w:rPr>
          <w:lang w:val="ru-RU"/>
        </w:rPr>
        <w:t xml:space="preserve"> </w:t>
      </w:r>
      <w:r w:rsidRPr="008F56E8">
        <w:rPr>
          <w:lang w:val="ru-RU"/>
        </w:rPr>
        <w:t xml:space="preserve">Там само, </w:t>
      </w:r>
      <w:r w:rsidRPr="008F56E8">
        <w:rPr>
          <w:lang w:val="uk-UA"/>
        </w:rPr>
        <w:t>Стаття</w:t>
      </w:r>
      <w:r w:rsidRPr="008F56E8">
        <w:rPr>
          <w:lang w:val="ru-RU"/>
        </w:rPr>
        <w:t xml:space="preserve"> 11(1)</w:t>
      </w:r>
      <w:r>
        <w:rPr>
          <w:lang w:val="ru-RU"/>
        </w:rPr>
        <w:t>.</w:t>
      </w:r>
    </w:p>
  </w:footnote>
  <w:footnote w:id="53">
    <w:p w14:paraId="6C45179B" w14:textId="70213546" w:rsidR="005634FA" w:rsidRPr="006E3526" w:rsidRDefault="005634FA">
      <w:pPr>
        <w:pStyle w:val="af0"/>
        <w:rPr>
          <w:lang w:val="uk-UA"/>
        </w:rPr>
      </w:pPr>
      <w:r>
        <w:rPr>
          <w:rStyle w:val="af2"/>
        </w:rPr>
        <w:footnoteRef/>
      </w:r>
      <w:r w:rsidRPr="0048528D">
        <w:rPr>
          <w:lang w:val="ru-RU"/>
        </w:rPr>
        <w:t xml:space="preserve"> </w:t>
      </w:r>
      <w:r w:rsidRPr="008F56E8">
        <w:rPr>
          <w:lang w:val="ru-RU"/>
        </w:rPr>
        <w:t xml:space="preserve">Там само, </w:t>
      </w:r>
      <w:r w:rsidRPr="008F56E8">
        <w:rPr>
          <w:lang w:val="uk-UA"/>
        </w:rPr>
        <w:t>Стаття</w:t>
      </w:r>
      <w:r w:rsidRPr="008F56E8">
        <w:rPr>
          <w:lang w:val="ru-RU"/>
        </w:rPr>
        <w:t xml:space="preserve"> </w:t>
      </w:r>
      <w:r>
        <w:rPr>
          <w:lang w:val="ru-RU"/>
        </w:rPr>
        <w:t>6</w:t>
      </w:r>
      <w:r w:rsidRPr="008F56E8">
        <w:rPr>
          <w:lang w:val="ru-RU"/>
        </w:rPr>
        <w:t>(</w:t>
      </w:r>
      <w:r>
        <w:rPr>
          <w:lang w:val="ru-RU"/>
        </w:rPr>
        <w:t>5</w:t>
      </w:r>
      <w:r w:rsidRPr="008F56E8">
        <w:rPr>
          <w:lang w:val="ru-RU"/>
        </w:rPr>
        <w:t>)</w:t>
      </w:r>
      <w:r>
        <w:rPr>
          <w:lang w:val="ru-RU"/>
        </w:rPr>
        <w:t>.</w:t>
      </w:r>
    </w:p>
  </w:footnote>
  <w:footnote w:id="54">
    <w:p w14:paraId="57437760" w14:textId="70245C8D" w:rsidR="005634FA" w:rsidRPr="000A10F5" w:rsidRDefault="005634FA">
      <w:pPr>
        <w:pStyle w:val="af0"/>
        <w:rPr>
          <w:lang w:val="ru-RU"/>
        </w:rPr>
      </w:pPr>
      <w:r>
        <w:rPr>
          <w:rStyle w:val="af2"/>
        </w:rPr>
        <w:footnoteRef/>
      </w:r>
      <w:r w:rsidRPr="000A10F5">
        <w:rPr>
          <w:lang w:val="ru-RU"/>
        </w:rPr>
        <w:t xml:space="preserve"> </w:t>
      </w:r>
      <w:r>
        <w:rPr>
          <w:lang w:val="ru-RU"/>
        </w:rPr>
        <w:t>Там само, Стаття 25(1).</w:t>
      </w:r>
    </w:p>
  </w:footnote>
  <w:footnote w:id="55">
    <w:p w14:paraId="4448A835" w14:textId="12F28F57" w:rsidR="005634FA" w:rsidRPr="008F56E8" w:rsidRDefault="005634FA">
      <w:pPr>
        <w:pStyle w:val="af0"/>
        <w:rPr>
          <w:lang w:val="ru-RU"/>
        </w:rPr>
      </w:pPr>
      <w:r w:rsidRPr="008F56E8">
        <w:rPr>
          <w:rStyle w:val="af2"/>
        </w:rPr>
        <w:footnoteRef/>
      </w:r>
      <w:r w:rsidRPr="008F56E8">
        <w:rPr>
          <w:lang w:val="ru-RU"/>
        </w:rPr>
        <w:t xml:space="preserve"> В </w:t>
      </w:r>
      <w:r w:rsidRPr="008F56E8">
        <w:rPr>
          <w:lang w:val="uk-UA"/>
        </w:rPr>
        <w:t>Україні адміністратор з випуску облігацій може виконувати функції Спеціального адміністратора</w:t>
      </w:r>
      <w:r>
        <w:rPr>
          <w:lang w:val="uk-UA"/>
        </w:rPr>
        <w:t>.</w:t>
      </w:r>
    </w:p>
  </w:footnote>
  <w:footnote w:id="56">
    <w:p w14:paraId="3E6DE7ED" w14:textId="4221D1FC" w:rsidR="005634FA" w:rsidRPr="008F56E8" w:rsidRDefault="005634FA" w:rsidP="008E5688">
      <w:pPr>
        <w:pStyle w:val="af0"/>
        <w:rPr>
          <w:lang w:val="uk-UA"/>
        </w:rPr>
      </w:pPr>
      <w:r w:rsidRPr="008F56E8">
        <w:rPr>
          <w:rStyle w:val="af2"/>
        </w:rPr>
        <w:footnoteRef/>
      </w:r>
      <w:r w:rsidRPr="008F56E8">
        <w:rPr>
          <w:lang w:val="ru-RU"/>
        </w:rPr>
        <w:t xml:space="preserve"> </w:t>
      </w:r>
      <w:r w:rsidRPr="008F56E8">
        <w:rPr>
          <w:lang w:val="uk-UA"/>
        </w:rPr>
        <w:t>Регламент (ЄС) № 1060/2009 Європейського Парламенту та Ради від 16 вересня 2009 року про кредитні рейтингові агентства</w:t>
      </w:r>
      <w:r>
        <w:rPr>
          <w:lang w:val="uk-UA"/>
        </w:rPr>
        <w:t>.</w:t>
      </w:r>
    </w:p>
  </w:footnote>
  <w:footnote w:id="57">
    <w:p w14:paraId="19673AC7" w14:textId="0DD04F6D"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Регламент про вимоги до капіталу</w:t>
      </w:r>
      <w:r w:rsidRPr="008F56E8">
        <w:rPr>
          <w:lang w:val="ru-RU"/>
        </w:rPr>
        <w:t xml:space="preserve">, </w:t>
      </w:r>
      <w:r w:rsidRPr="008F56E8">
        <w:rPr>
          <w:lang w:val="uk-UA"/>
        </w:rPr>
        <w:t>Стаття</w:t>
      </w:r>
      <w:r w:rsidRPr="008F56E8">
        <w:rPr>
          <w:lang w:val="ru-RU"/>
        </w:rPr>
        <w:t xml:space="preserve"> 129</w:t>
      </w:r>
      <w:r>
        <w:rPr>
          <w:lang w:val="ru-RU"/>
        </w:rPr>
        <w:t>.</w:t>
      </w:r>
    </w:p>
  </w:footnote>
  <w:footnote w:id="58">
    <w:p w14:paraId="2846A94E" w14:textId="5D6118AE" w:rsidR="005634FA" w:rsidRPr="00B2076A" w:rsidRDefault="005634FA" w:rsidP="008E5688">
      <w:pPr>
        <w:pStyle w:val="af0"/>
        <w:rPr>
          <w:lang w:val="uk-UA"/>
        </w:rPr>
      </w:pPr>
      <w:r w:rsidRPr="008F56E8">
        <w:rPr>
          <w:rStyle w:val="af2"/>
        </w:rPr>
        <w:footnoteRef/>
      </w:r>
      <w:r w:rsidRPr="008F56E8">
        <w:rPr>
          <w:lang w:val="ru-RU"/>
        </w:rPr>
        <w:t xml:space="preserve"> Див. </w:t>
      </w:r>
      <w:r w:rsidRPr="008F56E8">
        <w:rPr>
          <w:lang w:val="uk-UA"/>
        </w:rPr>
        <w:t xml:space="preserve">Аналіз економічної доцільності щодо забезпечених облігацій в Європі, Підсумковий звіт, за посиланням: </w:t>
      </w:r>
      <w:hyperlink r:id="rId2" w:history="1">
        <w:r w:rsidRPr="008F56E8">
          <w:rPr>
            <w:rStyle w:val="af4"/>
          </w:rPr>
          <w:t>https</w:t>
        </w:r>
        <w:r w:rsidRPr="008F56E8">
          <w:rPr>
            <w:rStyle w:val="af4"/>
            <w:lang w:val="ru-RU"/>
          </w:rPr>
          <w:t>://</w:t>
        </w:r>
        <w:r w:rsidRPr="008F56E8">
          <w:rPr>
            <w:rStyle w:val="af4"/>
          </w:rPr>
          <w:t>op</w:t>
        </w:r>
        <w:r w:rsidRPr="008F56E8">
          <w:rPr>
            <w:rStyle w:val="af4"/>
            <w:lang w:val="ru-RU"/>
          </w:rPr>
          <w:t>.</w:t>
        </w:r>
        <w:r w:rsidRPr="008F56E8">
          <w:rPr>
            <w:rStyle w:val="af4"/>
          </w:rPr>
          <w:t>europa</w:t>
        </w:r>
        <w:r w:rsidRPr="008F56E8">
          <w:rPr>
            <w:rStyle w:val="af4"/>
            <w:lang w:val="ru-RU"/>
          </w:rPr>
          <w:t>.</w:t>
        </w:r>
        <w:r w:rsidRPr="008F56E8">
          <w:rPr>
            <w:rStyle w:val="af4"/>
          </w:rPr>
          <w:t>eu</w:t>
        </w:r>
        <w:r w:rsidRPr="008F56E8">
          <w:rPr>
            <w:rStyle w:val="af4"/>
            <w:lang w:val="ru-RU"/>
          </w:rPr>
          <w:t>/</w:t>
        </w:r>
        <w:r w:rsidRPr="008F56E8">
          <w:rPr>
            <w:rStyle w:val="af4"/>
          </w:rPr>
          <w:t>en</w:t>
        </w:r>
        <w:r w:rsidRPr="008F56E8">
          <w:rPr>
            <w:rStyle w:val="af4"/>
            <w:lang w:val="ru-RU"/>
          </w:rPr>
          <w:t>/</w:t>
        </w:r>
        <w:r w:rsidRPr="008F56E8">
          <w:rPr>
            <w:rStyle w:val="af4"/>
          </w:rPr>
          <w:t>publication</w:t>
        </w:r>
        <w:r w:rsidRPr="008F56E8">
          <w:rPr>
            <w:rStyle w:val="af4"/>
            <w:lang w:val="ru-RU"/>
          </w:rPr>
          <w:t>-</w:t>
        </w:r>
        <w:r w:rsidRPr="008F56E8">
          <w:rPr>
            <w:rStyle w:val="af4"/>
          </w:rPr>
          <w:t>detail</w:t>
        </w:r>
        <w:r w:rsidRPr="008F56E8">
          <w:rPr>
            <w:rStyle w:val="af4"/>
            <w:lang w:val="ru-RU"/>
          </w:rPr>
          <w:t>/-/</w:t>
        </w:r>
        <w:r w:rsidRPr="008F56E8">
          <w:rPr>
            <w:rStyle w:val="af4"/>
          </w:rPr>
          <w:t>publication</w:t>
        </w:r>
        <w:r w:rsidRPr="008F56E8">
          <w:rPr>
            <w:rStyle w:val="af4"/>
            <w:lang w:val="ru-RU"/>
          </w:rPr>
          <w:t>/</w:t>
        </w:r>
        <w:r w:rsidRPr="008F56E8">
          <w:rPr>
            <w:rStyle w:val="af4"/>
          </w:rPr>
          <w:t>eba</w:t>
        </w:r>
        <w:r w:rsidRPr="008F56E8">
          <w:rPr>
            <w:rStyle w:val="af4"/>
            <w:lang w:val="ru-RU"/>
          </w:rPr>
          <w:t>761</w:t>
        </w:r>
        <w:r w:rsidRPr="008F56E8">
          <w:rPr>
            <w:rStyle w:val="af4"/>
          </w:rPr>
          <w:t>b</w:t>
        </w:r>
        <w:r w:rsidRPr="008F56E8">
          <w:rPr>
            <w:rStyle w:val="af4"/>
            <w:lang w:val="ru-RU"/>
          </w:rPr>
          <w:t>4-</w:t>
        </w:r>
        <w:r w:rsidRPr="008F56E8">
          <w:rPr>
            <w:rStyle w:val="af4"/>
          </w:rPr>
          <w:t>d</w:t>
        </w:r>
        <w:r w:rsidRPr="008F56E8">
          <w:rPr>
            <w:rStyle w:val="af4"/>
            <w:lang w:val="ru-RU"/>
          </w:rPr>
          <w:t>026-11</w:t>
        </w:r>
        <w:r w:rsidRPr="008F56E8">
          <w:rPr>
            <w:rStyle w:val="af4"/>
          </w:rPr>
          <w:t>e</w:t>
        </w:r>
        <w:r w:rsidRPr="008F56E8">
          <w:rPr>
            <w:rStyle w:val="af4"/>
            <w:lang w:val="ru-RU"/>
          </w:rPr>
          <w:t>8-9424-01</w:t>
        </w:r>
        <w:r w:rsidRPr="008F56E8">
          <w:rPr>
            <w:rStyle w:val="af4"/>
          </w:rPr>
          <w:t>aa</w:t>
        </w:r>
        <w:r w:rsidRPr="008F56E8">
          <w:rPr>
            <w:rStyle w:val="af4"/>
            <w:lang w:val="ru-RU"/>
          </w:rPr>
          <w:t>75</w:t>
        </w:r>
        <w:r w:rsidRPr="008F56E8">
          <w:rPr>
            <w:rStyle w:val="af4"/>
          </w:rPr>
          <w:t>ed</w:t>
        </w:r>
        <w:r w:rsidRPr="008F56E8">
          <w:rPr>
            <w:rStyle w:val="af4"/>
            <w:lang w:val="ru-RU"/>
          </w:rPr>
          <w:t>71</w:t>
        </w:r>
        <w:r w:rsidRPr="008F56E8">
          <w:rPr>
            <w:rStyle w:val="af4"/>
          </w:rPr>
          <w:t>a</w:t>
        </w:r>
        <w:r w:rsidRPr="008F56E8">
          <w:rPr>
            <w:rStyle w:val="af4"/>
            <w:lang w:val="ru-RU"/>
          </w:rPr>
          <w:t>1/</w:t>
        </w:r>
        <w:r w:rsidRPr="008F56E8">
          <w:rPr>
            <w:rStyle w:val="af4"/>
          </w:rPr>
          <w:t>language</w:t>
        </w:r>
        <w:r w:rsidRPr="008F56E8">
          <w:rPr>
            <w:rStyle w:val="af4"/>
            <w:lang w:val="ru-RU"/>
          </w:rPr>
          <w:t>-</w:t>
        </w:r>
        <w:r w:rsidRPr="008F56E8">
          <w:rPr>
            <w:rStyle w:val="af4"/>
          </w:rPr>
          <w:t>en</w:t>
        </w:r>
      </w:hyperlink>
      <w:r>
        <w:rPr>
          <w:rStyle w:val="af4"/>
          <w:lang w:val="uk-UA"/>
        </w:rPr>
        <w:t>.</w:t>
      </w:r>
    </w:p>
  </w:footnote>
  <w:footnote w:id="59">
    <w:p w14:paraId="39D9D3FA" w14:textId="7979701B"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Директива про облігації з покриттям, Стаття</w:t>
      </w:r>
      <w:r w:rsidRPr="008F56E8">
        <w:rPr>
          <w:lang w:val="ru-RU"/>
        </w:rPr>
        <w:t xml:space="preserve"> 2</w:t>
      </w:r>
      <w:r>
        <w:rPr>
          <w:lang w:val="ru-RU"/>
        </w:rPr>
        <w:t>.</w:t>
      </w:r>
    </w:p>
  </w:footnote>
  <w:footnote w:id="60">
    <w:p w14:paraId="74A5F1F6" w14:textId="5FA0F81B" w:rsidR="005634FA" w:rsidRPr="008F56E8" w:rsidRDefault="005634FA" w:rsidP="008E5688">
      <w:pPr>
        <w:pStyle w:val="af0"/>
        <w:rPr>
          <w:lang w:val="ru-RU"/>
        </w:rPr>
      </w:pPr>
      <w:r w:rsidRPr="008F56E8">
        <w:rPr>
          <w:rStyle w:val="af2"/>
        </w:rPr>
        <w:footnoteRef/>
      </w:r>
      <w:r w:rsidRPr="008F56E8">
        <w:rPr>
          <w:lang w:val="ru-RU"/>
        </w:rPr>
        <w:t xml:space="preserve"> </w:t>
      </w:r>
      <w:r w:rsidRPr="008F56E8">
        <w:rPr>
          <w:lang w:val="uk-UA"/>
        </w:rPr>
        <w:t xml:space="preserve">Регламент </w:t>
      </w:r>
      <w:r w:rsidRPr="008F56E8">
        <w:t>STS</w:t>
      </w:r>
      <w:r w:rsidRPr="008F56E8">
        <w:rPr>
          <w:lang w:val="ru-RU"/>
        </w:rPr>
        <w:t xml:space="preserve">, </w:t>
      </w:r>
      <w:r w:rsidRPr="008F56E8">
        <w:rPr>
          <w:lang w:val="uk-UA"/>
        </w:rPr>
        <w:t>Стаття</w:t>
      </w:r>
      <w:r w:rsidRPr="008F56E8">
        <w:rPr>
          <w:lang w:val="ru-RU"/>
        </w:rPr>
        <w:t xml:space="preserve"> 8(1); </w:t>
      </w:r>
      <w:r w:rsidRPr="008F56E8">
        <w:rPr>
          <w:lang w:val="uk-UA"/>
        </w:rPr>
        <w:t>Стаття</w:t>
      </w:r>
      <w:r w:rsidRPr="008F56E8">
        <w:rPr>
          <w:lang w:val="ru-RU"/>
        </w:rPr>
        <w:t xml:space="preserve"> 24(15)</w:t>
      </w:r>
      <w:r>
        <w:rPr>
          <w:lang w:val="ru-RU"/>
        </w:rPr>
        <w:t>.</w:t>
      </w:r>
    </w:p>
  </w:footnote>
  <w:footnote w:id="61">
    <w:p w14:paraId="1EBA1E89" w14:textId="78EC3839" w:rsidR="005634FA" w:rsidRPr="001E1FD7" w:rsidRDefault="005634FA">
      <w:pPr>
        <w:pStyle w:val="af0"/>
        <w:rPr>
          <w:lang w:val="ru-RU"/>
        </w:rPr>
      </w:pPr>
      <w:r>
        <w:rPr>
          <w:rStyle w:val="af2"/>
        </w:rPr>
        <w:footnoteRef/>
      </w:r>
      <w:r w:rsidRPr="001E1FD7">
        <w:rPr>
          <w:lang w:val="ru-RU"/>
        </w:rPr>
        <w:t xml:space="preserve"> </w:t>
      </w:r>
      <w:r>
        <w:rPr>
          <w:lang w:val="ru-RU"/>
        </w:rPr>
        <w:t>П</w:t>
      </w:r>
      <w:r w:rsidRPr="000B674F">
        <w:rPr>
          <w:lang w:val="ru-RU"/>
        </w:rPr>
        <w:t>ід час воєнного стану</w:t>
      </w:r>
      <w:r>
        <w:rPr>
          <w:lang w:val="ru-RU"/>
        </w:rPr>
        <w:t xml:space="preserve"> є</w:t>
      </w:r>
      <w:r w:rsidRPr="000B674F">
        <w:rPr>
          <w:lang w:val="ru-RU"/>
        </w:rPr>
        <w:t xml:space="preserve"> певні обмеження доступу.</w:t>
      </w:r>
    </w:p>
  </w:footnote>
  <w:footnote w:id="62">
    <w:p w14:paraId="67BAA744" w14:textId="6C2AA724" w:rsidR="005634FA" w:rsidRPr="004F7312" w:rsidRDefault="005634FA">
      <w:pPr>
        <w:pStyle w:val="af0"/>
        <w:rPr>
          <w:lang w:val="ru-RU"/>
        </w:rPr>
      </w:pPr>
      <w:r>
        <w:rPr>
          <w:rStyle w:val="af2"/>
        </w:rPr>
        <w:footnoteRef/>
      </w:r>
      <w:r w:rsidRPr="004F7312">
        <w:rPr>
          <w:lang w:val="ru-RU"/>
        </w:rPr>
        <w:t xml:space="preserve"> </w:t>
      </w:r>
      <w:r w:rsidRPr="007F41CE">
        <w:rPr>
          <w:lang w:val="ru-RU"/>
        </w:rPr>
        <w:t>Такими темпами ринок зростав у 2017-2019 роках. У 2020 році під час пандемії COVID-19 було падіння, але у 2021 році ринок повернувся до 30% зростання, згідно з даними від НБУ.</w:t>
      </w:r>
    </w:p>
  </w:footnote>
  <w:footnote w:id="63">
    <w:p w14:paraId="2AA1355A" w14:textId="561B8967" w:rsidR="005634FA" w:rsidRPr="00A173E1" w:rsidRDefault="005634FA">
      <w:pPr>
        <w:pStyle w:val="af0"/>
        <w:rPr>
          <w:lang w:val="uk-UA"/>
        </w:rPr>
      </w:pPr>
      <w:r w:rsidRPr="008F56E8">
        <w:rPr>
          <w:rStyle w:val="af2"/>
        </w:rPr>
        <w:footnoteRef/>
      </w:r>
      <w:r w:rsidRPr="008F56E8">
        <w:rPr>
          <w:lang w:val="ru-RU"/>
        </w:rPr>
        <w:t xml:space="preserve"> </w:t>
      </w:r>
      <w:r>
        <w:rPr>
          <w:lang w:val="uk-UA"/>
        </w:rPr>
        <w:t>П</w:t>
      </w:r>
      <w:r w:rsidRPr="008F56E8">
        <w:rPr>
          <w:lang w:val="uk-UA"/>
        </w:rPr>
        <w:t xml:space="preserve">орівняно з 2018 роком ситуація помінялася. Наразі, страхові компанії перебувають під наглядом Національного банку України і їхня кількість зменшилася до </w:t>
      </w:r>
      <w:r w:rsidRPr="00FF4A4A">
        <w:rPr>
          <w:lang w:val="ru-RU"/>
        </w:rPr>
        <w:t>140 (</w:t>
      </w:r>
      <w:r>
        <w:rPr>
          <w:lang w:val="uk-UA"/>
        </w:rPr>
        <w:t>станом на 1 вересня 2022 року).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E89E8460"/>
    <w:lvl w:ilvl="0" w:tplc="002CD320">
      <w:start w:val="1"/>
      <w:numFmt w:val="bullet"/>
      <w:lvlText w:val=""/>
      <w:lvlJc w:val="left"/>
      <w:pPr>
        <w:ind w:left="720" w:hanging="360"/>
      </w:pPr>
      <w:rPr>
        <w:rFonts w:ascii="Symbol" w:hAnsi="Symbol" w:hint="default"/>
        <w:i w:val="0"/>
        <w:color w:val="2E74B5" w:themeColor="accent1" w:themeShade="BF"/>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4E0058"/>
    <w:multiLevelType w:val="hybridMultilevel"/>
    <w:tmpl w:val="CB24D9C0"/>
    <w:lvl w:ilvl="0" w:tplc="FD766450">
      <w:start w:val="4"/>
      <w:numFmt w:val="bullet"/>
      <w:lvlText w:val="-"/>
      <w:lvlJc w:val="left"/>
      <w:pPr>
        <w:ind w:left="770" w:hanging="360"/>
      </w:pPr>
      <w:rPr>
        <w:rFonts w:ascii="Calibri" w:eastAsiaTheme="minorEastAsia" w:hAnsi="Calibri" w:cstheme="minorBidi"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 w15:restartNumberingAfterBreak="0">
    <w:nsid w:val="0D523760"/>
    <w:multiLevelType w:val="multilevel"/>
    <w:tmpl w:val="0E6A53BE"/>
    <w:numStyleLink w:val="SORLDDHeadings"/>
  </w:abstractNum>
  <w:abstractNum w:abstractNumId="3"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4" w15:restartNumberingAfterBreak="0">
    <w:nsid w:val="125B6348"/>
    <w:multiLevelType w:val="hybridMultilevel"/>
    <w:tmpl w:val="E2626EE6"/>
    <w:lvl w:ilvl="0" w:tplc="0DCEF4F4">
      <w:start w:val="1"/>
      <w:numFmt w:val="decimal"/>
      <w:lvlText w:val="%1)"/>
      <w:lvlJc w:val="left"/>
      <w:pPr>
        <w:ind w:left="720" w:hanging="360"/>
      </w:pPr>
      <w:rPr>
        <w:rFonts w:asciiTheme="minorHAnsi" w:hAnsiTheme="minorHAnsi" w:cs="Segoe U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E1CE3"/>
    <w:multiLevelType w:val="hybridMultilevel"/>
    <w:tmpl w:val="879E3054"/>
    <w:lvl w:ilvl="0" w:tplc="1EC6FD76">
      <w:start w:val="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961BD"/>
    <w:multiLevelType w:val="multilevel"/>
    <w:tmpl w:val="AF40A9EC"/>
    <w:styleLink w:val="Style1"/>
    <w:lvl w:ilvl="0">
      <w:start w:val="1"/>
      <w:numFmt w:val="decimal"/>
      <w:pStyle w:val="1"/>
      <w:lvlText w:val="%1"/>
      <w:lvlJc w:val="left"/>
      <w:pPr>
        <w:ind w:left="432" w:hanging="432"/>
      </w:pPr>
      <w:rPr>
        <w:rFonts w:hint="default"/>
      </w:rPr>
    </w:lvl>
    <w:lvl w:ilvl="1">
      <w:start w:val="1"/>
      <w:numFmt w:val="decimal"/>
      <w:pStyle w:val="2"/>
      <w:lvlText w:val="%1.%2"/>
      <w:lvlJc w:val="left"/>
      <w:pPr>
        <w:ind w:left="2556" w:hanging="576"/>
      </w:pPr>
      <w:rPr>
        <w:rFonts w:hint="default"/>
      </w:rPr>
    </w:lvl>
    <w:lvl w:ilvl="2">
      <w:start w:val="1"/>
      <w:numFmt w:val="decimal"/>
      <w:pStyle w:val="3"/>
      <w:lvlText w:val="%1.%2.%3"/>
      <w:lvlJc w:val="left"/>
      <w:pPr>
        <w:ind w:left="117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BEC7046"/>
    <w:multiLevelType w:val="hybridMultilevel"/>
    <w:tmpl w:val="75CC9CAA"/>
    <w:lvl w:ilvl="0" w:tplc="1EC6FD76">
      <w:start w:val="4"/>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3E18F2"/>
    <w:multiLevelType w:val="hybridMultilevel"/>
    <w:tmpl w:val="53380720"/>
    <w:lvl w:ilvl="0" w:tplc="1EC6FD76">
      <w:start w:val="4"/>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15FA1"/>
    <w:multiLevelType w:val="hybridMultilevel"/>
    <w:tmpl w:val="A5E0FE9E"/>
    <w:lvl w:ilvl="0" w:tplc="643A68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AB486B"/>
    <w:multiLevelType w:val="hybridMultilevel"/>
    <w:tmpl w:val="F692D006"/>
    <w:lvl w:ilvl="0" w:tplc="1EC6FD7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302CC"/>
    <w:multiLevelType w:val="hybridMultilevel"/>
    <w:tmpl w:val="185A7CA4"/>
    <w:lvl w:ilvl="0" w:tplc="1EC6FD7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73412"/>
    <w:multiLevelType w:val="hybridMultilevel"/>
    <w:tmpl w:val="C74C2E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5913E1B"/>
    <w:multiLevelType w:val="hybridMultilevel"/>
    <w:tmpl w:val="F87C2E82"/>
    <w:lvl w:ilvl="0" w:tplc="88A0CD0E">
      <w:start w:val="1"/>
      <w:numFmt w:val="lowerRoman"/>
      <w:lvlText w:val="(%1)"/>
      <w:lvlJc w:val="left"/>
      <w:pPr>
        <w:ind w:left="720" w:hanging="360"/>
      </w:pPr>
      <w:rPr>
        <w:rFonts w:hint="default"/>
      </w:rPr>
    </w:lvl>
    <w:lvl w:ilvl="1" w:tplc="B76A059C">
      <w:start w:val="1"/>
      <w:numFmt w:val="lowerRoman"/>
      <w:lvlText w:val="%2)"/>
      <w:lvlJc w:val="left"/>
      <w:pPr>
        <w:ind w:left="1800" w:hanging="72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716A5D"/>
    <w:multiLevelType w:val="multilevel"/>
    <w:tmpl w:val="CB8A0B04"/>
    <w:lvl w:ilvl="0">
      <w:start w:val="1"/>
      <w:numFmt w:val="decimal"/>
      <w:lvlText w:val="%1"/>
      <w:lvlJc w:val="left"/>
      <w:pPr>
        <w:ind w:left="360" w:hanging="360"/>
      </w:pPr>
      <w:rPr>
        <w:rFonts w:hint="default"/>
      </w:rPr>
    </w:lvl>
    <w:lvl w:ilvl="1">
      <w:start w:val="1"/>
      <w:numFmt w:val="decimal"/>
      <w:pStyle w:val="Head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6F0A67"/>
    <w:multiLevelType w:val="hybridMultilevel"/>
    <w:tmpl w:val="C3726212"/>
    <w:lvl w:ilvl="0" w:tplc="FD766450">
      <w:start w:val="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D3133"/>
    <w:multiLevelType w:val="hybridMultilevel"/>
    <w:tmpl w:val="7868B9CC"/>
    <w:lvl w:ilvl="0" w:tplc="FD766450">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D2A89"/>
    <w:multiLevelType w:val="hybridMultilevel"/>
    <w:tmpl w:val="E2626EE6"/>
    <w:lvl w:ilvl="0" w:tplc="0DCEF4F4">
      <w:start w:val="1"/>
      <w:numFmt w:val="decimal"/>
      <w:lvlText w:val="%1)"/>
      <w:lvlJc w:val="left"/>
      <w:pPr>
        <w:ind w:left="720" w:hanging="360"/>
      </w:pPr>
      <w:rPr>
        <w:rFonts w:asciiTheme="minorHAnsi" w:hAnsiTheme="minorHAnsi" w:cs="Segoe U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25C44"/>
    <w:multiLevelType w:val="multilevel"/>
    <w:tmpl w:val="94E8379C"/>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0183A57"/>
    <w:multiLevelType w:val="multilevel"/>
    <w:tmpl w:val="BC20AB9C"/>
    <w:lvl w:ilvl="0">
      <w:start w:val="1"/>
      <w:numFmt w:val="decimal"/>
      <w:pStyle w:val="a"/>
      <w:lvlText w:val="%1"/>
      <w:lvlJc w:val="left"/>
      <w:pPr>
        <w:ind w:left="432" w:hanging="432"/>
      </w:pPr>
    </w:lvl>
    <w:lvl w:ilvl="1">
      <w:start w:val="1"/>
      <w:numFmt w:val="decimal"/>
      <w:lvlText w:val="%2."/>
      <w:lvlJc w:val="left"/>
      <w:pPr>
        <w:ind w:left="576" w:hanging="576"/>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334F65"/>
    <w:multiLevelType w:val="hybridMultilevel"/>
    <w:tmpl w:val="E2626EE6"/>
    <w:lvl w:ilvl="0" w:tplc="0DCEF4F4">
      <w:start w:val="1"/>
      <w:numFmt w:val="decimal"/>
      <w:lvlText w:val="%1)"/>
      <w:lvlJc w:val="left"/>
      <w:pPr>
        <w:ind w:left="720" w:hanging="360"/>
      </w:pPr>
      <w:rPr>
        <w:rFonts w:asciiTheme="minorHAnsi" w:hAnsiTheme="minorHAnsi" w:cs="Segoe U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C2FB3"/>
    <w:multiLevelType w:val="hybridMultilevel"/>
    <w:tmpl w:val="40AC6AC4"/>
    <w:lvl w:ilvl="0" w:tplc="1EC6FD7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E320C"/>
    <w:multiLevelType w:val="hybridMultilevel"/>
    <w:tmpl w:val="4A60CE78"/>
    <w:lvl w:ilvl="0" w:tplc="64A21F62">
      <w:start w:val="1"/>
      <w:numFmt w:val="decimal"/>
      <w:lvlText w:val="%1."/>
      <w:lvlJc w:val="left"/>
      <w:pPr>
        <w:ind w:left="4897" w:hanging="360"/>
      </w:pPr>
      <w:rPr>
        <w:rFonts w:eastAsiaTheme="minorEastAsia"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507D9A"/>
    <w:multiLevelType w:val="hybridMultilevel"/>
    <w:tmpl w:val="B080B736"/>
    <w:styleLink w:val="Dash"/>
    <w:lvl w:ilvl="0" w:tplc="3BA0ED18">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24448C">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A2FB8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CCF29E">
      <w:start w:val="1"/>
      <w:numFmt w:val="bullet"/>
      <w:lvlText w:val="-"/>
      <w:lvlJc w:val="left"/>
      <w:pPr>
        <w:ind w:left="24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08CAD8">
      <w:start w:val="1"/>
      <w:numFmt w:val="bullet"/>
      <w:lvlText w:val="-"/>
      <w:lvlJc w:val="left"/>
      <w:pPr>
        <w:ind w:left="26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8126E">
      <w:start w:val="1"/>
      <w:numFmt w:val="bullet"/>
      <w:lvlText w:val="-"/>
      <w:lvlJc w:val="left"/>
      <w:pPr>
        <w:ind w:left="29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67386">
      <w:start w:val="1"/>
      <w:numFmt w:val="bullet"/>
      <w:lvlText w:val="-"/>
      <w:lvlJc w:val="left"/>
      <w:pPr>
        <w:ind w:left="31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AE7F2">
      <w:start w:val="1"/>
      <w:numFmt w:val="bullet"/>
      <w:lvlText w:val="-"/>
      <w:lvlJc w:val="left"/>
      <w:pPr>
        <w:ind w:left="33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8E6EC">
      <w:start w:val="1"/>
      <w:numFmt w:val="bullet"/>
      <w:lvlText w:val="-"/>
      <w:lvlJc w:val="left"/>
      <w:pPr>
        <w:ind w:left="36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16"/>
  </w:num>
  <w:num w:numId="4">
    <w:abstractNumId w:val="23"/>
  </w:num>
  <w:num w:numId="5">
    <w:abstractNumId w:val="3"/>
  </w:num>
  <w:num w:numId="6">
    <w:abstractNumId w:val="2"/>
  </w:num>
  <w:num w:numId="7">
    <w:abstractNumId w:val="19"/>
  </w:num>
  <w:num w:numId="8">
    <w:abstractNumId w:val="20"/>
  </w:num>
  <w:num w:numId="9">
    <w:abstractNumId w:val="14"/>
  </w:num>
  <w:num w:numId="10">
    <w:abstractNumId w:val="9"/>
  </w:num>
  <w:num w:numId="11">
    <w:abstractNumId w:val="7"/>
  </w:num>
  <w:num w:numId="12">
    <w:abstractNumId w:val="24"/>
  </w:num>
  <w:num w:numId="13">
    <w:abstractNumId w:val="15"/>
  </w:num>
  <w:num w:numId="14">
    <w:abstractNumId w:val="5"/>
  </w:num>
  <w:num w:numId="15">
    <w:abstractNumId w:val="6"/>
  </w:num>
  <w:num w:numId="16">
    <w:abstractNumId w:val="21"/>
  </w:num>
  <w:num w:numId="17">
    <w:abstractNumId w:val="0"/>
  </w:num>
  <w:num w:numId="18">
    <w:abstractNumId w:val="4"/>
  </w:num>
  <w:num w:numId="19">
    <w:abstractNumId w:val="18"/>
  </w:num>
  <w:num w:numId="20">
    <w:abstractNumId w:val="6"/>
    <w:lvlOverride w:ilvl="0">
      <w:lvl w:ilvl="0">
        <w:start w:val="1"/>
        <w:numFmt w:val="decimal"/>
        <w:pStyle w:val="1"/>
        <w:lvlText w:val="%1"/>
        <w:lvlJc w:val="left"/>
        <w:pPr>
          <w:ind w:left="432" w:hanging="432"/>
        </w:pPr>
      </w:lvl>
    </w:lvlOverride>
    <w:lvlOverride w:ilvl="1">
      <w:lvl w:ilvl="1">
        <w:start w:val="1"/>
        <w:numFmt w:val="decimal"/>
        <w:pStyle w:val="2"/>
        <w:lvlText w:val="%1.%2"/>
        <w:lvlJc w:val="left"/>
        <w:pPr>
          <w:ind w:left="1002" w:hanging="576"/>
        </w:pPr>
      </w:lvl>
    </w:lvlOverride>
    <w:lvlOverride w:ilvl="2">
      <w:lvl w:ilvl="2">
        <w:start w:val="1"/>
        <w:numFmt w:val="decimal"/>
        <w:pStyle w:val="3"/>
        <w:lvlText w:val="%1.%2.%3"/>
        <w:lvlJc w:val="left"/>
        <w:pPr>
          <w:ind w:left="720" w:hanging="720"/>
        </w:pPr>
      </w:lvl>
    </w:lvlOverride>
    <w:lvlOverride w:ilvl="3">
      <w:lvl w:ilvl="3">
        <w:start w:val="1"/>
        <w:numFmt w:val="decimal"/>
        <w:pStyle w:val="4"/>
        <w:lvlText w:val="%1.%2.%3.%4"/>
        <w:lvlJc w:val="left"/>
        <w:pPr>
          <w:ind w:left="864" w:hanging="864"/>
        </w:pPr>
      </w:lvl>
    </w:lvlOverride>
    <w:lvlOverride w:ilvl="4">
      <w:lvl w:ilvl="4">
        <w:start w:val="1"/>
        <w:numFmt w:val="decimal"/>
        <w:pStyle w:val="5"/>
        <w:lvlText w:val="%1.%2.%3.%4.%5"/>
        <w:lvlJc w:val="left"/>
        <w:pPr>
          <w:ind w:left="1008" w:hanging="1008"/>
        </w:pPr>
      </w:lvl>
    </w:lvlOverride>
    <w:lvlOverride w:ilvl="5">
      <w:lvl w:ilvl="5">
        <w:start w:val="1"/>
        <w:numFmt w:val="decimal"/>
        <w:pStyle w:val="6"/>
        <w:lvlText w:val="%1.%2.%3.%4.%5.%6"/>
        <w:lvlJc w:val="left"/>
        <w:pPr>
          <w:ind w:left="1152" w:hanging="1152"/>
        </w:pPr>
      </w:lvl>
    </w:lvlOverride>
    <w:lvlOverride w:ilvl="6">
      <w:lvl w:ilvl="6">
        <w:start w:val="1"/>
        <w:numFmt w:val="decimal"/>
        <w:pStyle w:val="7"/>
        <w:lvlText w:val="%1.%2.%3.%4.%5.%6.%7"/>
        <w:lvlJc w:val="left"/>
        <w:pPr>
          <w:ind w:left="1296" w:hanging="1296"/>
        </w:pPr>
      </w:lvl>
    </w:lvlOverride>
    <w:lvlOverride w:ilvl="7">
      <w:lvl w:ilvl="7">
        <w:start w:val="1"/>
        <w:numFmt w:val="decimal"/>
        <w:pStyle w:val="8"/>
        <w:lvlText w:val="%1.%2.%3.%4.%5.%6.%7.%8"/>
        <w:lvlJc w:val="left"/>
        <w:pPr>
          <w:ind w:left="1440" w:hanging="1440"/>
        </w:pPr>
      </w:lvl>
    </w:lvlOverride>
    <w:lvlOverride w:ilvl="8">
      <w:lvl w:ilvl="8">
        <w:start w:val="1"/>
        <w:numFmt w:val="decimal"/>
        <w:pStyle w:val="9"/>
        <w:lvlText w:val="%1.%2.%3.%4.%5.%6.%7.%8.%9"/>
        <w:lvlJc w:val="left"/>
        <w:pPr>
          <w:ind w:left="1584" w:hanging="1584"/>
        </w:pPr>
      </w:lvl>
    </w:lvlOverride>
  </w:num>
  <w:num w:numId="21">
    <w:abstractNumId w:val="6"/>
    <w:lvlOverride w:ilvl="0">
      <w:lvl w:ilvl="0">
        <w:start w:val="1"/>
        <w:numFmt w:val="decimal"/>
        <w:pStyle w:val="1"/>
        <w:lvlText w:val="%1"/>
        <w:lvlJc w:val="left"/>
        <w:pPr>
          <w:ind w:left="432" w:hanging="432"/>
        </w:pPr>
      </w:lvl>
    </w:lvlOverride>
    <w:lvlOverride w:ilvl="1">
      <w:lvl w:ilvl="1">
        <w:start w:val="1"/>
        <w:numFmt w:val="decimal"/>
        <w:pStyle w:val="2"/>
        <w:lvlText w:val="%1.%2"/>
        <w:lvlJc w:val="left"/>
        <w:pPr>
          <w:ind w:left="576" w:hanging="576"/>
        </w:pPr>
      </w:lvl>
    </w:lvlOverride>
    <w:lvlOverride w:ilvl="2">
      <w:lvl w:ilvl="2">
        <w:start w:val="1"/>
        <w:numFmt w:val="decimal"/>
        <w:pStyle w:val="3"/>
        <w:lvlText w:val="%1.%2.%3"/>
        <w:lvlJc w:val="left"/>
        <w:pPr>
          <w:ind w:left="1855" w:hanging="720"/>
        </w:pPr>
      </w:lvl>
    </w:lvlOverride>
    <w:lvlOverride w:ilvl="3">
      <w:lvl w:ilvl="3">
        <w:start w:val="1"/>
        <w:numFmt w:val="decimal"/>
        <w:pStyle w:val="4"/>
        <w:lvlText w:val="%1.%2.%3.%4"/>
        <w:lvlJc w:val="left"/>
        <w:pPr>
          <w:ind w:left="864" w:hanging="864"/>
        </w:pPr>
      </w:lvl>
    </w:lvlOverride>
    <w:lvlOverride w:ilvl="4">
      <w:lvl w:ilvl="4">
        <w:start w:val="1"/>
        <w:numFmt w:val="decimal"/>
        <w:pStyle w:val="5"/>
        <w:lvlText w:val="%1.%2.%3.%4.%5"/>
        <w:lvlJc w:val="left"/>
        <w:pPr>
          <w:ind w:left="1008" w:hanging="1008"/>
        </w:pPr>
      </w:lvl>
    </w:lvlOverride>
    <w:lvlOverride w:ilvl="5">
      <w:lvl w:ilvl="5">
        <w:start w:val="1"/>
        <w:numFmt w:val="decimal"/>
        <w:pStyle w:val="6"/>
        <w:lvlText w:val="%1.%2.%3.%4.%5.%6"/>
        <w:lvlJc w:val="left"/>
        <w:pPr>
          <w:ind w:left="1152" w:hanging="1152"/>
        </w:pPr>
      </w:lvl>
    </w:lvlOverride>
    <w:lvlOverride w:ilvl="6">
      <w:lvl w:ilvl="6">
        <w:start w:val="1"/>
        <w:numFmt w:val="decimal"/>
        <w:pStyle w:val="7"/>
        <w:lvlText w:val="%1.%2.%3.%4.%5.%6.%7"/>
        <w:lvlJc w:val="left"/>
        <w:pPr>
          <w:ind w:left="1296" w:hanging="1296"/>
        </w:pPr>
      </w:lvl>
    </w:lvlOverride>
    <w:lvlOverride w:ilvl="7">
      <w:lvl w:ilvl="7">
        <w:start w:val="1"/>
        <w:numFmt w:val="decimal"/>
        <w:pStyle w:val="8"/>
        <w:lvlText w:val="%1.%2.%3.%4.%5.%6.%7.%8"/>
        <w:lvlJc w:val="left"/>
        <w:pPr>
          <w:ind w:left="1440" w:hanging="1440"/>
        </w:pPr>
      </w:lvl>
    </w:lvlOverride>
    <w:lvlOverride w:ilvl="8">
      <w:lvl w:ilvl="8">
        <w:start w:val="1"/>
        <w:numFmt w:val="decimal"/>
        <w:pStyle w:val="9"/>
        <w:lvlText w:val="%1.%2.%3.%4.%5.%6.%7.%8.%9"/>
        <w:lvlJc w:val="left"/>
        <w:pPr>
          <w:ind w:left="1584" w:hanging="1584"/>
        </w:pPr>
      </w:lvl>
    </w:lvlOverride>
  </w:num>
  <w:num w:numId="22">
    <w:abstractNumId w:val="13"/>
  </w:num>
  <w:num w:numId="23">
    <w:abstractNumId w:val="12"/>
  </w:num>
  <w:num w:numId="24">
    <w:abstractNumId w:val="22"/>
  </w:num>
  <w:num w:numId="25">
    <w:abstractNumId w:val="11"/>
  </w:num>
  <w:num w:numId="26">
    <w:abstractNumId w:val="17"/>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AA"/>
    <w:rsid w:val="00000046"/>
    <w:rsid w:val="0000034B"/>
    <w:rsid w:val="000004E7"/>
    <w:rsid w:val="000008FD"/>
    <w:rsid w:val="0000156E"/>
    <w:rsid w:val="000016C6"/>
    <w:rsid w:val="000016F3"/>
    <w:rsid w:val="00001AD6"/>
    <w:rsid w:val="00001D32"/>
    <w:rsid w:val="00001D79"/>
    <w:rsid w:val="00002006"/>
    <w:rsid w:val="000022BD"/>
    <w:rsid w:val="000023A4"/>
    <w:rsid w:val="00002406"/>
    <w:rsid w:val="00002570"/>
    <w:rsid w:val="000027D2"/>
    <w:rsid w:val="0000291A"/>
    <w:rsid w:val="00002A66"/>
    <w:rsid w:val="00002A67"/>
    <w:rsid w:val="0000339F"/>
    <w:rsid w:val="000034EF"/>
    <w:rsid w:val="00003550"/>
    <w:rsid w:val="000037B6"/>
    <w:rsid w:val="000039A0"/>
    <w:rsid w:val="00003B9C"/>
    <w:rsid w:val="00003BA8"/>
    <w:rsid w:val="000045A6"/>
    <w:rsid w:val="00004ABA"/>
    <w:rsid w:val="00004B19"/>
    <w:rsid w:val="00004B34"/>
    <w:rsid w:val="00004F4C"/>
    <w:rsid w:val="000052A0"/>
    <w:rsid w:val="0000534E"/>
    <w:rsid w:val="00005446"/>
    <w:rsid w:val="000054ED"/>
    <w:rsid w:val="000055B9"/>
    <w:rsid w:val="0000560D"/>
    <w:rsid w:val="0000577C"/>
    <w:rsid w:val="0000580E"/>
    <w:rsid w:val="00005A3D"/>
    <w:rsid w:val="00005AFC"/>
    <w:rsid w:val="00005D08"/>
    <w:rsid w:val="00005F2E"/>
    <w:rsid w:val="000063B2"/>
    <w:rsid w:val="0000647F"/>
    <w:rsid w:val="000065EB"/>
    <w:rsid w:val="00006D88"/>
    <w:rsid w:val="00006FB4"/>
    <w:rsid w:val="00007071"/>
    <w:rsid w:val="00007367"/>
    <w:rsid w:val="000074FF"/>
    <w:rsid w:val="000077C5"/>
    <w:rsid w:val="000078C2"/>
    <w:rsid w:val="00007E6B"/>
    <w:rsid w:val="00007F86"/>
    <w:rsid w:val="00007FF8"/>
    <w:rsid w:val="0001009A"/>
    <w:rsid w:val="000101E7"/>
    <w:rsid w:val="0001032B"/>
    <w:rsid w:val="000103FE"/>
    <w:rsid w:val="0001058C"/>
    <w:rsid w:val="00011020"/>
    <w:rsid w:val="00011390"/>
    <w:rsid w:val="00011705"/>
    <w:rsid w:val="00011882"/>
    <w:rsid w:val="000118C1"/>
    <w:rsid w:val="00012072"/>
    <w:rsid w:val="000129BD"/>
    <w:rsid w:val="00012DF2"/>
    <w:rsid w:val="00012EB2"/>
    <w:rsid w:val="0001300C"/>
    <w:rsid w:val="0001350D"/>
    <w:rsid w:val="00013725"/>
    <w:rsid w:val="0001379C"/>
    <w:rsid w:val="000139FE"/>
    <w:rsid w:val="00013CB1"/>
    <w:rsid w:val="00013DD1"/>
    <w:rsid w:val="00013EF2"/>
    <w:rsid w:val="00013F04"/>
    <w:rsid w:val="00013FEF"/>
    <w:rsid w:val="00014187"/>
    <w:rsid w:val="0001444B"/>
    <w:rsid w:val="0001477F"/>
    <w:rsid w:val="00014873"/>
    <w:rsid w:val="000148B3"/>
    <w:rsid w:val="000148F7"/>
    <w:rsid w:val="000149BD"/>
    <w:rsid w:val="00014DE9"/>
    <w:rsid w:val="000152E6"/>
    <w:rsid w:val="00015434"/>
    <w:rsid w:val="00015544"/>
    <w:rsid w:val="00015671"/>
    <w:rsid w:val="000158F4"/>
    <w:rsid w:val="00015D67"/>
    <w:rsid w:val="00015E71"/>
    <w:rsid w:val="00015EB7"/>
    <w:rsid w:val="00016064"/>
    <w:rsid w:val="00016291"/>
    <w:rsid w:val="00016633"/>
    <w:rsid w:val="0001678D"/>
    <w:rsid w:val="00016A6C"/>
    <w:rsid w:val="00016BFD"/>
    <w:rsid w:val="000172B6"/>
    <w:rsid w:val="00017356"/>
    <w:rsid w:val="00017412"/>
    <w:rsid w:val="000174F6"/>
    <w:rsid w:val="00017829"/>
    <w:rsid w:val="00017928"/>
    <w:rsid w:val="00017E86"/>
    <w:rsid w:val="000202EE"/>
    <w:rsid w:val="00020441"/>
    <w:rsid w:val="000206F5"/>
    <w:rsid w:val="0002089D"/>
    <w:rsid w:val="00020DB6"/>
    <w:rsid w:val="0002155F"/>
    <w:rsid w:val="00021673"/>
    <w:rsid w:val="000218D7"/>
    <w:rsid w:val="000219E6"/>
    <w:rsid w:val="00021A62"/>
    <w:rsid w:val="00021B02"/>
    <w:rsid w:val="00021D23"/>
    <w:rsid w:val="00021D29"/>
    <w:rsid w:val="00021D6A"/>
    <w:rsid w:val="00021DB6"/>
    <w:rsid w:val="00021F9A"/>
    <w:rsid w:val="0002207E"/>
    <w:rsid w:val="000222D1"/>
    <w:rsid w:val="00022B1A"/>
    <w:rsid w:val="00022D0C"/>
    <w:rsid w:val="00022DAC"/>
    <w:rsid w:val="00023122"/>
    <w:rsid w:val="00023208"/>
    <w:rsid w:val="000233A0"/>
    <w:rsid w:val="00023458"/>
    <w:rsid w:val="000234B8"/>
    <w:rsid w:val="000238AE"/>
    <w:rsid w:val="00023D51"/>
    <w:rsid w:val="00023F91"/>
    <w:rsid w:val="00024089"/>
    <w:rsid w:val="000247B1"/>
    <w:rsid w:val="00024A58"/>
    <w:rsid w:val="000250DA"/>
    <w:rsid w:val="0002519B"/>
    <w:rsid w:val="000251C1"/>
    <w:rsid w:val="00025214"/>
    <w:rsid w:val="000252FC"/>
    <w:rsid w:val="00025353"/>
    <w:rsid w:val="00025388"/>
    <w:rsid w:val="00025606"/>
    <w:rsid w:val="000257F1"/>
    <w:rsid w:val="00025E98"/>
    <w:rsid w:val="00026396"/>
    <w:rsid w:val="00026475"/>
    <w:rsid w:val="00026546"/>
    <w:rsid w:val="000265D6"/>
    <w:rsid w:val="000267FA"/>
    <w:rsid w:val="00027144"/>
    <w:rsid w:val="000271A4"/>
    <w:rsid w:val="00027C29"/>
    <w:rsid w:val="00027E28"/>
    <w:rsid w:val="00027EF2"/>
    <w:rsid w:val="00027FC1"/>
    <w:rsid w:val="00027FC7"/>
    <w:rsid w:val="000301CA"/>
    <w:rsid w:val="00030641"/>
    <w:rsid w:val="00030B2A"/>
    <w:rsid w:val="00030C6A"/>
    <w:rsid w:val="000310F5"/>
    <w:rsid w:val="0003127C"/>
    <w:rsid w:val="00031287"/>
    <w:rsid w:val="00031880"/>
    <w:rsid w:val="000318C5"/>
    <w:rsid w:val="000319BE"/>
    <w:rsid w:val="00031A4B"/>
    <w:rsid w:val="00031B7F"/>
    <w:rsid w:val="00031C13"/>
    <w:rsid w:val="00031D37"/>
    <w:rsid w:val="00031D42"/>
    <w:rsid w:val="00031D4B"/>
    <w:rsid w:val="00031DF2"/>
    <w:rsid w:val="00031EDF"/>
    <w:rsid w:val="000320C0"/>
    <w:rsid w:val="00032106"/>
    <w:rsid w:val="0003224F"/>
    <w:rsid w:val="0003238C"/>
    <w:rsid w:val="000327A1"/>
    <w:rsid w:val="00032B98"/>
    <w:rsid w:val="000333EF"/>
    <w:rsid w:val="000334BB"/>
    <w:rsid w:val="0003356A"/>
    <w:rsid w:val="00033791"/>
    <w:rsid w:val="00033A9E"/>
    <w:rsid w:val="00033C56"/>
    <w:rsid w:val="00033D9D"/>
    <w:rsid w:val="00033DE5"/>
    <w:rsid w:val="00034306"/>
    <w:rsid w:val="000345AD"/>
    <w:rsid w:val="000349D9"/>
    <w:rsid w:val="00034AC6"/>
    <w:rsid w:val="00034BAB"/>
    <w:rsid w:val="00034CF0"/>
    <w:rsid w:val="00034EDA"/>
    <w:rsid w:val="000352CF"/>
    <w:rsid w:val="000356DB"/>
    <w:rsid w:val="0003570F"/>
    <w:rsid w:val="00035A11"/>
    <w:rsid w:val="00035BDF"/>
    <w:rsid w:val="00035DD1"/>
    <w:rsid w:val="00035E79"/>
    <w:rsid w:val="00036458"/>
    <w:rsid w:val="000368D9"/>
    <w:rsid w:val="00036957"/>
    <w:rsid w:val="00036B4E"/>
    <w:rsid w:val="000371C3"/>
    <w:rsid w:val="000378B4"/>
    <w:rsid w:val="00037C23"/>
    <w:rsid w:val="00037D8F"/>
    <w:rsid w:val="00037EE8"/>
    <w:rsid w:val="00040146"/>
    <w:rsid w:val="000404C0"/>
    <w:rsid w:val="000405A1"/>
    <w:rsid w:val="0004098F"/>
    <w:rsid w:val="000409D5"/>
    <w:rsid w:val="00040B9A"/>
    <w:rsid w:val="00040E1B"/>
    <w:rsid w:val="00041581"/>
    <w:rsid w:val="00041825"/>
    <w:rsid w:val="00041DFC"/>
    <w:rsid w:val="00041FA4"/>
    <w:rsid w:val="00042078"/>
    <w:rsid w:val="00042236"/>
    <w:rsid w:val="000425A4"/>
    <w:rsid w:val="0004279D"/>
    <w:rsid w:val="00042882"/>
    <w:rsid w:val="000428A2"/>
    <w:rsid w:val="000428D7"/>
    <w:rsid w:val="00042B9D"/>
    <w:rsid w:val="00042C17"/>
    <w:rsid w:val="00043307"/>
    <w:rsid w:val="0004399C"/>
    <w:rsid w:val="00043B3F"/>
    <w:rsid w:val="00043B89"/>
    <w:rsid w:val="00043DE2"/>
    <w:rsid w:val="00043E38"/>
    <w:rsid w:val="000440A3"/>
    <w:rsid w:val="00044236"/>
    <w:rsid w:val="00044279"/>
    <w:rsid w:val="0004457C"/>
    <w:rsid w:val="000445D2"/>
    <w:rsid w:val="000445F6"/>
    <w:rsid w:val="00044B21"/>
    <w:rsid w:val="00044D95"/>
    <w:rsid w:val="00044DF6"/>
    <w:rsid w:val="000452A0"/>
    <w:rsid w:val="00045416"/>
    <w:rsid w:val="000454B6"/>
    <w:rsid w:val="00045665"/>
    <w:rsid w:val="000458F2"/>
    <w:rsid w:val="0004597E"/>
    <w:rsid w:val="00045D19"/>
    <w:rsid w:val="00045EBD"/>
    <w:rsid w:val="00045F49"/>
    <w:rsid w:val="000462BE"/>
    <w:rsid w:val="00046A18"/>
    <w:rsid w:val="00047081"/>
    <w:rsid w:val="000475B9"/>
    <w:rsid w:val="00047696"/>
    <w:rsid w:val="00047C6E"/>
    <w:rsid w:val="00047E08"/>
    <w:rsid w:val="00047E90"/>
    <w:rsid w:val="00047FA7"/>
    <w:rsid w:val="0005007E"/>
    <w:rsid w:val="000501C3"/>
    <w:rsid w:val="000505A4"/>
    <w:rsid w:val="0005060D"/>
    <w:rsid w:val="0005082A"/>
    <w:rsid w:val="00050A35"/>
    <w:rsid w:val="00050A5A"/>
    <w:rsid w:val="00050B93"/>
    <w:rsid w:val="00050BF8"/>
    <w:rsid w:val="00050F13"/>
    <w:rsid w:val="00050F4F"/>
    <w:rsid w:val="000515EA"/>
    <w:rsid w:val="000516A1"/>
    <w:rsid w:val="0005179B"/>
    <w:rsid w:val="00051D50"/>
    <w:rsid w:val="000527A8"/>
    <w:rsid w:val="000528A4"/>
    <w:rsid w:val="0005293D"/>
    <w:rsid w:val="000529A8"/>
    <w:rsid w:val="00052A1A"/>
    <w:rsid w:val="00052AAF"/>
    <w:rsid w:val="00052AEF"/>
    <w:rsid w:val="00052C48"/>
    <w:rsid w:val="00052E35"/>
    <w:rsid w:val="000530B6"/>
    <w:rsid w:val="000530E5"/>
    <w:rsid w:val="0005342F"/>
    <w:rsid w:val="00053759"/>
    <w:rsid w:val="000537D7"/>
    <w:rsid w:val="00053C35"/>
    <w:rsid w:val="00053E0A"/>
    <w:rsid w:val="0005402D"/>
    <w:rsid w:val="00054065"/>
    <w:rsid w:val="00054324"/>
    <w:rsid w:val="00054697"/>
    <w:rsid w:val="00054A18"/>
    <w:rsid w:val="00054B7A"/>
    <w:rsid w:val="00054CEB"/>
    <w:rsid w:val="00054DC5"/>
    <w:rsid w:val="00054F4B"/>
    <w:rsid w:val="00054F8C"/>
    <w:rsid w:val="00054FEA"/>
    <w:rsid w:val="0005522B"/>
    <w:rsid w:val="00055248"/>
    <w:rsid w:val="00055984"/>
    <w:rsid w:val="000559D3"/>
    <w:rsid w:val="00056331"/>
    <w:rsid w:val="000565C3"/>
    <w:rsid w:val="00056767"/>
    <w:rsid w:val="00056857"/>
    <w:rsid w:val="00056B16"/>
    <w:rsid w:val="00056E89"/>
    <w:rsid w:val="00057025"/>
    <w:rsid w:val="000570C2"/>
    <w:rsid w:val="0005723A"/>
    <w:rsid w:val="0005735E"/>
    <w:rsid w:val="000573AC"/>
    <w:rsid w:val="00057D89"/>
    <w:rsid w:val="00057EE5"/>
    <w:rsid w:val="00057FC9"/>
    <w:rsid w:val="00060118"/>
    <w:rsid w:val="000603C3"/>
    <w:rsid w:val="00060487"/>
    <w:rsid w:val="0006086D"/>
    <w:rsid w:val="00060AA2"/>
    <w:rsid w:val="00060E58"/>
    <w:rsid w:val="00061148"/>
    <w:rsid w:val="0006114B"/>
    <w:rsid w:val="00061312"/>
    <w:rsid w:val="00061551"/>
    <w:rsid w:val="00061596"/>
    <w:rsid w:val="00061873"/>
    <w:rsid w:val="00061C76"/>
    <w:rsid w:val="00061E36"/>
    <w:rsid w:val="00061F46"/>
    <w:rsid w:val="0006255A"/>
    <w:rsid w:val="0006269E"/>
    <w:rsid w:val="000626F8"/>
    <w:rsid w:val="00062702"/>
    <w:rsid w:val="000627E8"/>
    <w:rsid w:val="00062947"/>
    <w:rsid w:val="0006298B"/>
    <w:rsid w:val="00062DDC"/>
    <w:rsid w:val="00062E3B"/>
    <w:rsid w:val="00063110"/>
    <w:rsid w:val="000636DB"/>
    <w:rsid w:val="00063E4D"/>
    <w:rsid w:val="00064157"/>
    <w:rsid w:val="00064224"/>
    <w:rsid w:val="00064303"/>
    <w:rsid w:val="00064463"/>
    <w:rsid w:val="00064513"/>
    <w:rsid w:val="000647A8"/>
    <w:rsid w:val="00064891"/>
    <w:rsid w:val="00064C34"/>
    <w:rsid w:val="000651C5"/>
    <w:rsid w:val="000651E5"/>
    <w:rsid w:val="00065365"/>
    <w:rsid w:val="00065455"/>
    <w:rsid w:val="000654B3"/>
    <w:rsid w:val="000657C9"/>
    <w:rsid w:val="000659A5"/>
    <w:rsid w:val="00065A0A"/>
    <w:rsid w:val="00065A25"/>
    <w:rsid w:val="00065AF4"/>
    <w:rsid w:val="00065B6C"/>
    <w:rsid w:val="00065C69"/>
    <w:rsid w:val="00065CB0"/>
    <w:rsid w:val="00065D07"/>
    <w:rsid w:val="00065E32"/>
    <w:rsid w:val="00065FAB"/>
    <w:rsid w:val="00066070"/>
    <w:rsid w:val="0006647E"/>
    <w:rsid w:val="00066592"/>
    <w:rsid w:val="000665B8"/>
    <w:rsid w:val="00066833"/>
    <w:rsid w:val="00066AFA"/>
    <w:rsid w:val="00066BBA"/>
    <w:rsid w:val="00066D22"/>
    <w:rsid w:val="000671E5"/>
    <w:rsid w:val="0006736F"/>
    <w:rsid w:val="0006749A"/>
    <w:rsid w:val="000674DA"/>
    <w:rsid w:val="000675D4"/>
    <w:rsid w:val="00067623"/>
    <w:rsid w:val="00067682"/>
    <w:rsid w:val="00067972"/>
    <w:rsid w:val="00067AEC"/>
    <w:rsid w:val="00067B2C"/>
    <w:rsid w:val="00067DE1"/>
    <w:rsid w:val="00067F73"/>
    <w:rsid w:val="0007030F"/>
    <w:rsid w:val="000704B1"/>
    <w:rsid w:val="0007056F"/>
    <w:rsid w:val="00070659"/>
    <w:rsid w:val="0007077F"/>
    <w:rsid w:val="0007099A"/>
    <w:rsid w:val="00070A50"/>
    <w:rsid w:val="00070BA7"/>
    <w:rsid w:val="00070E50"/>
    <w:rsid w:val="00071226"/>
    <w:rsid w:val="0007142B"/>
    <w:rsid w:val="000716BD"/>
    <w:rsid w:val="00071757"/>
    <w:rsid w:val="00071820"/>
    <w:rsid w:val="00072012"/>
    <w:rsid w:val="00072030"/>
    <w:rsid w:val="0007214A"/>
    <w:rsid w:val="00072255"/>
    <w:rsid w:val="0007232F"/>
    <w:rsid w:val="00072A73"/>
    <w:rsid w:val="00072AA5"/>
    <w:rsid w:val="00072D51"/>
    <w:rsid w:val="0007322F"/>
    <w:rsid w:val="000734B7"/>
    <w:rsid w:val="00073854"/>
    <w:rsid w:val="00074128"/>
    <w:rsid w:val="0007413C"/>
    <w:rsid w:val="00074247"/>
    <w:rsid w:val="000743FE"/>
    <w:rsid w:val="00074770"/>
    <w:rsid w:val="00074AF4"/>
    <w:rsid w:val="00074C48"/>
    <w:rsid w:val="00074FD0"/>
    <w:rsid w:val="00075027"/>
    <w:rsid w:val="0007537D"/>
    <w:rsid w:val="000754F0"/>
    <w:rsid w:val="00075B20"/>
    <w:rsid w:val="00075E58"/>
    <w:rsid w:val="00076051"/>
    <w:rsid w:val="000760FC"/>
    <w:rsid w:val="000762EC"/>
    <w:rsid w:val="000763B3"/>
    <w:rsid w:val="00076BFA"/>
    <w:rsid w:val="00076CC1"/>
    <w:rsid w:val="00076F64"/>
    <w:rsid w:val="00077041"/>
    <w:rsid w:val="000774A1"/>
    <w:rsid w:val="000775DE"/>
    <w:rsid w:val="00077858"/>
    <w:rsid w:val="00077C84"/>
    <w:rsid w:val="00077D59"/>
    <w:rsid w:val="00077D7B"/>
    <w:rsid w:val="00077F9A"/>
    <w:rsid w:val="0008055C"/>
    <w:rsid w:val="00080914"/>
    <w:rsid w:val="00080A0D"/>
    <w:rsid w:val="00080C34"/>
    <w:rsid w:val="00080C6A"/>
    <w:rsid w:val="00081402"/>
    <w:rsid w:val="0008143C"/>
    <w:rsid w:val="00081722"/>
    <w:rsid w:val="000817F2"/>
    <w:rsid w:val="00081BBF"/>
    <w:rsid w:val="00082069"/>
    <w:rsid w:val="000820DB"/>
    <w:rsid w:val="0008221D"/>
    <w:rsid w:val="0008232E"/>
    <w:rsid w:val="000825A2"/>
    <w:rsid w:val="000826F8"/>
    <w:rsid w:val="00082A7C"/>
    <w:rsid w:val="00082DA4"/>
    <w:rsid w:val="000831E1"/>
    <w:rsid w:val="0008322E"/>
    <w:rsid w:val="0008323A"/>
    <w:rsid w:val="0008331D"/>
    <w:rsid w:val="00083335"/>
    <w:rsid w:val="00083344"/>
    <w:rsid w:val="0008344E"/>
    <w:rsid w:val="000834B1"/>
    <w:rsid w:val="000836B4"/>
    <w:rsid w:val="000839E9"/>
    <w:rsid w:val="00083EB3"/>
    <w:rsid w:val="00083F0D"/>
    <w:rsid w:val="00084492"/>
    <w:rsid w:val="00084781"/>
    <w:rsid w:val="00084A4B"/>
    <w:rsid w:val="00084AAE"/>
    <w:rsid w:val="00084CE7"/>
    <w:rsid w:val="00084CFA"/>
    <w:rsid w:val="00085098"/>
    <w:rsid w:val="000850E6"/>
    <w:rsid w:val="00085406"/>
    <w:rsid w:val="000855BD"/>
    <w:rsid w:val="00085C4B"/>
    <w:rsid w:val="00085C83"/>
    <w:rsid w:val="000864C9"/>
    <w:rsid w:val="00086817"/>
    <w:rsid w:val="00086932"/>
    <w:rsid w:val="00086B00"/>
    <w:rsid w:val="00086C4B"/>
    <w:rsid w:val="00087025"/>
    <w:rsid w:val="00087319"/>
    <w:rsid w:val="000874D9"/>
    <w:rsid w:val="00087E90"/>
    <w:rsid w:val="00090527"/>
    <w:rsid w:val="000906F6"/>
    <w:rsid w:val="00090723"/>
    <w:rsid w:val="0009077C"/>
    <w:rsid w:val="000907AF"/>
    <w:rsid w:val="00090A8A"/>
    <w:rsid w:val="00090B81"/>
    <w:rsid w:val="00090CA7"/>
    <w:rsid w:val="00090D5E"/>
    <w:rsid w:val="00090D75"/>
    <w:rsid w:val="00091281"/>
    <w:rsid w:val="000914DD"/>
    <w:rsid w:val="00091A27"/>
    <w:rsid w:val="00091A8A"/>
    <w:rsid w:val="00091ABC"/>
    <w:rsid w:val="00091E81"/>
    <w:rsid w:val="00092112"/>
    <w:rsid w:val="000923CB"/>
    <w:rsid w:val="000923FF"/>
    <w:rsid w:val="0009261A"/>
    <w:rsid w:val="00092C7D"/>
    <w:rsid w:val="000933DB"/>
    <w:rsid w:val="000933E6"/>
    <w:rsid w:val="00093420"/>
    <w:rsid w:val="000935F5"/>
    <w:rsid w:val="000937EF"/>
    <w:rsid w:val="00093A32"/>
    <w:rsid w:val="00093D3F"/>
    <w:rsid w:val="00093FFD"/>
    <w:rsid w:val="000941E7"/>
    <w:rsid w:val="00094288"/>
    <w:rsid w:val="000943DA"/>
    <w:rsid w:val="00094417"/>
    <w:rsid w:val="00094503"/>
    <w:rsid w:val="000955B8"/>
    <w:rsid w:val="000956B8"/>
    <w:rsid w:val="000956E4"/>
    <w:rsid w:val="000958B5"/>
    <w:rsid w:val="000959CE"/>
    <w:rsid w:val="00095ECA"/>
    <w:rsid w:val="00095FD5"/>
    <w:rsid w:val="0009604E"/>
    <w:rsid w:val="00096773"/>
    <w:rsid w:val="000968A3"/>
    <w:rsid w:val="000968E5"/>
    <w:rsid w:val="00096AED"/>
    <w:rsid w:val="00097F3B"/>
    <w:rsid w:val="00097F7F"/>
    <w:rsid w:val="000A0691"/>
    <w:rsid w:val="000A089A"/>
    <w:rsid w:val="000A0C73"/>
    <w:rsid w:val="000A0F7B"/>
    <w:rsid w:val="000A10F5"/>
    <w:rsid w:val="000A119C"/>
    <w:rsid w:val="000A1256"/>
    <w:rsid w:val="000A1413"/>
    <w:rsid w:val="000A1561"/>
    <w:rsid w:val="000A1769"/>
    <w:rsid w:val="000A1A4C"/>
    <w:rsid w:val="000A1A6E"/>
    <w:rsid w:val="000A1CB3"/>
    <w:rsid w:val="000A1CC9"/>
    <w:rsid w:val="000A1E44"/>
    <w:rsid w:val="000A2080"/>
    <w:rsid w:val="000A226E"/>
    <w:rsid w:val="000A254E"/>
    <w:rsid w:val="000A269F"/>
    <w:rsid w:val="000A280D"/>
    <w:rsid w:val="000A2C84"/>
    <w:rsid w:val="000A3093"/>
    <w:rsid w:val="000A3222"/>
    <w:rsid w:val="000A32ED"/>
    <w:rsid w:val="000A342A"/>
    <w:rsid w:val="000A352D"/>
    <w:rsid w:val="000A3575"/>
    <w:rsid w:val="000A36A3"/>
    <w:rsid w:val="000A3811"/>
    <w:rsid w:val="000A3859"/>
    <w:rsid w:val="000A392D"/>
    <w:rsid w:val="000A39C5"/>
    <w:rsid w:val="000A3B14"/>
    <w:rsid w:val="000A3DD2"/>
    <w:rsid w:val="000A408B"/>
    <w:rsid w:val="000A4DC9"/>
    <w:rsid w:val="000A5074"/>
    <w:rsid w:val="000A52E1"/>
    <w:rsid w:val="000A5385"/>
    <w:rsid w:val="000A5924"/>
    <w:rsid w:val="000A5B4F"/>
    <w:rsid w:val="000A6056"/>
    <w:rsid w:val="000A606C"/>
    <w:rsid w:val="000A60FE"/>
    <w:rsid w:val="000A6703"/>
    <w:rsid w:val="000A678E"/>
    <w:rsid w:val="000A6902"/>
    <w:rsid w:val="000A6B17"/>
    <w:rsid w:val="000A6B56"/>
    <w:rsid w:val="000A6CDB"/>
    <w:rsid w:val="000A6F19"/>
    <w:rsid w:val="000A7364"/>
    <w:rsid w:val="000A7492"/>
    <w:rsid w:val="000A766A"/>
    <w:rsid w:val="000A76DB"/>
    <w:rsid w:val="000A7920"/>
    <w:rsid w:val="000A7B92"/>
    <w:rsid w:val="000A7E38"/>
    <w:rsid w:val="000A7EF7"/>
    <w:rsid w:val="000B01C8"/>
    <w:rsid w:val="000B0435"/>
    <w:rsid w:val="000B088F"/>
    <w:rsid w:val="000B0AB4"/>
    <w:rsid w:val="000B0D48"/>
    <w:rsid w:val="000B115A"/>
    <w:rsid w:val="000B11B5"/>
    <w:rsid w:val="000B122B"/>
    <w:rsid w:val="000B12DA"/>
    <w:rsid w:val="000B19FD"/>
    <w:rsid w:val="000B1D5A"/>
    <w:rsid w:val="000B1F48"/>
    <w:rsid w:val="000B20A2"/>
    <w:rsid w:val="000B2140"/>
    <w:rsid w:val="000B2309"/>
    <w:rsid w:val="000B2674"/>
    <w:rsid w:val="000B2BCB"/>
    <w:rsid w:val="000B2D3D"/>
    <w:rsid w:val="000B326C"/>
    <w:rsid w:val="000B345F"/>
    <w:rsid w:val="000B347D"/>
    <w:rsid w:val="000B38BF"/>
    <w:rsid w:val="000B39CA"/>
    <w:rsid w:val="000B3ADC"/>
    <w:rsid w:val="000B3FFE"/>
    <w:rsid w:val="000B4306"/>
    <w:rsid w:val="000B4B6D"/>
    <w:rsid w:val="000B52BA"/>
    <w:rsid w:val="000B53B6"/>
    <w:rsid w:val="000B53E1"/>
    <w:rsid w:val="000B5636"/>
    <w:rsid w:val="000B5722"/>
    <w:rsid w:val="000B57BC"/>
    <w:rsid w:val="000B5AEC"/>
    <w:rsid w:val="000B5D4F"/>
    <w:rsid w:val="000B5EFA"/>
    <w:rsid w:val="000B6123"/>
    <w:rsid w:val="000B6286"/>
    <w:rsid w:val="000B66C9"/>
    <w:rsid w:val="000B674F"/>
    <w:rsid w:val="000B683D"/>
    <w:rsid w:val="000B6BA2"/>
    <w:rsid w:val="000B6F32"/>
    <w:rsid w:val="000B7639"/>
    <w:rsid w:val="000B775C"/>
    <w:rsid w:val="000B7917"/>
    <w:rsid w:val="000B7F91"/>
    <w:rsid w:val="000B7FAB"/>
    <w:rsid w:val="000B7FDD"/>
    <w:rsid w:val="000C00C3"/>
    <w:rsid w:val="000C0161"/>
    <w:rsid w:val="000C05A9"/>
    <w:rsid w:val="000C0666"/>
    <w:rsid w:val="000C082D"/>
    <w:rsid w:val="000C0B5B"/>
    <w:rsid w:val="000C0BD7"/>
    <w:rsid w:val="000C1253"/>
    <w:rsid w:val="000C14C0"/>
    <w:rsid w:val="000C184F"/>
    <w:rsid w:val="000C1E9B"/>
    <w:rsid w:val="000C1FE5"/>
    <w:rsid w:val="000C1FE9"/>
    <w:rsid w:val="000C22C1"/>
    <w:rsid w:val="000C26F9"/>
    <w:rsid w:val="000C2862"/>
    <w:rsid w:val="000C2E84"/>
    <w:rsid w:val="000C31CE"/>
    <w:rsid w:val="000C3278"/>
    <w:rsid w:val="000C3624"/>
    <w:rsid w:val="000C3721"/>
    <w:rsid w:val="000C3E94"/>
    <w:rsid w:val="000C421E"/>
    <w:rsid w:val="000C44FC"/>
    <w:rsid w:val="000C4532"/>
    <w:rsid w:val="000C45E6"/>
    <w:rsid w:val="000C4928"/>
    <w:rsid w:val="000C493C"/>
    <w:rsid w:val="000C4B22"/>
    <w:rsid w:val="000C4E59"/>
    <w:rsid w:val="000C51AF"/>
    <w:rsid w:val="000C561B"/>
    <w:rsid w:val="000C5945"/>
    <w:rsid w:val="000C5ACA"/>
    <w:rsid w:val="000C5BB1"/>
    <w:rsid w:val="000C5E86"/>
    <w:rsid w:val="000C5E92"/>
    <w:rsid w:val="000C6211"/>
    <w:rsid w:val="000C65B6"/>
    <w:rsid w:val="000C6860"/>
    <w:rsid w:val="000C6A57"/>
    <w:rsid w:val="000C6AB3"/>
    <w:rsid w:val="000C6D01"/>
    <w:rsid w:val="000C6E24"/>
    <w:rsid w:val="000C70DA"/>
    <w:rsid w:val="000C7205"/>
    <w:rsid w:val="000C7357"/>
    <w:rsid w:val="000C74E7"/>
    <w:rsid w:val="000C7778"/>
    <w:rsid w:val="000C7979"/>
    <w:rsid w:val="000C7F85"/>
    <w:rsid w:val="000D001A"/>
    <w:rsid w:val="000D01D4"/>
    <w:rsid w:val="000D04D7"/>
    <w:rsid w:val="000D06F7"/>
    <w:rsid w:val="000D0E8F"/>
    <w:rsid w:val="000D1329"/>
    <w:rsid w:val="000D1576"/>
    <w:rsid w:val="000D1EA3"/>
    <w:rsid w:val="000D1F22"/>
    <w:rsid w:val="000D1F4D"/>
    <w:rsid w:val="000D2280"/>
    <w:rsid w:val="000D2377"/>
    <w:rsid w:val="000D2936"/>
    <w:rsid w:val="000D2B96"/>
    <w:rsid w:val="000D2BDD"/>
    <w:rsid w:val="000D2CFF"/>
    <w:rsid w:val="000D2EDC"/>
    <w:rsid w:val="000D2FD6"/>
    <w:rsid w:val="000D3083"/>
    <w:rsid w:val="000D3371"/>
    <w:rsid w:val="000D359D"/>
    <w:rsid w:val="000D3792"/>
    <w:rsid w:val="000D37A6"/>
    <w:rsid w:val="000D37F2"/>
    <w:rsid w:val="000D3811"/>
    <w:rsid w:val="000D39A4"/>
    <w:rsid w:val="000D3DD3"/>
    <w:rsid w:val="000D3E9B"/>
    <w:rsid w:val="000D3FFF"/>
    <w:rsid w:val="000D40CC"/>
    <w:rsid w:val="000D4300"/>
    <w:rsid w:val="000D4436"/>
    <w:rsid w:val="000D45C8"/>
    <w:rsid w:val="000D4682"/>
    <w:rsid w:val="000D4A28"/>
    <w:rsid w:val="000D4C29"/>
    <w:rsid w:val="000D4C7E"/>
    <w:rsid w:val="000D4E77"/>
    <w:rsid w:val="000D5021"/>
    <w:rsid w:val="000D5037"/>
    <w:rsid w:val="000D5208"/>
    <w:rsid w:val="000D5987"/>
    <w:rsid w:val="000D5A60"/>
    <w:rsid w:val="000D5D38"/>
    <w:rsid w:val="000D6093"/>
    <w:rsid w:val="000D61CF"/>
    <w:rsid w:val="000D62A3"/>
    <w:rsid w:val="000D6D9E"/>
    <w:rsid w:val="000D6DE1"/>
    <w:rsid w:val="000D7348"/>
    <w:rsid w:val="000D76AF"/>
    <w:rsid w:val="000D7748"/>
    <w:rsid w:val="000D7864"/>
    <w:rsid w:val="000E004F"/>
    <w:rsid w:val="000E03A7"/>
    <w:rsid w:val="000E04CD"/>
    <w:rsid w:val="000E09F1"/>
    <w:rsid w:val="000E0FD8"/>
    <w:rsid w:val="000E1011"/>
    <w:rsid w:val="000E1050"/>
    <w:rsid w:val="000E107C"/>
    <w:rsid w:val="000E1648"/>
    <w:rsid w:val="000E17C5"/>
    <w:rsid w:val="000E1892"/>
    <w:rsid w:val="000E1BBF"/>
    <w:rsid w:val="000E1D3D"/>
    <w:rsid w:val="000E214B"/>
    <w:rsid w:val="000E217A"/>
    <w:rsid w:val="000E231C"/>
    <w:rsid w:val="000E235B"/>
    <w:rsid w:val="000E2801"/>
    <w:rsid w:val="000E28E9"/>
    <w:rsid w:val="000E29C8"/>
    <w:rsid w:val="000E2A24"/>
    <w:rsid w:val="000E2D0E"/>
    <w:rsid w:val="000E3006"/>
    <w:rsid w:val="000E304C"/>
    <w:rsid w:val="000E309C"/>
    <w:rsid w:val="000E353B"/>
    <w:rsid w:val="000E370E"/>
    <w:rsid w:val="000E3CD1"/>
    <w:rsid w:val="000E3D84"/>
    <w:rsid w:val="000E3DF7"/>
    <w:rsid w:val="000E4176"/>
    <w:rsid w:val="000E41CB"/>
    <w:rsid w:val="000E41D8"/>
    <w:rsid w:val="000E4262"/>
    <w:rsid w:val="000E4421"/>
    <w:rsid w:val="000E4488"/>
    <w:rsid w:val="000E4493"/>
    <w:rsid w:val="000E47FC"/>
    <w:rsid w:val="000E4C25"/>
    <w:rsid w:val="000E4F7D"/>
    <w:rsid w:val="000E52A1"/>
    <w:rsid w:val="000E5317"/>
    <w:rsid w:val="000E561F"/>
    <w:rsid w:val="000E5CA4"/>
    <w:rsid w:val="000E6197"/>
    <w:rsid w:val="000E69E3"/>
    <w:rsid w:val="000E6C0B"/>
    <w:rsid w:val="000E6DB8"/>
    <w:rsid w:val="000E6F9C"/>
    <w:rsid w:val="000E744B"/>
    <w:rsid w:val="000E782F"/>
    <w:rsid w:val="000E7960"/>
    <w:rsid w:val="000E7BC7"/>
    <w:rsid w:val="000E7EAE"/>
    <w:rsid w:val="000F05AD"/>
    <w:rsid w:val="000F0718"/>
    <w:rsid w:val="000F0828"/>
    <w:rsid w:val="000F098A"/>
    <w:rsid w:val="000F0B47"/>
    <w:rsid w:val="000F0C39"/>
    <w:rsid w:val="000F0E72"/>
    <w:rsid w:val="000F1265"/>
    <w:rsid w:val="000F1702"/>
    <w:rsid w:val="000F1A04"/>
    <w:rsid w:val="000F1DBE"/>
    <w:rsid w:val="000F1EED"/>
    <w:rsid w:val="000F2050"/>
    <w:rsid w:val="000F2131"/>
    <w:rsid w:val="000F22B9"/>
    <w:rsid w:val="000F2662"/>
    <w:rsid w:val="000F2AD0"/>
    <w:rsid w:val="000F2B5C"/>
    <w:rsid w:val="000F2C74"/>
    <w:rsid w:val="000F2D78"/>
    <w:rsid w:val="000F2E99"/>
    <w:rsid w:val="000F2F01"/>
    <w:rsid w:val="000F303E"/>
    <w:rsid w:val="000F31B9"/>
    <w:rsid w:val="000F3290"/>
    <w:rsid w:val="000F351C"/>
    <w:rsid w:val="000F39E4"/>
    <w:rsid w:val="000F3F3F"/>
    <w:rsid w:val="000F4126"/>
    <w:rsid w:val="000F4131"/>
    <w:rsid w:val="000F44D8"/>
    <w:rsid w:val="000F450D"/>
    <w:rsid w:val="000F4539"/>
    <w:rsid w:val="000F45BE"/>
    <w:rsid w:val="000F4632"/>
    <w:rsid w:val="000F4A1A"/>
    <w:rsid w:val="000F4B3D"/>
    <w:rsid w:val="000F4D4B"/>
    <w:rsid w:val="000F4E55"/>
    <w:rsid w:val="000F4F2E"/>
    <w:rsid w:val="000F516A"/>
    <w:rsid w:val="000F5591"/>
    <w:rsid w:val="000F570B"/>
    <w:rsid w:val="000F58D0"/>
    <w:rsid w:val="000F5B63"/>
    <w:rsid w:val="000F5C22"/>
    <w:rsid w:val="000F5D3E"/>
    <w:rsid w:val="000F5EE9"/>
    <w:rsid w:val="000F5FA8"/>
    <w:rsid w:val="000F6072"/>
    <w:rsid w:val="000F626B"/>
    <w:rsid w:val="000F62F8"/>
    <w:rsid w:val="000F6375"/>
    <w:rsid w:val="000F63E1"/>
    <w:rsid w:val="000F6694"/>
    <w:rsid w:val="000F68CD"/>
    <w:rsid w:val="000F68E5"/>
    <w:rsid w:val="000F6DC1"/>
    <w:rsid w:val="000F6E90"/>
    <w:rsid w:val="000F6EFC"/>
    <w:rsid w:val="000F73BC"/>
    <w:rsid w:val="000F7665"/>
    <w:rsid w:val="000F775A"/>
    <w:rsid w:val="000F7826"/>
    <w:rsid w:val="000F7D3C"/>
    <w:rsid w:val="000F7F1B"/>
    <w:rsid w:val="00100363"/>
    <w:rsid w:val="001006F0"/>
    <w:rsid w:val="001007B3"/>
    <w:rsid w:val="001007DF"/>
    <w:rsid w:val="0010082B"/>
    <w:rsid w:val="00100AA5"/>
    <w:rsid w:val="00100B91"/>
    <w:rsid w:val="001011F0"/>
    <w:rsid w:val="0010133B"/>
    <w:rsid w:val="0010164E"/>
    <w:rsid w:val="00101655"/>
    <w:rsid w:val="00101938"/>
    <w:rsid w:val="00101E54"/>
    <w:rsid w:val="00102067"/>
    <w:rsid w:val="001020A7"/>
    <w:rsid w:val="0010238F"/>
    <w:rsid w:val="001024A8"/>
    <w:rsid w:val="00102CBA"/>
    <w:rsid w:val="00102D73"/>
    <w:rsid w:val="00102DFD"/>
    <w:rsid w:val="00102FAB"/>
    <w:rsid w:val="001031C3"/>
    <w:rsid w:val="00103232"/>
    <w:rsid w:val="001032A6"/>
    <w:rsid w:val="0010354D"/>
    <w:rsid w:val="001038E1"/>
    <w:rsid w:val="00103955"/>
    <w:rsid w:val="00103A07"/>
    <w:rsid w:val="00103B65"/>
    <w:rsid w:val="00103D3C"/>
    <w:rsid w:val="00103E62"/>
    <w:rsid w:val="001041F3"/>
    <w:rsid w:val="00104865"/>
    <w:rsid w:val="001049FF"/>
    <w:rsid w:val="00104B20"/>
    <w:rsid w:val="00104DA3"/>
    <w:rsid w:val="00104E2C"/>
    <w:rsid w:val="00104EE8"/>
    <w:rsid w:val="00104FAC"/>
    <w:rsid w:val="00105094"/>
    <w:rsid w:val="001059E1"/>
    <w:rsid w:val="00105A33"/>
    <w:rsid w:val="00105B47"/>
    <w:rsid w:val="00105B9A"/>
    <w:rsid w:val="00105D6C"/>
    <w:rsid w:val="00106086"/>
    <w:rsid w:val="00106222"/>
    <w:rsid w:val="0010630B"/>
    <w:rsid w:val="0010646A"/>
    <w:rsid w:val="001065F3"/>
    <w:rsid w:val="00106611"/>
    <w:rsid w:val="001067C7"/>
    <w:rsid w:val="00106871"/>
    <w:rsid w:val="00106987"/>
    <w:rsid w:val="00106A4E"/>
    <w:rsid w:val="00107108"/>
    <w:rsid w:val="00107238"/>
    <w:rsid w:val="0010737B"/>
    <w:rsid w:val="001074A9"/>
    <w:rsid w:val="00107807"/>
    <w:rsid w:val="00107A6C"/>
    <w:rsid w:val="00107B5A"/>
    <w:rsid w:val="00107FF1"/>
    <w:rsid w:val="0011002B"/>
    <w:rsid w:val="00110311"/>
    <w:rsid w:val="00110683"/>
    <w:rsid w:val="00110866"/>
    <w:rsid w:val="00110BE1"/>
    <w:rsid w:val="00110D94"/>
    <w:rsid w:val="00110E36"/>
    <w:rsid w:val="00110EBC"/>
    <w:rsid w:val="00111160"/>
    <w:rsid w:val="00111267"/>
    <w:rsid w:val="001112D0"/>
    <w:rsid w:val="00111584"/>
    <w:rsid w:val="00111826"/>
    <w:rsid w:val="0011197C"/>
    <w:rsid w:val="00111E2E"/>
    <w:rsid w:val="0011214E"/>
    <w:rsid w:val="00112575"/>
    <w:rsid w:val="001128DB"/>
    <w:rsid w:val="00112B70"/>
    <w:rsid w:val="00112E56"/>
    <w:rsid w:val="001135E9"/>
    <w:rsid w:val="00113EC0"/>
    <w:rsid w:val="00113F1C"/>
    <w:rsid w:val="00114331"/>
    <w:rsid w:val="00114377"/>
    <w:rsid w:val="001144FE"/>
    <w:rsid w:val="00114626"/>
    <w:rsid w:val="001148A6"/>
    <w:rsid w:val="001148AD"/>
    <w:rsid w:val="00114949"/>
    <w:rsid w:val="0011495A"/>
    <w:rsid w:val="00114AA7"/>
    <w:rsid w:val="00114B52"/>
    <w:rsid w:val="00114CC7"/>
    <w:rsid w:val="00114F98"/>
    <w:rsid w:val="001150CB"/>
    <w:rsid w:val="0011516F"/>
    <w:rsid w:val="001153D1"/>
    <w:rsid w:val="001156FC"/>
    <w:rsid w:val="00115999"/>
    <w:rsid w:val="00115AF5"/>
    <w:rsid w:val="00115B38"/>
    <w:rsid w:val="00116385"/>
    <w:rsid w:val="001164C9"/>
    <w:rsid w:val="00116761"/>
    <w:rsid w:val="00116ADB"/>
    <w:rsid w:val="00116F5B"/>
    <w:rsid w:val="001173C8"/>
    <w:rsid w:val="00117680"/>
    <w:rsid w:val="00117C61"/>
    <w:rsid w:val="00117CF2"/>
    <w:rsid w:val="00117DF3"/>
    <w:rsid w:val="001201D8"/>
    <w:rsid w:val="00120512"/>
    <w:rsid w:val="001208C7"/>
    <w:rsid w:val="001209D3"/>
    <w:rsid w:val="00120AE5"/>
    <w:rsid w:val="00120C10"/>
    <w:rsid w:val="00120F39"/>
    <w:rsid w:val="0012113A"/>
    <w:rsid w:val="00121514"/>
    <w:rsid w:val="00121AF1"/>
    <w:rsid w:val="00121FBE"/>
    <w:rsid w:val="0012212A"/>
    <w:rsid w:val="001223A9"/>
    <w:rsid w:val="00122AB9"/>
    <w:rsid w:val="00122BFE"/>
    <w:rsid w:val="00122E84"/>
    <w:rsid w:val="0012377D"/>
    <w:rsid w:val="001237BE"/>
    <w:rsid w:val="00123961"/>
    <w:rsid w:val="00123979"/>
    <w:rsid w:val="00123CCE"/>
    <w:rsid w:val="001240CB"/>
    <w:rsid w:val="0012417A"/>
    <w:rsid w:val="00124662"/>
    <w:rsid w:val="00124772"/>
    <w:rsid w:val="001249E2"/>
    <w:rsid w:val="001249EB"/>
    <w:rsid w:val="00124DAA"/>
    <w:rsid w:val="00124EEE"/>
    <w:rsid w:val="00124F7A"/>
    <w:rsid w:val="00124FD3"/>
    <w:rsid w:val="00125071"/>
    <w:rsid w:val="0012510E"/>
    <w:rsid w:val="001251E5"/>
    <w:rsid w:val="00125227"/>
    <w:rsid w:val="001252F5"/>
    <w:rsid w:val="001253D9"/>
    <w:rsid w:val="001259A8"/>
    <w:rsid w:val="00125A53"/>
    <w:rsid w:val="00125D4B"/>
    <w:rsid w:val="00126334"/>
    <w:rsid w:val="001263BA"/>
    <w:rsid w:val="00126457"/>
    <w:rsid w:val="00126501"/>
    <w:rsid w:val="001265BE"/>
    <w:rsid w:val="0012674E"/>
    <w:rsid w:val="00126A3F"/>
    <w:rsid w:val="00127A24"/>
    <w:rsid w:val="00127EDA"/>
    <w:rsid w:val="00127FBB"/>
    <w:rsid w:val="00130025"/>
    <w:rsid w:val="0013004D"/>
    <w:rsid w:val="00130063"/>
    <w:rsid w:val="0013051C"/>
    <w:rsid w:val="0013076E"/>
    <w:rsid w:val="00130855"/>
    <w:rsid w:val="00130CEE"/>
    <w:rsid w:val="00130D05"/>
    <w:rsid w:val="0013109C"/>
    <w:rsid w:val="00131427"/>
    <w:rsid w:val="00131448"/>
    <w:rsid w:val="001314AB"/>
    <w:rsid w:val="00131B9D"/>
    <w:rsid w:val="00131D21"/>
    <w:rsid w:val="00131DBE"/>
    <w:rsid w:val="00131E4E"/>
    <w:rsid w:val="00131E61"/>
    <w:rsid w:val="00132088"/>
    <w:rsid w:val="00132128"/>
    <w:rsid w:val="001323DF"/>
    <w:rsid w:val="0013240B"/>
    <w:rsid w:val="00132599"/>
    <w:rsid w:val="00132751"/>
    <w:rsid w:val="00132A76"/>
    <w:rsid w:val="00132B94"/>
    <w:rsid w:val="00132B9F"/>
    <w:rsid w:val="00132C17"/>
    <w:rsid w:val="00132D38"/>
    <w:rsid w:val="001334BF"/>
    <w:rsid w:val="001334E7"/>
    <w:rsid w:val="00133A3B"/>
    <w:rsid w:val="00133A77"/>
    <w:rsid w:val="00133D12"/>
    <w:rsid w:val="00133DBE"/>
    <w:rsid w:val="00133DE5"/>
    <w:rsid w:val="001340EC"/>
    <w:rsid w:val="0013441D"/>
    <w:rsid w:val="001346D8"/>
    <w:rsid w:val="00134A08"/>
    <w:rsid w:val="00134BFB"/>
    <w:rsid w:val="00134C17"/>
    <w:rsid w:val="001359DE"/>
    <w:rsid w:val="00135AF2"/>
    <w:rsid w:val="00135BDC"/>
    <w:rsid w:val="001361F0"/>
    <w:rsid w:val="001367F1"/>
    <w:rsid w:val="00136A73"/>
    <w:rsid w:val="00136B12"/>
    <w:rsid w:val="00136BEE"/>
    <w:rsid w:val="001370FA"/>
    <w:rsid w:val="0013712D"/>
    <w:rsid w:val="001373E8"/>
    <w:rsid w:val="0013768A"/>
    <w:rsid w:val="001376C3"/>
    <w:rsid w:val="00137763"/>
    <w:rsid w:val="00137771"/>
    <w:rsid w:val="001377AC"/>
    <w:rsid w:val="001377C6"/>
    <w:rsid w:val="001379ED"/>
    <w:rsid w:val="00140316"/>
    <w:rsid w:val="001403BA"/>
    <w:rsid w:val="00140542"/>
    <w:rsid w:val="00140546"/>
    <w:rsid w:val="00140EE5"/>
    <w:rsid w:val="0014144B"/>
    <w:rsid w:val="00141486"/>
    <w:rsid w:val="0014157C"/>
    <w:rsid w:val="0014163C"/>
    <w:rsid w:val="001416F4"/>
    <w:rsid w:val="00141788"/>
    <w:rsid w:val="00141D1A"/>
    <w:rsid w:val="00141F13"/>
    <w:rsid w:val="0014202D"/>
    <w:rsid w:val="0014248C"/>
    <w:rsid w:val="00142560"/>
    <w:rsid w:val="00142B09"/>
    <w:rsid w:val="00142D94"/>
    <w:rsid w:val="00142F13"/>
    <w:rsid w:val="00142F29"/>
    <w:rsid w:val="00143062"/>
    <w:rsid w:val="00143130"/>
    <w:rsid w:val="0014322E"/>
    <w:rsid w:val="0014398B"/>
    <w:rsid w:val="00143BE6"/>
    <w:rsid w:val="00143C5C"/>
    <w:rsid w:val="00143F79"/>
    <w:rsid w:val="0014419B"/>
    <w:rsid w:val="001442CB"/>
    <w:rsid w:val="001447B9"/>
    <w:rsid w:val="00144E9E"/>
    <w:rsid w:val="00144F85"/>
    <w:rsid w:val="00144FA7"/>
    <w:rsid w:val="00145026"/>
    <w:rsid w:val="00145144"/>
    <w:rsid w:val="001451E6"/>
    <w:rsid w:val="00145945"/>
    <w:rsid w:val="0014595E"/>
    <w:rsid w:val="001459BB"/>
    <w:rsid w:val="00145B33"/>
    <w:rsid w:val="00146056"/>
    <w:rsid w:val="00146070"/>
    <w:rsid w:val="00146237"/>
    <w:rsid w:val="001465DB"/>
    <w:rsid w:val="0014664E"/>
    <w:rsid w:val="001467D4"/>
    <w:rsid w:val="0014692C"/>
    <w:rsid w:val="00146B71"/>
    <w:rsid w:val="00146FCC"/>
    <w:rsid w:val="00147319"/>
    <w:rsid w:val="00147648"/>
    <w:rsid w:val="001476AB"/>
    <w:rsid w:val="00147755"/>
    <w:rsid w:val="001478EA"/>
    <w:rsid w:val="00147B23"/>
    <w:rsid w:val="00147D9C"/>
    <w:rsid w:val="00147F22"/>
    <w:rsid w:val="00147FDD"/>
    <w:rsid w:val="001501C5"/>
    <w:rsid w:val="00150599"/>
    <w:rsid w:val="00150901"/>
    <w:rsid w:val="00151437"/>
    <w:rsid w:val="001515DB"/>
    <w:rsid w:val="00151763"/>
    <w:rsid w:val="001517E0"/>
    <w:rsid w:val="0015198B"/>
    <w:rsid w:val="00151A19"/>
    <w:rsid w:val="00151B2B"/>
    <w:rsid w:val="00152259"/>
    <w:rsid w:val="001527F2"/>
    <w:rsid w:val="00152AB9"/>
    <w:rsid w:val="00152AF7"/>
    <w:rsid w:val="001531BB"/>
    <w:rsid w:val="00153215"/>
    <w:rsid w:val="001535BB"/>
    <w:rsid w:val="00153774"/>
    <w:rsid w:val="00153AB8"/>
    <w:rsid w:val="001544F8"/>
    <w:rsid w:val="00154582"/>
    <w:rsid w:val="00154C64"/>
    <w:rsid w:val="00154D13"/>
    <w:rsid w:val="0015526E"/>
    <w:rsid w:val="00155C45"/>
    <w:rsid w:val="00155E0C"/>
    <w:rsid w:val="00156153"/>
    <w:rsid w:val="00156EAF"/>
    <w:rsid w:val="00157131"/>
    <w:rsid w:val="00157365"/>
    <w:rsid w:val="0015745C"/>
    <w:rsid w:val="001579F9"/>
    <w:rsid w:val="00157A2E"/>
    <w:rsid w:val="0016034A"/>
    <w:rsid w:val="00160644"/>
    <w:rsid w:val="00160939"/>
    <w:rsid w:val="00160B03"/>
    <w:rsid w:val="00160DA8"/>
    <w:rsid w:val="00160E39"/>
    <w:rsid w:val="00160EED"/>
    <w:rsid w:val="0016112B"/>
    <w:rsid w:val="001616C3"/>
    <w:rsid w:val="00161814"/>
    <w:rsid w:val="0016197D"/>
    <w:rsid w:val="00161A0C"/>
    <w:rsid w:val="00161B54"/>
    <w:rsid w:val="00162038"/>
    <w:rsid w:val="0016222E"/>
    <w:rsid w:val="00162A55"/>
    <w:rsid w:val="00162A95"/>
    <w:rsid w:val="00162ADB"/>
    <w:rsid w:val="00162CD5"/>
    <w:rsid w:val="00163801"/>
    <w:rsid w:val="00163871"/>
    <w:rsid w:val="001639A2"/>
    <w:rsid w:val="00163B24"/>
    <w:rsid w:val="00163E59"/>
    <w:rsid w:val="00164016"/>
    <w:rsid w:val="001640AD"/>
    <w:rsid w:val="001645BE"/>
    <w:rsid w:val="00164B50"/>
    <w:rsid w:val="00165565"/>
    <w:rsid w:val="001656B4"/>
    <w:rsid w:val="00165B71"/>
    <w:rsid w:val="00165C71"/>
    <w:rsid w:val="00165D69"/>
    <w:rsid w:val="00165ED8"/>
    <w:rsid w:val="0016608F"/>
    <w:rsid w:val="00166207"/>
    <w:rsid w:val="00166372"/>
    <w:rsid w:val="001665F8"/>
    <w:rsid w:val="001666D1"/>
    <w:rsid w:val="00166813"/>
    <w:rsid w:val="00166A74"/>
    <w:rsid w:val="00166C3E"/>
    <w:rsid w:val="00166EB1"/>
    <w:rsid w:val="00166F69"/>
    <w:rsid w:val="00166FE5"/>
    <w:rsid w:val="0016717D"/>
    <w:rsid w:val="001672BF"/>
    <w:rsid w:val="001673E4"/>
    <w:rsid w:val="001676A7"/>
    <w:rsid w:val="00167828"/>
    <w:rsid w:val="00167DCE"/>
    <w:rsid w:val="00170239"/>
    <w:rsid w:val="001707C2"/>
    <w:rsid w:val="001707FB"/>
    <w:rsid w:val="00170DAB"/>
    <w:rsid w:val="00171135"/>
    <w:rsid w:val="00171236"/>
    <w:rsid w:val="001712D4"/>
    <w:rsid w:val="001712D8"/>
    <w:rsid w:val="0017193A"/>
    <w:rsid w:val="00171960"/>
    <w:rsid w:val="00171C28"/>
    <w:rsid w:val="00171E6D"/>
    <w:rsid w:val="00171FE8"/>
    <w:rsid w:val="001720EC"/>
    <w:rsid w:val="0017224D"/>
    <w:rsid w:val="00172628"/>
    <w:rsid w:val="00172644"/>
    <w:rsid w:val="00172924"/>
    <w:rsid w:val="00172D3B"/>
    <w:rsid w:val="00172DF1"/>
    <w:rsid w:val="001730B4"/>
    <w:rsid w:val="00173134"/>
    <w:rsid w:val="0017322A"/>
    <w:rsid w:val="001732D3"/>
    <w:rsid w:val="00173524"/>
    <w:rsid w:val="001739B0"/>
    <w:rsid w:val="00173C8C"/>
    <w:rsid w:val="00174249"/>
    <w:rsid w:val="00174266"/>
    <w:rsid w:val="001742E1"/>
    <w:rsid w:val="00174C78"/>
    <w:rsid w:val="00175271"/>
    <w:rsid w:val="00175551"/>
    <w:rsid w:val="001757D4"/>
    <w:rsid w:val="00175926"/>
    <w:rsid w:val="00175C48"/>
    <w:rsid w:val="00175C7C"/>
    <w:rsid w:val="00175DA7"/>
    <w:rsid w:val="00175DAD"/>
    <w:rsid w:val="00175DEF"/>
    <w:rsid w:val="00175EC9"/>
    <w:rsid w:val="00175F40"/>
    <w:rsid w:val="0017608F"/>
    <w:rsid w:val="001761EA"/>
    <w:rsid w:val="0017620D"/>
    <w:rsid w:val="00176554"/>
    <w:rsid w:val="001765EF"/>
    <w:rsid w:val="00176618"/>
    <w:rsid w:val="001768FD"/>
    <w:rsid w:val="001769C8"/>
    <w:rsid w:val="00176BA0"/>
    <w:rsid w:val="0017739B"/>
    <w:rsid w:val="00177482"/>
    <w:rsid w:val="00177525"/>
    <w:rsid w:val="00180396"/>
    <w:rsid w:val="0018049B"/>
    <w:rsid w:val="0018077D"/>
    <w:rsid w:val="00180B2C"/>
    <w:rsid w:val="00180DD6"/>
    <w:rsid w:val="00180DD7"/>
    <w:rsid w:val="001810D2"/>
    <w:rsid w:val="00181160"/>
    <w:rsid w:val="00181273"/>
    <w:rsid w:val="00181285"/>
    <w:rsid w:val="001812D8"/>
    <w:rsid w:val="00181323"/>
    <w:rsid w:val="001813C4"/>
    <w:rsid w:val="00181694"/>
    <w:rsid w:val="00181E73"/>
    <w:rsid w:val="00181E9D"/>
    <w:rsid w:val="001821A0"/>
    <w:rsid w:val="001827AD"/>
    <w:rsid w:val="00182900"/>
    <w:rsid w:val="00182FC4"/>
    <w:rsid w:val="00183030"/>
    <w:rsid w:val="0018310B"/>
    <w:rsid w:val="001836B7"/>
    <w:rsid w:val="00183EBD"/>
    <w:rsid w:val="001841DF"/>
    <w:rsid w:val="00184376"/>
    <w:rsid w:val="001844D7"/>
    <w:rsid w:val="001845FC"/>
    <w:rsid w:val="001846F5"/>
    <w:rsid w:val="00184B62"/>
    <w:rsid w:val="00184EF9"/>
    <w:rsid w:val="00184F3C"/>
    <w:rsid w:val="001850E3"/>
    <w:rsid w:val="00185400"/>
    <w:rsid w:val="001854F2"/>
    <w:rsid w:val="00185634"/>
    <w:rsid w:val="001856C8"/>
    <w:rsid w:val="00185926"/>
    <w:rsid w:val="00185F90"/>
    <w:rsid w:val="00186334"/>
    <w:rsid w:val="00186502"/>
    <w:rsid w:val="00186590"/>
    <w:rsid w:val="0018694F"/>
    <w:rsid w:val="00186B01"/>
    <w:rsid w:val="00186BE1"/>
    <w:rsid w:val="00186BF6"/>
    <w:rsid w:val="00186C94"/>
    <w:rsid w:val="00186D04"/>
    <w:rsid w:val="00186D85"/>
    <w:rsid w:val="00186FB7"/>
    <w:rsid w:val="001870AA"/>
    <w:rsid w:val="001872F9"/>
    <w:rsid w:val="001872FF"/>
    <w:rsid w:val="0018738F"/>
    <w:rsid w:val="001873F5"/>
    <w:rsid w:val="00187681"/>
    <w:rsid w:val="001879AA"/>
    <w:rsid w:val="001879DE"/>
    <w:rsid w:val="00187D21"/>
    <w:rsid w:val="001901FE"/>
    <w:rsid w:val="00190202"/>
    <w:rsid w:val="0019023C"/>
    <w:rsid w:val="0019042F"/>
    <w:rsid w:val="001904CA"/>
    <w:rsid w:val="00190552"/>
    <w:rsid w:val="0019058B"/>
    <w:rsid w:val="00190B57"/>
    <w:rsid w:val="00190D0C"/>
    <w:rsid w:val="00190D1C"/>
    <w:rsid w:val="00190EB5"/>
    <w:rsid w:val="001913CA"/>
    <w:rsid w:val="0019151C"/>
    <w:rsid w:val="001915A8"/>
    <w:rsid w:val="001915BC"/>
    <w:rsid w:val="00191BE9"/>
    <w:rsid w:val="00191C41"/>
    <w:rsid w:val="00192B53"/>
    <w:rsid w:val="00192CEE"/>
    <w:rsid w:val="00192E7D"/>
    <w:rsid w:val="00193124"/>
    <w:rsid w:val="001931C1"/>
    <w:rsid w:val="00193359"/>
    <w:rsid w:val="00193405"/>
    <w:rsid w:val="00193844"/>
    <w:rsid w:val="001938E1"/>
    <w:rsid w:val="0019396E"/>
    <w:rsid w:val="001939C0"/>
    <w:rsid w:val="00193A27"/>
    <w:rsid w:val="00193F4F"/>
    <w:rsid w:val="00193F87"/>
    <w:rsid w:val="0019401C"/>
    <w:rsid w:val="001942BC"/>
    <w:rsid w:val="00194375"/>
    <w:rsid w:val="001943F4"/>
    <w:rsid w:val="00194408"/>
    <w:rsid w:val="00194848"/>
    <w:rsid w:val="00194A52"/>
    <w:rsid w:val="00194C22"/>
    <w:rsid w:val="00194CD9"/>
    <w:rsid w:val="00194D41"/>
    <w:rsid w:val="00194DC2"/>
    <w:rsid w:val="00194FF7"/>
    <w:rsid w:val="001950C0"/>
    <w:rsid w:val="0019530C"/>
    <w:rsid w:val="00195343"/>
    <w:rsid w:val="0019570D"/>
    <w:rsid w:val="00195790"/>
    <w:rsid w:val="0019593B"/>
    <w:rsid w:val="00195A94"/>
    <w:rsid w:val="00195BA3"/>
    <w:rsid w:val="00195CE4"/>
    <w:rsid w:val="00195D2B"/>
    <w:rsid w:val="00195E20"/>
    <w:rsid w:val="00195E9E"/>
    <w:rsid w:val="001964B4"/>
    <w:rsid w:val="0019661F"/>
    <w:rsid w:val="00196692"/>
    <w:rsid w:val="00196C98"/>
    <w:rsid w:val="00196C9E"/>
    <w:rsid w:val="00196F4C"/>
    <w:rsid w:val="00197143"/>
    <w:rsid w:val="0019746E"/>
    <w:rsid w:val="0019755B"/>
    <w:rsid w:val="00197741"/>
    <w:rsid w:val="001979EC"/>
    <w:rsid w:val="00197B77"/>
    <w:rsid w:val="00197C58"/>
    <w:rsid w:val="00197DF8"/>
    <w:rsid w:val="00197EC4"/>
    <w:rsid w:val="001A01EA"/>
    <w:rsid w:val="001A031B"/>
    <w:rsid w:val="001A03AB"/>
    <w:rsid w:val="001A04E7"/>
    <w:rsid w:val="001A062B"/>
    <w:rsid w:val="001A0A47"/>
    <w:rsid w:val="001A0ECD"/>
    <w:rsid w:val="001A112B"/>
    <w:rsid w:val="001A13E7"/>
    <w:rsid w:val="001A1873"/>
    <w:rsid w:val="001A1986"/>
    <w:rsid w:val="001A1990"/>
    <w:rsid w:val="001A1E66"/>
    <w:rsid w:val="001A1EFA"/>
    <w:rsid w:val="001A24E9"/>
    <w:rsid w:val="001A2804"/>
    <w:rsid w:val="001A285A"/>
    <w:rsid w:val="001A294D"/>
    <w:rsid w:val="001A2BA8"/>
    <w:rsid w:val="001A3071"/>
    <w:rsid w:val="001A324A"/>
    <w:rsid w:val="001A3291"/>
    <w:rsid w:val="001A37BC"/>
    <w:rsid w:val="001A390A"/>
    <w:rsid w:val="001A396D"/>
    <w:rsid w:val="001A3A73"/>
    <w:rsid w:val="001A3C33"/>
    <w:rsid w:val="001A3F18"/>
    <w:rsid w:val="001A3FC5"/>
    <w:rsid w:val="001A43A1"/>
    <w:rsid w:val="001A44F1"/>
    <w:rsid w:val="001A48AF"/>
    <w:rsid w:val="001A49B4"/>
    <w:rsid w:val="001A554E"/>
    <w:rsid w:val="001A55B8"/>
    <w:rsid w:val="001A55E0"/>
    <w:rsid w:val="001A59FE"/>
    <w:rsid w:val="001A5ECB"/>
    <w:rsid w:val="001A63C0"/>
    <w:rsid w:val="001A63CC"/>
    <w:rsid w:val="001A68DF"/>
    <w:rsid w:val="001A6A1D"/>
    <w:rsid w:val="001A72EF"/>
    <w:rsid w:val="001A79E4"/>
    <w:rsid w:val="001A7CA7"/>
    <w:rsid w:val="001A7E2F"/>
    <w:rsid w:val="001B053F"/>
    <w:rsid w:val="001B0B24"/>
    <w:rsid w:val="001B0BB3"/>
    <w:rsid w:val="001B0BDB"/>
    <w:rsid w:val="001B0CAE"/>
    <w:rsid w:val="001B0FD7"/>
    <w:rsid w:val="001B1024"/>
    <w:rsid w:val="001B1026"/>
    <w:rsid w:val="001B1B7C"/>
    <w:rsid w:val="001B1C9D"/>
    <w:rsid w:val="001B1D12"/>
    <w:rsid w:val="001B22D7"/>
    <w:rsid w:val="001B2404"/>
    <w:rsid w:val="001B26A5"/>
    <w:rsid w:val="001B2864"/>
    <w:rsid w:val="001B2E70"/>
    <w:rsid w:val="001B318C"/>
    <w:rsid w:val="001B33C4"/>
    <w:rsid w:val="001B350D"/>
    <w:rsid w:val="001B3BAB"/>
    <w:rsid w:val="001B3E9F"/>
    <w:rsid w:val="001B40AF"/>
    <w:rsid w:val="001B417B"/>
    <w:rsid w:val="001B45E1"/>
    <w:rsid w:val="001B45FD"/>
    <w:rsid w:val="001B4710"/>
    <w:rsid w:val="001B4C47"/>
    <w:rsid w:val="001B4F0B"/>
    <w:rsid w:val="001B4FA9"/>
    <w:rsid w:val="001B50E7"/>
    <w:rsid w:val="001B5254"/>
    <w:rsid w:val="001B554E"/>
    <w:rsid w:val="001B5A28"/>
    <w:rsid w:val="001B5FF9"/>
    <w:rsid w:val="001B6324"/>
    <w:rsid w:val="001B65E4"/>
    <w:rsid w:val="001B683F"/>
    <w:rsid w:val="001B6901"/>
    <w:rsid w:val="001B69DF"/>
    <w:rsid w:val="001B6C04"/>
    <w:rsid w:val="001B6C7C"/>
    <w:rsid w:val="001B7092"/>
    <w:rsid w:val="001B72BE"/>
    <w:rsid w:val="001B72CD"/>
    <w:rsid w:val="001B7692"/>
    <w:rsid w:val="001B76CF"/>
    <w:rsid w:val="001B7771"/>
    <w:rsid w:val="001B77FD"/>
    <w:rsid w:val="001B7C88"/>
    <w:rsid w:val="001B7C8D"/>
    <w:rsid w:val="001C0591"/>
    <w:rsid w:val="001C05DA"/>
    <w:rsid w:val="001C064C"/>
    <w:rsid w:val="001C0AD6"/>
    <w:rsid w:val="001C0BB0"/>
    <w:rsid w:val="001C0CCF"/>
    <w:rsid w:val="001C0D1F"/>
    <w:rsid w:val="001C0DB4"/>
    <w:rsid w:val="001C0E73"/>
    <w:rsid w:val="001C0FDE"/>
    <w:rsid w:val="001C1026"/>
    <w:rsid w:val="001C10AA"/>
    <w:rsid w:val="001C10E4"/>
    <w:rsid w:val="001C14BE"/>
    <w:rsid w:val="001C1677"/>
    <w:rsid w:val="001C1A88"/>
    <w:rsid w:val="001C1C93"/>
    <w:rsid w:val="001C1CC4"/>
    <w:rsid w:val="001C1D9B"/>
    <w:rsid w:val="001C209A"/>
    <w:rsid w:val="001C27E9"/>
    <w:rsid w:val="001C2938"/>
    <w:rsid w:val="001C3321"/>
    <w:rsid w:val="001C359B"/>
    <w:rsid w:val="001C36D0"/>
    <w:rsid w:val="001C390E"/>
    <w:rsid w:val="001C42BC"/>
    <w:rsid w:val="001C4302"/>
    <w:rsid w:val="001C49D7"/>
    <w:rsid w:val="001C4AAC"/>
    <w:rsid w:val="001C4B19"/>
    <w:rsid w:val="001C4D7D"/>
    <w:rsid w:val="001C4E16"/>
    <w:rsid w:val="001C4F5F"/>
    <w:rsid w:val="001C4FE6"/>
    <w:rsid w:val="001C57BE"/>
    <w:rsid w:val="001C588A"/>
    <w:rsid w:val="001C5AA3"/>
    <w:rsid w:val="001C5B6B"/>
    <w:rsid w:val="001C5B8A"/>
    <w:rsid w:val="001C5D0F"/>
    <w:rsid w:val="001C5D1F"/>
    <w:rsid w:val="001C61DE"/>
    <w:rsid w:val="001C6585"/>
    <w:rsid w:val="001C65EF"/>
    <w:rsid w:val="001C6839"/>
    <w:rsid w:val="001C6967"/>
    <w:rsid w:val="001C69B0"/>
    <w:rsid w:val="001C6A7A"/>
    <w:rsid w:val="001C6B1C"/>
    <w:rsid w:val="001C6BF1"/>
    <w:rsid w:val="001C6FE0"/>
    <w:rsid w:val="001C714B"/>
    <w:rsid w:val="001C75A7"/>
    <w:rsid w:val="001C774C"/>
    <w:rsid w:val="001C784E"/>
    <w:rsid w:val="001C7B4E"/>
    <w:rsid w:val="001C7C90"/>
    <w:rsid w:val="001C7DB6"/>
    <w:rsid w:val="001D0080"/>
    <w:rsid w:val="001D00CC"/>
    <w:rsid w:val="001D0199"/>
    <w:rsid w:val="001D01B4"/>
    <w:rsid w:val="001D07BA"/>
    <w:rsid w:val="001D0B42"/>
    <w:rsid w:val="001D0C30"/>
    <w:rsid w:val="001D0C41"/>
    <w:rsid w:val="001D0D71"/>
    <w:rsid w:val="001D164B"/>
    <w:rsid w:val="001D1AB6"/>
    <w:rsid w:val="001D1CDC"/>
    <w:rsid w:val="001D1D44"/>
    <w:rsid w:val="001D2004"/>
    <w:rsid w:val="001D2371"/>
    <w:rsid w:val="001D28B7"/>
    <w:rsid w:val="001D28E7"/>
    <w:rsid w:val="001D2C79"/>
    <w:rsid w:val="001D2CA6"/>
    <w:rsid w:val="001D2F6D"/>
    <w:rsid w:val="001D2F8D"/>
    <w:rsid w:val="001D2F8F"/>
    <w:rsid w:val="001D3754"/>
    <w:rsid w:val="001D3809"/>
    <w:rsid w:val="001D3E0C"/>
    <w:rsid w:val="001D43A3"/>
    <w:rsid w:val="001D4572"/>
    <w:rsid w:val="001D497A"/>
    <w:rsid w:val="001D4B5C"/>
    <w:rsid w:val="001D4C0B"/>
    <w:rsid w:val="001D4CA2"/>
    <w:rsid w:val="001D4F3A"/>
    <w:rsid w:val="001D4F4D"/>
    <w:rsid w:val="001D5001"/>
    <w:rsid w:val="001D5150"/>
    <w:rsid w:val="001D5190"/>
    <w:rsid w:val="001D5278"/>
    <w:rsid w:val="001D546C"/>
    <w:rsid w:val="001D55E0"/>
    <w:rsid w:val="001D5894"/>
    <w:rsid w:val="001D5A99"/>
    <w:rsid w:val="001D5C27"/>
    <w:rsid w:val="001D5E68"/>
    <w:rsid w:val="001D5EB8"/>
    <w:rsid w:val="001D5FAB"/>
    <w:rsid w:val="001D61B8"/>
    <w:rsid w:val="001D637B"/>
    <w:rsid w:val="001D65C3"/>
    <w:rsid w:val="001D669F"/>
    <w:rsid w:val="001D69A3"/>
    <w:rsid w:val="001D6D04"/>
    <w:rsid w:val="001D6FB2"/>
    <w:rsid w:val="001D72E7"/>
    <w:rsid w:val="001D7864"/>
    <w:rsid w:val="001D7958"/>
    <w:rsid w:val="001D79D9"/>
    <w:rsid w:val="001D7B05"/>
    <w:rsid w:val="001D7E43"/>
    <w:rsid w:val="001E0082"/>
    <w:rsid w:val="001E0114"/>
    <w:rsid w:val="001E0179"/>
    <w:rsid w:val="001E0242"/>
    <w:rsid w:val="001E0651"/>
    <w:rsid w:val="001E0845"/>
    <w:rsid w:val="001E092C"/>
    <w:rsid w:val="001E093F"/>
    <w:rsid w:val="001E0C58"/>
    <w:rsid w:val="001E0E6C"/>
    <w:rsid w:val="001E15A3"/>
    <w:rsid w:val="001E1822"/>
    <w:rsid w:val="001E18C6"/>
    <w:rsid w:val="001E19B2"/>
    <w:rsid w:val="001E1E2B"/>
    <w:rsid w:val="001E1FD7"/>
    <w:rsid w:val="001E226D"/>
    <w:rsid w:val="001E2C80"/>
    <w:rsid w:val="001E309B"/>
    <w:rsid w:val="001E3743"/>
    <w:rsid w:val="001E3CDC"/>
    <w:rsid w:val="001E3DF5"/>
    <w:rsid w:val="001E4114"/>
    <w:rsid w:val="001E429A"/>
    <w:rsid w:val="001E461F"/>
    <w:rsid w:val="001E4813"/>
    <w:rsid w:val="001E4A0C"/>
    <w:rsid w:val="001E4D91"/>
    <w:rsid w:val="001E533B"/>
    <w:rsid w:val="001E5656"/>
    <w:rsid w:val="001E5804"/>
    <w:rsid w:val="001E5C71"/>
    <w:rsid w:val="001E6163"/>
    <w:rsid w:val="001E62AE"/>
    <w:rsid w:val="001E62E8"/>
    <w:rsid w:val="001E6354"/>
    <w:rsid w:val="001E647D"/>
    <w:rsid w:val="001E6FE5"/>
    <w:rsid w:val="001E707D"/>
    <w:rsid w:val="001E7451"/>
    <w:rsid w:val="001E74D6"/>
    <w:rsid w:val="001E7629"/>
    <w:rsid w:val="001E76CA"/>
    <w:rsid w:val="001E7D2F"/>
    <w:rsid w:val="001E7D9E"/>
    <w:rsid w:val="001E7FCC"/>
    <w:rsid w:val="001F01A5"/>
    <w:rsid w:val="001F022D"/>
    <w:rsid w:val="001F069D"/>
    <w:rsid w:val="001F0A2B"/>
    <w:rsid w:val="001F0BB2"/>
    <w:rsid w:val="001F108D"/>
    <w:rsid w:val="001F10F7"/>
    <w:rsid w:val="001F12BD"/>
    <w:rsid w:val="001F12F7"/>
    <w:rsid w:val="001F1543"/>
    <w:rsid w:val="001F1547"/>
    <w:rsid w:val="001F1978"/>
    <w:rsid w:val="001F1C88"/>
    <w:rsid w:val="001F1F96"/>
    <w:rsid w:val="001F258C"/>
    <w:rsid w:val="001F2794"/>
    <w:rsid w:val="001F27C0"/>
    <w:rsid w:val="001F2B12"/>
    <w:rsid w:val="001F2C04"/>
    <w:rsid w:val="001F2E56"/>
    <w:rsid w:val="001F2FC9"/>
    <w:rsid w:val="001F3189"/>
    <w:rsid w:val="001F324A"/>
    <w:rsid w:val="001F328E"/>
    <w:rsid w:val="001F3499"/>
    <w:rsid w:val="001F39D3"/>
    <w:rsid w:val="001F3D81"/>
    <w:rsid w:val="001F3F38"/>
    <w:rsid w:val="001F41A6"/>
    <w:rsid w:val="001F42EC"/>
    <w:rsid w:val="001F446F"/>
    <w:rsid w:val="001F44AA"/>
    <w:rsid w:val="001F46AD"/>
    <w:rsid w:val="001F48AF"/>
    <w:rsid w:val="001F4C19"/>
    <w:rsid w:val="001F501B"/>
    <w:rsid w:val="001F5208"/>
    <w:rsid w:val="001F540D"/>
    <w:rsid w:val="001F563F"/>
    <w:rsid w:val="001F56B0"/>
    <w:rsid w:val="001F5700"/>
    <w:rsid w:val="001F5AE3"/>
    <w:rsid w:val="001F5B68"/>
    <w:rsid w:val="001F615E"/>
    <w:rsid w:val="001F6184"/>
    <w:rsid w:val="001F62C6"/>
    <w:rsid w:val="001F6371"/>
    <w:rsid w:val="001F6B34"/>
    <w:rsid w:val="001F7236"/>
    <w:rsid w:val="001F724F"/>
    <w:rsid w:val="001F735A"/>
    <w:rsid w:val="001F7C48"/>
    <w:rsid w:val="001F7C98"/>
    <w:rsid w:val="002001B6"/>
    <w:rsid w:val="00200277"/>
    <w:rsid w:val="0020069A"/>
    <w:rsid w:val="00200728"/>
    <w:rsid w:val="0020077D"/>
    <w:rsid w:val="002007A4"/>
    <w:rsid w:val="00200B81"/>
    <w:rsid w:val="00200C17"/>
    <w:rsid w:val="00200DDC"/>
    <w:rsid w:val="00201219"/>
    <w:rsid w:val="0020163A"/>
    <w:rsid w:val="00201698"/>
    <w:rsid w:val="002016A2"/>
    <w:rsid w:val="00201839"/>
    <w:rsid w:val="00201AE8"/>
    <w:rsid w:val="00201B8F"/>
    <w:rsid w:val="00201C5E"/>
    <w:rsid w:val="00201D5D"/>
    <w:rsid w:val="002024C8"/>
    <w:rsid w:val="002024D6"/>
    <w:rsid w:val="002027F1"/>
    <w:rsid w:val="00202B99"/>
    <w:rsid w:val="00202DEA"/>
    <w:rsid w:val="00202E76"/>
    <w:rsid w:val="00202E8E"/>
    <w:rsid w:val="00203838"/>
    <w:rsid w:val="002038D4"/>
    <w:rsid w:val="00203CB7"/>
    <w:rsid w:val="00203F5A"/>
    <w:rsid w:val="00204404"/>
    <w:rsid w:val="002044B6"/>
    <w:rsid w:val="00204B33"/>
    <w:rsid w:val="00204C3F"/>
    <w:rsid w:val="00204E96"/>
    <w:rsid w:val="00204F68"/>
    <w:rsid w:val="0020505A"/>
    <w:rsid w:val="002051E6"/>
    <w:rsid w:val="002059DF"/>
    <w:rsid w:val="00205A79"/>
    <w:rsid w:val="00205D70"/>
    <w:rsid w:val="00205E0E"/>
    <w:rsid w:val="00205F60"/>
    <w:rsid w:val="00206097"/>
    <w:rsid w:val="00206101"/>
    <w:rsid w:val="002065C4"/>
    <w:rsid w:val="00206795"/>
    <w:rsid w:val="00206896"/>
    <w:rsid w:val="0020697F"/>
    <w:rsid w:val="00206B62"/>
    <w:rsid w:val="0020703E"/>
    <w:rsid w:val="0020705A"/>
    <w:rsid w:val="00207148"/>
    <w:rsid w:val="00207490"/>
    <w:rsid w:val="002075E2"/>
    <w:rsid w:val="0020768D"/>
    <w:rsid w:val="00207698"/>
    <w:rsid w:val="00207735"/>
    <w:rsid w:val="0020795C"/>
    <w:rsid w:val="00207999"/>
    <w:rsid w:val="00207B26"/>
    <w:rsid w:val="00207D26"/>
    <w:rsid w:val="00207F04"/>
    <w:rsid w:val="00210215"/>
    <w:rsid w:val="002102CD"/>
    <w:rsid w:val="0021033A"/>
    <w:rsid w:val="00210412"/>
    <w:rsid w:val="00210BB6"/>
    <w:rsid w:val="00210E94"/>
    <w:rsid w:val="00210E9C"/>
    <w:rsid w:val="00210EAD"/>
    <w:rsid w:val="00210FF2"/>
    <w:rsid w:val="0021104C"/>
    <w:rsid w:val="00211056"/>
    <w:rsid w:val="002112FC"/>
    <w:rsid w:val="002113F5"/>
    <w:rsid w:val="002116CD"/>
    <w:rsid w:val="0021172C"/>
    <w:rsid w:val="002119A5"/>
    <w:rsid w:val="00211C2B"/>
    <w:rsid w:val="002121B4"/>
    <w:rsid w:val="00212809"/>
    <w:rsid w:val="00212FC8"/>
    <w:rsid w:val="002133DB"/>
    <w:rsid w:val="00213605"/>
    <w:rsid w:val="00213AA9"/>
    <w:rsid w:val="00213D22"/>
    <w:rsid w:val="00213ED6"/>
    <w:rsid w:val="002144B5"/>
    <w:rsid w:val="00214541"/>
    <w:rsid w:val="00214A35"/>
    <w:rsid w:val="00214AD6"/>
    <w:rsid w:val="00214C01"/>
    <w:rsid w:val="00214EE4"/>
    <w:rsid w:val="00214FDF"/>
    <w:rsid w:val="002150A3"/>
    <w:rsid w:val="00215355"/>
    <w:rsid w:val="00215559"/>
    <w:rsid w:val="002157AF"/>
    <w:rsid w:val="002158F5"/>
    <w:rsid w:val="00215B53"/>
    <w:rsid w:val="00215DC3"/>
    <w:rsid w:val="0021627A"/>
    <w:rsid w:val="0021672B"/>
    <w:rsid w:val="00216D94"/>
    <w:rsid w:val="00216FE7"/>
    <w:rsid w:val="00217052"/>
    <w:rsid w:val="002170B2"/>
    <w:rsid w:val="00217132"/>
    <w:rsid w:val="00217464"/>
    <w:rsid w:val="002175DC"/>
    <w:rsid w:val="00217792"/>
    <w:rsid w:val="002177B6"/>
    <w:rsid w:val="00217A64"/>
    <w:rsid w:val="00217ABA"/>
    <w:rsid w:val="00217B02"/>
    <w:rsid w:val="00217E2C"/>
    <w:rsid w:val="002200AB"/>
    <w:rsid w:val="00220160"/>
    <w:rsid w:val="002204D3"/>
    <w:rsid w:val="002205F5"/>
    <w:rsid w:val="00220A8E"/>
    <w:rsid w:val="0022113C"/>
    <w:rsid w:val="002217D7"/>
    <w:rsid w:val="0022191F"/>
    <w:rsid w:val="00221C52"/>
    <w:rsid w:val="00221CDE"/>
    <w:rsid w:val="00222418"/>
    <w:rsid w:val="00222468"/>
    <w:rsid w:val="00222624"/>
    <w:rsid w:val="00222666"/>
    <w:rsid w:val="002226BE"/>
    <w:rsid w:val="00222C97"/>
    <w:rsid w:val="00222D8D"/>
    <w:rsid w:val="00223097"/>
    <w:rsid w:val="002231F3"/>
    <w:rsid w:val="00223211"/>
    <w:rsid w:val="0022324F"/>
    <w:rsid w:val="0022357C"/>
    <w:rsid w:val="002236DA"/>
    <w:rsid w:val="00223700"/>
    <w:rsid w:val="0022375F"/>
    <w:rsid w:val="002237DF"/>
    <w:rsid w:val="00223BF7"/>
    <w:rsid w:val="00223EC6"/>
    <w:rsid w:val="00224009"/>
    <w:rsid w:val="00224205"/>
    <w:rsid w:val="00224234"/>
    <w:rsid w:val="00224296"/>
    <w:rsid w:val="00224298"/>
    <w:rsid w:val="002243CD"/>
    <w:rsid w:val="002243F5"/>
    <w:rsid w:val="0022455A"/>
    <w:rsid w:val="00224A6F"/>
    <w:rsid w:val="00224CBE"/>
    <w:rsid w:val="00224DE7"/>
    <w:rsid w:val="00224E7E"/>
    <w:rsid w:val="00225058"/>
    <w:rsid w:val="002250D4"/>
    <w:rsid w:val="00225A6C"/>
    <w:rsid w:val="00225BDB"/>
    <w:rsid w:val="00225E9F"/>
    <w:rsid w:val="00226393"/>
    <w:rsid w:val="00226B0A"/>
    <w:rsid w:val="00226C50"/>
    <w:rsid w:val="002271ED"/>
    <w:rsid w:val="00227259"/>
    <w:rsid w:val="002274C2"/>
    <w:rsid w:val="0022786D"/>
    <w:rsid w:val="0022787C"/>
    <w:rsid w:val="0022789F"/>
    <w:rsid w:val="00227AD4"/>
    <w:rsid w:val="00227F33"/>
    <w:rsid w:val="002303A4"/>
    <w:rsid w:val="0023042A"/>
    <w:rsid w:val="002304B4"/>
    <w:rsid w:val="00230524"/>
    <w:rsid w:val="00230731"/>
    <w:rsid w:val="00230786"/>
    <w:rsid w:val="00230855"/>
    <w:rsid w:val="00230E23"/>
    <w:rsid w:val="00230F18"/>
    <w:rsid w:val="002312FA"/>
    <w:rsid w:val="0023174C"/>
    <w:rsid w:val="002317A8"/>
    <w:rsid w:val="00231D9B"/>
    <w:rsid w:val="00231E62"/>
    <w:rsid w:val="00231F4B"/>
    <w:rsid w:val="00232545"/>
    <w:rsid w:val="0023284A"/>
    <w:rsid w:val="00233100"/>
    <w:rsid w:val="002331E7"/>
    <w:rsid w:val="00233A73"/>
    <w:rsid w:val="00233ED1"/>
    <w:rsid w:val="002346F8"/>
    <w:rsid w:val="0023482F"/>
    <w:rsid w:val="002348F5"/>
    <w:rsid w:val="00234A4F"/>
    <w:rsid w:val="00234C6A"/>
    <w:rsid w:val="00234C71"/>
    <w:rsid w:val="00234CF2"/>
    <w:rsid w:val="00234DFE"/>
    <w:rsid w:val="00234EA2"/>
    <w:rsid w:val="002353EA"/>
    <w:rsid w:val="002354F0"/>
    <w:rsid w:val="0023563F"/>
    <w:rsid w:val="0023566F"/>
    <w:rsid w:val="002357E8"/>
    <w:rsid w:val="00235EF8"/>
    <w:rsid w:val="0023620A"/>
    <w:rsid w:val="00236398"/>
    <w:rsid w:val="002365E2"/>
    <w:rsid w:val="002369DD"/>
    <w:rsid w:val="00236A45"/>
    <w:rsid w:val="00236A46"/>
    <w:rsid w:val="00236F9A"/>
    <w:rsid w:val="0023706E"/>
    <w:rsid w:val="00237322"/>
    <w:rsid w:val="002373B9"/>
    <w:rsid w:val="002378CA"/>
    <w:rsid w:val="002379F6"/>
    <w:rsid w:val="00237AF0"/>
    <w:rsid w:val="00237E7B"/>
    <w:rsid w:val="0024000C"/>
    <w:rsid w:val="0024021B"/>
    <w:rsid w:val="00240343"/>
    <w:rsid w:val="0024038E"/>
    <w:rsid w:val="0024057E"/>
    <w:rsid w:val="00240BCB"/>
    <w:rsid w:val="00240E83"/>
    <w:rsid w:val="002411F8"/>
    <w:rsid w:val="002415DE"/>
    <w:rsid w:val="002415F8"/>
    <w:rsid w:val="00241633"/>
    <w:rsid w:val="00241669"/>
    <w:rsid w:val="0024169F"/>
    <w:rsid w:val="0024173E"/>
    <w:rsid w:val="002418C1"/>
    <w:rsid w:val="00241949"/>
    <w:rsid w:val="00241B8F"/>
    <w:rsid w:val="00241E73"/>
    <w:rsid w:val="0024226E"/>
    <w:rsid w:val="00242500"/>
    <w:rsid w:val="00242594"/>
    <w:rsid w:val="002427B9"/>
    <w:rsid w:val="0024284E"/>
    <w:rsid w:val="00242F4C"/>
    <w:rsid w:val="00242FAA"/>
    <w:rsid w:val="00243125"/>
    <w:rsid w:val="0024327D"/>
    <w:rsid w:val="002432B2"/>
    <w:rsid w:val="0024361A"/>
    <w:rsid w:val="002436BA"/>
    <w:rsid w:val="002436D9"/>
    <w:rsid w:val="00244188"/>
    <w:rsid w:val="0024432F"/>
    <w:rsid w:val="002449B6"/>
    <w:rsid w:val="00244A33"/>
    <w:rsid w:val="00244CDB"/>
    <w:rsid w:val="00244CF7"/>
    <w:rsid w:val="00244DC0"/>
    <w:rsid w:val="002452BC"/>
    <w:rsid w:val="002459B9"/>
    <w:rsid w:val="00245C72"/>
    <w:rsid w:val="00245DF9"/>
    <w:rsid w:val="00245EFA"/>
    <w:rsid w:val="00246758"/>
    <w:rsid w:val="002467DC"/>
    <w:rsid w:val="00246A25"/>
    <w:rsid w:val="00246BBD"/>
    <w:rsid w:val="0024720F"/>
    <w:rsid w:val="002472BC"/>
    <w:rsid w:val="0024737F"/>
    <w:rsid w:val="0024756B"/>
    <w:rsid w:val="00247694"/>
    <w:rsid w:val="0024793D"/>
    <w:rsid w:val="002479AC"/>
    <w:rsid w:val="00247BBC"/>
    <w:rsid w:val="00247BE0"/>
    <w:rsid w:val="00247DB9"/>
    <w:rsid w:val="00247FA6"/>
    <w:rsid w:val="002503FA"/>
    <w:rsid w:val="00250447"/>
    <w:rsid w:val="0025070C"/>
    <w:rsid w:val="00250774"/>
    <w:rsid w:val="00250968"/>
    <w:rsid w:val="00250B5E"/>
    <w:rsid w:val="00250DCE"/>
    <w:rsid w:val="00250E22"/>
    <w:rsid w:val="00250E49"/>
    <w:rsid w:val="0025109E"/>
    <w:rsid w:val="002511C8"/>
    <w:rsid w:val="0025128A"/>
    <w:rsid w:val="00251975"/>
    <w:rsid w:val="00251985"/>
    <w:rsid w:val="002519B1"/>
    <w:rsid w:val="00251DC5"/>
    <w:rsid w:val="00251E53"/>
    <w:rsid w:val="00252189"/>
    <w:rsid w:val="00252263"/>
    <w:rsid w:val="002523CE"/>
    <w:rsid w:val="0025245D"/>
    <w:rsid w:val="00252510"/>
    <w:rsid w:val="002525D8"/>
    <w:rsid w:val="00252756"/>
    <w:rsid w:val="0025278F"/>
    <w:rsid w:val="00252A94"/>
    <w:rsid w:val="00252CCA"/>
    <w:rsid w:val="00252E51"/>
    <w:rsid w:val="00253045"/>
    <w:rsid w:val="002530B7"/>
    <w:rsid w:val="00253337"/>
    <w:rsid w:val="002533E7"/>
    <w:rsid w:val="00253639"/>
    <w:rsid w:val="00253654"/>
    <w:rsid w:val="00253757"/>
    <w:rsid w:val="0025376F"/>
    <w:rsid w:val="00253A4B"/>
    <w:rsid w:val="00253E19"/>
    <w:rsid w:val="00253E6E"/>
    <w:rsid w:val="00254416"/>
    <w:rsid w:val="002546A9"/>
    <w:rsid w:val="002547CC"/>
    <w:rsid w:val="0025487D"/>
    <w:rsid w:val="002548C5"/>
    <w:rsid w:val="00254A69"/>
    <w:rsid w:val="00254AA2"/>
    <w:rsid w:val="00254B49"/>
    <w:rsid w:val="00254BBD"/>
    <w:rsid w:val="00254E0C"/>
    <w:rsid w:val="002550D5"/>
    <w:rsid w:val="002556D1"/>
    <w:rsid w:val="00255BFD"/>
    <w:rsid w:val="00255C33"/>
    <w:rsid w:val="00255CD5"/>
    <w:rsid w:val="00255D9C"/>
    <w:rsid w:val="00255FFC"/>
    <w:rsid w:val="00256163"/>
    <w:rsid w:val="00256257"/>
    <w:rsid w:val="00256378"/>
    <w:rsid w:val="00256547"/>
    <w:rsid w:val="0025673E"/>
    <w:rsid w:val="002568C0"/>
    <w:rsid w:val="00256CAE"/>
    <w:rsid w:val="0025714E"/>
    <w:rsid w:val="00257171"/>
    <w:rsid w:val="00257BFE"/>
    <w:rsid w:val="00257C90"/>
    <w:rsid w:val="00257E5F"/>
    <w:rsid w:val="002600E4"/>
    <w:rsid w:val="002607F7"/>
    <w:rsid w:val="00260F87"/>
    <w:rsid w:val="00260FA2"/>
    <w:rsid w:val="002612AA"/>
    <w:rsid w:val="002614F7"/>
    <w:rsid w:val="00261550"/>
    <w:rsid w:val="002616C4"/>
    <w:rsid w:val="00261907"/>
    <w:rsid w:val="002622F8"/>
    <w:rsid w:val="00262764"/>
    <w:rsid w:val="002630F2"/>
    <w:rsid w:val="00263149"/>
    <w:rsid w:val="00263187"/>
    <w:rsid w:val="0026324D"/>
    <w:rsid w:val="00263511"/>
    <w:rsid w:val="002637A3"/>
    <w:rsid w:val="002638DC"/>
    <w:rsid w:val="002638F1"/>
    <w:rsid w:val="00263A53"/>
    <w:rsid w:val="00263ADD"/>
    <w:rsid w:val="00263C5B"/>
    <w:rsid w:val="00263CE8"/>
    <w:rsid w:val="002642E5"/>
    <w:rsid w:val="002642EE"/>
    <w:rsid w:val="0026465F"/>
    <w:rsid w:val="0026472F"/>
    <w:rsid w:val="002647B5"/>
    <w:rsid w:val="002647F0"/>
    <w:rsid w:val="00264A5D"/>
    <w:rsid w:val="00264C72"/>
    <w:rsid w:val="00264D11"/>
    <w:rsid w:val="00264D96"/>
    <w:rsid w:val="00264E36"/>
    <w:rsid w:val="002652B6"/>
    <w:rsid w:val="0026533F"/>
    <w:rsid w:val="00265463"/>
    <w:rsid w:val="002654EB"/>
    <w:rsid w:val="00265B7A"/>
    <w:rsid w:val="00265C93"/>
    <w:rsid w:val="00265E15"/>
    <w:rsid w:val="002660C6"/>
    <w:rsid w:val="0026626B"/>
    <w:rsid w:val="0026658F"/>
    <w:rsid w:val="00266641"/>
    <w:rsid w:val="00266673"/>
    <w:rsid w:val="0026668C"/>
    <w:rsid w:val="00266ADA"/>
    <w:rsid w:val="00266B13"/>
    <w:rsid w:val="00266D6D"/>
    <w:rsid w:val="00266E14"/>
    <w:rsid w:val="00266EE7"/>
    <w:rsid w:val="00266F22"/>
    <w:rsid w:val="00267010"/>
    <w:rsid w:val="002672C4"/>
    <w:rsid w:val="00267405"/>
    <w:rsid w:val="002674CC"/>
    <w:rsid w:val="0026785C"/>
    <w:rsid w:val="00267AE6"/>
    <w:rsid w:val="00267FAC"/>
    <w:rsid w:val="00270011"/>
    <w:rsid w:val="00270202"/>
    <w:rsid w:val="00270288"/>
    <w:rsid w:val="00270438"/>
    <w:rsid w:val="00270612"/>
    <w:rsid w:val="00270A56"/>
    <w:rsid w:val="00270AFD"/>
    <w:rsid w:val="00270B4A"/>
    <w:rsid w:val="00270BD4"/>
    <w:rsid w:val="00270F09"/>
    <w:rsid w:val="0027105D"/>
    <w:rsid w:val="002712C7"/>
    <w:rsid w:val="00271504"/>
    <w:rsid w:val="0027183B"/>
    <w:rsid w:val="00271A1B"/>
    <w:rsid w:val="00271CC1"/>
    <w:rsid w:val="00271FCD"/>
    <w:rsid w:val="0027224B"/>
    <w:rsid w:val="00272290"/>
    <w:rsid w:val="00272AD5"/>
    <w:rsid w:val="00272D75"/>
    <w:rsid w:val="00272DE2"/>
    <w:rsid w:val="00272E2C"/>
    <w:rsid w:val="00273329"/>
    <w:rsid w:val="00273336"/>
    <w:rsid w:val="002734D4"/>
    <w:rsid w:val="0027368C"/>
    <w:rsid w:val="00273CE0"/>
    <w:rsid w:val="002740F8"/>
    <w:rsid w:val="00274130"/>
    <w:rsid w:val="0027423F"/>
    <w:rsid w:val="002745EE"/>
    <w:rsid w:val="0027485F"/>
    <w:rsid w:val="00274ADE"/>
    <w:rsid w:val="0027532B"/>
    <w:rsid w:val="00275609"/>
    <w:rsid w:val="00275880"/>
    <w:rsid w:val="002758CB"/>
    <w:rsid w:val="002759EF"/>
    <w:rsid w:val="00275BB1"/>
    <w:rsid w:val="00275BDD"/>
    <w:rsid w:val="00275CBF"/>
    <w:rsid w:val="00276017"/>
    <w:rsid w:val="0027627C"/>
    <w:rsid w:val="00276675"/>
    <w:rsid w:val="00276694"/>
    <w:rsid w:val="00276B1D"/>
    <w:rsid w:val="00276C00"/>
    <w:rsid w:val="00276C83"/>
    <w:rsid w:val="00276EC5"/>
    <w:rsid w:val="00277029"/>
    <w:rsid w:val="0027703B"/>
    <w:rsid w:val="0027763F"/>
    <w:rsid w:val="00277912"/>
    <w:rsid w:val="002779AB"/>
    <w:rsid w:val="00277B43"/>
    <w:rsid w:val="00277E6C"/>
    <w:rsid w:val="00277EFA"/>
    <w:rsid w:val="002801F0"/>
    <w:rsid w:val="00280282"/>
    <w:rsid w:val="002806AF"/>
    <w:rsid w:val="002806ED"/>
    <w:rsid w:val="00280804"/>
    <w:rsid w:val="00280B74"/>
    <w:rsid w:val="00280B7B"/>
    <w:rsid w:val="00280C22"/>
    <w:rsid w:val="00280C6D"/>
    <w:rsid w:val="00280FFD"/>
    <w:rsid w:val="0028102B"/>
    <w:rsid w:val="002812DD"/>
    <w:rsid w:val="00281455"/>
    <w:rsid w:val="00281A4E"/>
    <w:rsid w:val="00281EDC"/>
    <w:rsid w:val="00281F8B"/>
    <w:rsid w:val="002824E0"/>
    <w:rsid w:val="00282A53"/>
    <w:rsid w:val="00282B20"/>
    <w:rsid w:val="00282E3E"/>
    <w:rsid w:val="002835D2"/>
    <w:rsid w:val="00283767"/>
    <w:rsid w:val="00283783"/>
    <w:rsid w:val="002838FC"/>
    <w:rsid w:val="002839F8"/>
    <w:rsid w:val="00283EB4"/>
    <w:rsid w:val="00283EF9"/>
    <w:rsid w:val="002842E1"/>
    <w:rsid w:val="0028434C"/>
    <w:rsid w:val="002843BE"/>
    <w:rsid w:val="00284798"/>
    <w:rsid w:val="00284888"/>
    <w:rsid w:val="00284E54"/>
    <w:rsid w:val="00284ED9"/>
    <w:rsid w:val="00285089"/>
    <w:rsid w:val="002850E2"/>
    <w:rsid w:val="00285164"/>
    <w:rsid w:val="00285340"/>
    <w:rsid w:val="002858CC"/>
    <w:rsid w:val="00285A4D"/>
    <w:rsid w:val="00285B5B"/>
    <w:rsid w:val="00285BF4"/>
    <w:rsid w:val="00285CEB"/>
    <w:rsid w:val="00285D9C"/>
    <w:rsid w:val="00285E29"/>
    <w:rsid w:val="0028607E"/>
    <w:rsid w:val="0028636D"/>
    <w:rsid w:val="00286593"/>
    <w:rsid w:val="002865E9"/>
    <w:rsid w:val="00286856"/>
    <w:rsid w:val="00286880"/>
    <w:rsid w:val="00286A99"/>
    <w:rsid w:val="00286D41"/>
    <w:rsid w:val="00287094"/>
    <w:rsid w:val="002870F9"/>
    <w:rsid w:val="002873B3"/>
    <w:rsid w:val="00287513"/>
    <w:rsid w:val="0028783C"/>
    <w:rsid w:val="00287934"/>
    <w:rsid w:val="00287AF6"/>
    <w:rsid w:val="00287C71"/>
    <w:rsid w:val="00287DD5"/>
    <w:rsid w:val="0029034E"/>
    <w:rsid w:val="00290591"/>
    <w:rsid w:val="002907BF"/>
    <w:rsid w:val="0029080C"/>
    <w:rsid w:val="00290937"/>
    <w:rsid w:val="00290C58"/>
    <w:rsid w:val="00290CCC"/>
    <w:rsid w:val="00290D52"/>
    <w:rsid w:val="00290DED"/>
    <w:rsid w:val="00291244"/>
    <w:rsid w:val="00291483"/>
    <w:rsid w:val="002915D9"/>
    <w:rsid w:val="0029161D"/>
    <w:rsid w:val="00291724"/>
    <w:rsid w:val="00291743"/>
    <w:rsid w:val="002918A1"/>
    <w:rsid w:val="00291A72"/>
    <w:rsid w:val="00291DF1"/>
    <w:rsid w:val="002920FF"/>
    <w:rsid w:val="002923DA"/>
    <w:rsid w:val="0029247E"/>
    <w:rsid w:val="0029258D"/>
    <w:rsid w:val="00292C02"/>
    <w:rsid w:val="00292CBC"/>
    <w:rsid w:val="00292E12"/>
    <w:rsid w:val="00292F0F"/>
    <w:rsid w:val="0029335D"/>
    <w:rsid w:val="002934F0"/>
    <w:rsid w:val="00293922"/>
    <w:rsid w:val="002943FD"/>
    <w:rsid w:val="00294853"/>
    <w:rsid w:val="0029490E"/>
    <w:rsid w:val="00295010"/>
    <w:rsid w:val="002957F5"/>
    <w:rsid w:val="002959D4"/>
    <w:rsid w:val="00296937"/>
    <w:rsid w:val="00296A87"/>
    <w:rsid w:val="002970A3"/>
    <w:rsid w:val="002974C7"/>
    <w:rsid w:val="00297514"/>
    <w:rsid w:val="00297527"/>
    <w:rsid w:val="00297BB8"/>
    <w:rsid w:val="00297DB4"/>
    <w:rsid w:val="00297DD3"/>
    <w:rsid w:val="002A001C"/>
    <w:rsid w:val="002A035F"/>
    <w:rsid w:val="002A0793"/>
    <w:rsid w:val="002A08F5"/>
    <w:rsid w:val="002A0C4B"/>
    <w:rsid w:val="002A0E4F"/>
    <w:rsid w:val="002A14BF"/>
    <w:rsid w:val="002A17AC"/>
    <w:rsid w:val="002A17E0"/>
    <w:rsid w:val="002A1B9F"/>
    <w:rsid w:val="002A1D44"/>
    <w:rsid w:val="002A2151"/>
    <w:rsid w:val="002A27FB"/>
    <w:rsid w:val="002A2A8B"/>
    <w:rsid w:val="002A2E74"/>
    <w:rsid w:val="002A2F71"/>
    <w:rsid w:val="002A33EF"/>
    <w:rsid w:val="002A35AE"/>
    <w:rsid w:val="002A37C4"/>
    <w:rsid w:val="002A3B3A"/>
    <w:rsid w:val="002A3BB5"/>
    <w:rsid w:val="002A3E88"/>
    <w:rsid w:val="002A3FB0"/>
    <w:rsid w:val="002A4199"/>
    <w:rsid w:val="002A430D"/>
    <w:rsid w:val="002A43BD"/>
    <w:rsid w:val="002A4D82"/>
    <w:rsid w:val="002A4E1E"/>
    <w:rsid w:val="002A5137"/>
    <w:rsid w:val="002A5181"/>
    <w:rsid w:val="002A51DB"/>
    <w:rsid w:val="002A5295"/>
    <w:rsid w:val="002A55E4"/>
    <w:rsid w:val="002A561F"/>
    <w:rsid w:val="002A59E7"/>
    <w:rsid w:val="002A5B3A"/>
    <w:rsid w:val="002A5C9F"/>
    <w:rsid w:val="002A6124"/>
    <w:rsid w:val="002A6265"/>
    <w:rsid w:val="002A68EE"/>
    <w:rsid w:val="002A6EB7"/>
    <w:rsid w:val="002A7049"/>
    <w:rsid w:val="002A7378"/>
    <w:rsid w:val="002A7792"/>
    <w:rsid w:val="002A7A83"/>
    <w:rsid w:val="002A7C04"/>
    <w:rsid w:val="002B0013"/>
    <w:rsid w:val="002B01BE"/>
    <w:rsid w:val="002B028C"/>
    <w:rsid w:val="002B06BC"/>
    <w:rsid w:val="002B085B"/>
    <w:rsid w:val="002B094B"/>
    <w:rsid w:val="002B0AD5"/>
    <w:rsid w:val="002B0DA1"/>
    <w:rsid w:val="002B0E56"/>
    <w:rsid w:val="002B13A7"/>
    <w:rsid w:val="002B1856"/>
    <w:rsid w:val="002B1A25"/>
    <w:rsid w:val="002B1BDD"/>
    <w:rsid w:val="002B204A"/>
    <w:rsid w:val="002B204C"/>
    <w:rsid w:val="002B2400"/>
    <w:rsid w:val="002B2410"/>
    <w:rsid w:val="002B25BC"/>
    <w:rsid w:val="002B26A5"/>
    <w:rsid w:val="002B26EB"/>
    <w:rsid w:val="002B2D3F"/>
    <w:rsid w:val="002B2E9F"/>
    <w:rsid w:val="002B30C6"/>
    <w:rsid w:val="002B30FD"/>
    <w:rsid w:val="002B39A4"/>
    <w:rsid w:val="002B3A1E"/>
    <w:rsid w:val="002B3B15"/>
    <w:rsid w:val="002B3D3F"/>
    <w:rsid w:val="002B4048"/>
    <w:rsid w:val="002B40EB"/>
    <w:rsid w:val="002B4188"/>
    <w:rsid w:val="002B42C9"/>
    <w:rsid w:val="002B4392"/>
    <w:rsid w:val="002B488F"/>
    <w:rsid w:val="002B4A99"/>
    <w:rsid w:val="002B4B45"/>
    <w:rsid w:val="002B4BF3"/>
    <w:rsid w:val="002B4D71"/>
    <w:rsid w:val="002B4F91"/>
    <w:rsid w:val="002B515B"/>
    <w:rsid w:val="002B516C"/>
    <w:rsid w:val="002B537A"/>
    <w:rsid w:val="002B53FB"/>
    <w:rsid w:val="002B5692"/>
    <w:rsid w:val="002B5717"/>
    <w:rsid w:val="002B5972"/>
    <w:rsid w:val="002B5BFB"/>
    <w:rsid w:val="002B5DE3"/>
    <w:rsid w:val="002B6237"/>
    <w:rsid w:val="002B6359"/>
    <w:rsid w:val="002B653C"/>
    <w:rsid w:val="002B660D"/>
    <w:rsid w:val="002B66D6"/>
    <w:rsid w:val="002B671F"/>
    <w:rsid w:val="002B674B"/>
    <w:rsid w:val="002B681C"/>
    <w:rsid w:val="002B6C8C"/>
    <w:rsid w:val="002B6DA2"/>
    <w:rsid w:val="002B6F3E"/>
    <w:rsid w:val="002B704A"/>
    <w:rsid w:val="002B7115"/>
    <w:rsid w:val="002B7410"/>
    <w:rsid w:val="002B7436"/>
    <w:rsid w:val="002B7457"/>
    <w:rsid w:val="002B77B9"/>
    <w:rsid w:val="002B78EA"/>
    <w:rsid w:val="002B79F1"/>
    <w:rsid w:val="002B79F7"/>
    <w:rsid w:val="002B7AD8"/>
    <w:rsid w:val="002B7FDB"/>
    <w:rsid w:val="002C012C"/>
    <w:rsid w:val="002C0574"/>
    <w:rsid w:val="002C07DA"/>
    <w:rsid w:val="002C0AE5"/>
    <w:rsid w:val="002C14EB"/>
    <w:rsid w:val="002C17EE"/>
    <w:rsid w:val="002C1857"/>
    <w:rsid w:val="002C1961"/>
    <w:rsid w:val="002C1FCF"/>
    <w:rsid w:val="002C2432"/>
    <w:rsid w:val="002C244D"/>
    <w:rsid w:val="002C261D"/>
    <w:rsid w:val="002C2D75"/>
    <w:rsid w:val="002C2DA5"/>
    <w:rsid w:val="002C2DCE"/>
    <w:rsid w:val="002C2DFF"/>
    <w:rsid w:val="002C2F47"/>
    <w:rsid w:val="002C307C"/>
    <w:rsid w:val="002C320E"/>
    <w:rsid w:val="002C33AE"/>
    <w:rsid w:val="002C3F3C"/>
    <w:rsid w:val="002C4007"/>
    <w:rsid w:val="002C434B"/>
    <w:rsid w:val="002C4802"/>
    <w:rsid w:val="002C48DC"/>
    <w:rsid w:val="002C4A72"/>
    <w:rsid w:val="002C4B51"/>
    <w:rsid w:val="002C4F1F"/>
    <w:rsid w:val="002C4FD9"/>
    <w:rsid w:val="002C543A"/>
    <w:rsid w:val="002C585B"/>
    <w:rsid w:val="002C58D0"/>
    <w:rsid w:val="002C593F"/>
    <w:rsid w:val="002C5D77"/>
    <w:rsid w:val="002C5ECF"/>
    <w:rsid w:val="002C613C"/>
    <w:rsid w:val="002C61C7"/>
    <w:rsid w:val="002C68B3"/>
    <w:rsid w:val="002C6966"/>
    <w:rsid w:val="002C6B72"/>
    <w:rsid w:val="002C6B74"/>
    <w:rsid w:val="002C6D34"/>
    <w:rsid w:val="002C6F81"/>
    <w:rsid w:val="002C7175"/>
    <w:rsid w:val="002C72AC"/>
    <w:rsid w:val="002C73B9"/>
    <w:rsid w:val="002C74DD"/>
    <w:rsid w:val="002C7507"/>
    <w:rsid w:val="002C7555"/>
    <w:rsid w:val="002C7576"/>
    <w:rsid w:val="002C77B2"/>
    <w:rsid w:val="002C7827"/>
    <w:rsid w:val="002C7C00"/>
    <w:rsid w:val="002C7CEE"/>
    <w:rsid w:val="002D0213"/>
    <w:rsid w:val="002D02CE"/>
    <w:rsid w:val="002D02D3"/>
    <w:rsid w:val="002D035E"/>
    <w:rsid w:val="002D0441"/>
    <w:rsid w:val="002D0762"/>
    <w:rsid w:val="002D0896"/>
    <w:rsid w:val="002D09E2"/>
    <w:rsid w:val="002D0CCD"/>
    <w:rsid w:val="002D0E5A"/>
    <w:rsid w:val="002D152F"/>
    <w:rsid w:val="002D1835"/>
    <w:rsid w:val="002D1E49"/>
    <w:rsid w:val="002D205A"/>
    <w:rsid w:val="002D20D6"/>
    <w:rsid w:val="002D2167"/>
    <w:rsid w:val="002D2318"/>
    <w:rsid w:val="002D2501"/>
    <w:rsid w:val="002D2666"/>
    <w:rsid w:val="002D29EA"/>
    <w:rsid w:val="002D2A64"/>
    <w:rsid w:val="002D2DE2"/>
    <w:rsid w:val="002D3057"/>
    <w:rsid w:val="002D318B"/>
    <w:rsid w:val="002D31F9"/>
    <w:rsid w:val="002D37FE"/>
    <w:rsid w:val="002D3A0F"/>
    <w:rsid w:val="002D3AC8"/>
    <w:rsid w:val="002D3B98"/>
    <w:rsid w:val="002D3E8F"/>
    <w:rsid w:val="002D4059"/>
    <w:rsid w:val="002D4100"/>
    <w:rsid w:val="002D456C"/>
    <w:rsid w:val="002D4571"/>
    <w:rsid w:val="002D47F7"/>
    <w:rsid w:val="002D4954"/>
    <w:rsid w:val="002D496B"/>
    <w:rsid w:val="002D49B6"/>
    <w:rsid w:val="002D4B11"/>
    <w:rsid w:val="002D503D"/>
    <w:rsid w:val="002D505F"/>
    <w:rsid w:val="002D5821"/>
    <w:rsid w:val="002D592A"/>
    <w:rsid w:val="002D5B36"/>
    <w:rsid w:val="002D5CCB"/>
    <w:rsid w:val="002D5ED5"/>
    <w:rsid w:val="002D6389"/>
    <w:rsid w:val="002D697A"/>
    <w:rsid w:val="002D75FB"/>
    <w:rsid w:val="002D772F"/>
    <w:rsid w:val="002D796A"/>
    <w:rsid w:val="002D7C56"/>
    <w:rsid w:val="002D7C97"/>
    <w:rsid w:val="002D7EBE"/>
    <w:rsid w:val="002E00D2"/>
    <w:rsid w:val="002E0324"/>
    <w:rsid w:val="002E0459"/>
    <w:rsid w:val="002E0551"/>
    <w:rsid w:val="002E06CC"/>
    <w:rsid w:val="002E0847"/>
    <w:rsid w:val="002E0C5F"/>
    <w:rsid w:val="002E1492"/>
    <w:rsid w:val="002E14BE"/>
    <w:rsid w:val="002E1747"/>
    <w:rsid w:val="002E1D14"/>
    <w:rsid w:val="002E205E"/>
    <w:rsid w:val="002E22E3"/>
    <w:rsid w:val="002E24AD"/>
    <w:rsid w:val="002E2703"/>
    <w:rsid w:val="002E2965"/>
    <w:rsid w:val="002E2A02"/>
    <w:rsid w:val="002E2C40"/>
    <w:rsid w:val="002E2D38"/>
    <w:rsid w:val="002E2D42"/>
    <w:rsid w:val="002E2DFC"/>
    <w:rsid w:val="002E2FB1"/>
    <w:rsid w:val="002E3389"/>
    <w:rsid w:val="002E34C2"/>
    <w:rsid w:val="002E3618"/>
    <w:rsid w:val="002E374D"/>
    <w:rsid w:val="002E3966"/>
    <w:rsid w:val="002E39EE"/>
    <w:rsid w:val="002E3D4C"/>
    <w:rsid w:val="002E3E37"/>
    <w:rsid w:val="002E40AD"/>
    <w:rsid w:val="002E42DE"/>
    <w:rsid w:val="002E44A5"/>
    <w:rsid w:val="002E4631"/>
    <w:rsid w:val="002E4A3E"/>
    <w:rsid w:val="002E4BCB"/>
    <w:rsid w:val="002E4DE4"/>
    <w:rsid w:val="002E4E92"/>
    <w:rsid w:val="002E5335"/>
    <w:rsid w:val="002E54A2"/>
    <w:rsid w:val="002E54D2"/>
    <w:rsid w:val="002E5526"/>
    <w:rsid w:val="002E578B"/>
    <w:rsid w:val="002E579C"/>
    <w:rsid w:val="002E57C6"/>
    <w:rsid w:val="002E5946"/>
    <w:rsid w:val="002E595E"/>
    <w:rsid w:val="002E5BF1"/>
    <w:rsid w:val="002E5CA9"/>
    <w:rsid w:val="002E5EC3"/>
    <w:rsid w:val="002E64D3"/>
    <w:rsid w:val="002E6741"/>
    <w:rsid w:val="002E6ADF"/>
    <w:rsid w:val="002E6C51"/>
    <w:rsid w:val="002E6CB4"/>
    <w:rsid w:val="002E6F43"/>
    <w:rsid w:val="002E742A"/>
    <w:rsid w:val="002E7481"/>
    <w:rsid w:val="002E7696"/>
    <w:rsid w:val="002E793B"/>
    <w:rsid w:val="002E7BA8"/>
    <w:rsid w:val="002E7E51"/>
    <w:rsid w:val="002F0442"/>
    <w:rsid w:val="002F0572"/>
    <w:rsid w:val="002F078C"/>
    <w:rsid w:val="002F07EE"/>
    <w:rsid w:val="002F080A"/>
    <w:rsid w:val="002F081E"/>
    <w:rsid w:val="002F088B"/>
    <w:rsid w:val="002F08AA"/>
    <w:rsid w:val="002F0BBC"/>
    <w:rsid w:val="002F0E6F"/>
    <w:rsid w:val="002F1036"/>
    <w:rsid w:val="002F1376"/>
    <w:rsid w:val="002F1617"/>
    <w:rsid w:val="002F18A6"/>
    <w:rsid w:val="002F199D"/>
    <w:rsid w:val="002F1ADE"/>
    <w:rsid w:val="002F1C4E"/>
    <w:rsid w:val="002F1C8A"/>
    <w:rsid w:val="002F2770"/>
    <w:rsid w:val="002F29BA"/>
    <w:rsid w:val="002F2B9C"/>
    <w:rsid w:val="002F2E39"/>
    <w:rsid w:val="002F32A2"/>
    <w:rsid w:val="002F344C"/>
    <w:rsid w:val="002F35B0"/>
    <w:rsid w:val="002F39F3"/>
    <w:rsid w:val="002F3A6D"/>
    <w:rsid w:val="002F3BF2"/>
    <w:rsid w:val="002F3C63"/>
    <w:rsid w:val="002F3CCA"/>
    <w:rsid w:val="002F3FB1"/>
    <w:rsid w:val="002F4032"/>
    <w:rsid w:val="002F4253"/>
    <w:rsid w:val="002F4398"/>
    <w:rsid w:val="002F454A"/>
    <w:rsid w:val="002F49FA"/>
    <w:rsid w:val="002F5194"/>
    <w:rsid w:val="002F5623"/>
    <w:rsid w:val="002F5A27"/>
    <w:rsid w:val="002F5C0D"/>
    <w:rsid w:val="002F5FA4"/>
    <w:rsid w:val="002F6061"/>
    <w:rsid w:val="002F60F3"/>
    <w:rsid w:val="002F6237"/>
    <w:rsid w:val="002F6340"/>
    <w:rsid w:val="002F6346"/>
    <w:rsid w:val="002F6619"/>
    <w:rsid w:val="002F66BA"/>
    <w:rsid w:val="002F690A"/>
    <w:rsid w:val="002F69F3"/>
    <w:rsid w:val="002F6B24"/>
    <w:rsid w:val="002F6B95"/>
    <w:rsid w:val="002F6CF6"/>
    <w:rsid w:val="002F6E49"/>
    <w:rsid w:val="002F6E84"/>
    <w:rsid w:val="002F70C1"/>
    <w:rsid w:val="002F715B"/>
    <w:rsid w:val="002F72CD"/>
    <w:rsid w:val="002F76F2"/>
    <w:rsid w:val="002F7808"/>
    <w:rsid w:val="002F792F"/>
    <w:rsid w:val="002F7A76"/>
    <w:rsid w:val="002F7AC1"/>
    <w:rsid w:val="002F7DD7"/>
    <w:rsid w:val="002F7E7D"/>
    <w:rsid w:val="003003AF"/>
    <w:rsid w:val="003003DA"/>
    <w:rsid w:val="00300456"/>
    <w:rsid w:val="00300594"/>
    <w:rsid w:val="0030088B"/>
    <w:rsid w:val="003009FB"/>
    <w:rsid w:val="00300B8D"/>
    <w:rsid w:val="00300D50"/>
    <w:rsid w:val="00300EAC"/>
    <w:rsid w:val="0030100D"/>
    <w:rsid w:val="0030182E"/>
    <w:rsid w:val="003018CA"/>
    <w:rsid w:val="00301C12"/>
    <w:rsid w:val="00302581"/>
    <w:rsid w:val="00302806"/>
    <w:rsid w:val="0030281B"/>
    <w:rsid w:val="003028B5"/>
    <w:rsid w:val="0030292F"/>
    <w:rsid w:val="00302AB4"/>
    <w:rsid w:val="00302BF5"/>
    <w:rsid w:val="00303098"/>
    <w:rsid w:val="00303390"/>
    <w:rsid w:val="003036D0"/>
    <w:rsid w:val="00303D02"/>
    <w:rsid w:val="00303DBB"/>
    <w:rsid w:val="00303EFD"/>
    <w:rsid w:val="00303F5D"/>
    <w:rsid w:val="00303FFF"/>
    <w:rsid w:val="003040BF"/>
    <w:rsid w:val="00304363"/>
    <w:rsid w:val="003044AC"/>
    <w:rsid w:val="0030455A"/>
    <w:rsid w:val="003046B1"/>
    <w:rsid w:val="00304D2D"/>
    <w:rsid w:val="00304D45"/>
    <w:rsid w:val="00304E04"/>
    <w:rsid w:val="00304E33"/>
    <w:rsid w:val="00304F7F"/>
    <w:rsid w:val="003050E8"/>
    <w:rsid w:val="00305287"/>
    <w:rsid w:val="003053E7"/>
    <w:rsid w:val="00305669"/>
    <w:rsid w:val="0030598A"/>
    <w:rsid w:val="00305B6D"/>
    <w:rsid w:val="00305C2E"/>
    <w:rsid w:val="003061A0"/>
    <w:rsid w:val="003063B7"/>
    <w:rsid w:val="0030646F"/>
    <w:rsid w:val="0030651A"/>
    <w:rsid w:val="00306553"/>
    <w:rsid w:val="003068DF"/>
    <w:rsid w:val="00306B6A"/>
    <w:rsid w:val="00307024"/>
    <w:rsid w:val="00307264"/>
    <w:rsid w:val="003074CE"/>
    <w:rsid w:val="003074D7"/>
    <w:rsid w:val="003074FF"/>
    <w:rsid w:val="00307793"/>
    <w:rsid w:val="003077EC"/>
    <w:rsid w:val="00307B33"/>
    <w:rsid w:val="00307B39"/>
    <w:rsid w:val="00307CEB"/>
    <w:rsid w:val="00307DD5"/>
    <w:rsid w:val="00307F65"/>
    <w:rsid w:val="00307FD5"/>
    <w:rsid w:val="003103DF"/>
    <w:rsid w:val="003107C6"/>
    <w:rsid w:val="00311128"/>
    <w:rsid w:val="003111C9"/>
    <w:rsid w:val="003114C1"/>
    <w:rsid w:val="00311506"/>
    <w:rsid w:val="0031156F"/>
    <w:rsid w:val="003117BD"/>
    <w:rsid w:val="00311BBF"/>
    <w:rsid w:val="003125CA"/>
    <w:rsid w:val="0031266C"/>
    <w:rsid w:val="0031283E"/>
    <w:rsid w:val="00312C02"/>
    <w:rsid w:val="00312F6C"/>
    <w:rsid w:val="0031306A"/>
    <w:rsid w:val="00313868"/>
    <w:rsid w:val="00313B78"/>
    <w:rsid w:val="00313DF6"/>
    <w:rsid w:val="00313FB7"/>
    <w:rsid w:val="0031467F"/>
    <w:rsid w:val="00314B1F"/>
    <w:rsid w:val="00314E0D"/>
    <w:rsid w:val="00314E8F"/>
    <w:rsid w:val="003150B2"/>
    <w:rsid w:val="00315275"/>
    <w:rsid w:val="003156EC"/>
    <w:rsid w:val="00315A45"/>
    <w:rsid w:val="00315F42"/>
    <w:rsid w:val="0031638B"/>
    <w:rsid w:val="003164CD"/>
    <w:rsid w:val="00316808"/>
    <w:rsid w:val="0031682D"/>
    <w:rsid w:val="003168CF"/>
    <w:rsid w:val="003169E5"/>
    <w:rsid w:val="003173EE"/>
    <w:rsid w:val="003179F3"/>
    <w:rsid w:val="00320070"/>
    <w:rsid w:val="00320271"/>
    <w:rsid w:val="003203AC"/>
    <w:rsid w:val="003204BC"/>
    <w:rsid w:val="003204C7"/>
    <w:rsid w:val="003205A9"/>
    <w:rsid w:val="00320A34"/>
    <w:rsid w:val="00320C88"/>
    <w:rsid w:val="00321097"/>
    <w:rsid w:val="003212B7"/>
    <w:rsid w:val="00321419"/>
    <w:rsid w:val="00321A44"/>
    <w:rsid w:val="00321A5E"/>
    <w:rsid w:val="00321AC4"/>
    <w:rsid w:val="00321C66"/>
    <w:rsid w:val="00321E72"/>
    <w:rsid w:val="003225C3"/>
    <w:rsid w:val="00322875"/>
    <w:rsid w:val="00322C35"/>
    <w:rsid w:val="0032319D"/>
    <w:rsid w:val="00323320"/>
    <w:rsid w:val="003235AC"/>
    <w:rsid w:val="003235EC"/>
    <w:rsid w:val="00323690"/>
    <w:rsid w:val="0032387D"/>
    <w:rsid w:val="003238CE"/>
    <w:rsid w:val="003239F2"/>
    <w:rsid w:val="00323AFC"/>
    <w:rsid w:val="00323B35"/>
    <w:rsid w:val="00323B61"/>
    <w:rsid w:val="00323C62"/>
    <w:rsid w:val="00323DF1"/>
    <w:rsid w:val="00323F57"/>
    <w:rsid w:val="0032422E"/>
    <w:rsid w:val="003245CE"/>
    <w:rsid w:val="003245D1"/>
    <w:rsid w:val="00324DD0"/>
    <w:rsid w:val="00325031"/>
    <w:rsid w:val="0032515A"/>
    <w:rsid w:val="00325296"/>
    <w:rsid w:val="003252D4"/>
    <w:rsid w:val="0032545C"/>
    <w:rsid w:val="00325548"/>
    <w:rsid w:val="00325960"/>
    <w:rsid w:val="003259A9"/>
    <w:rsid w:val="00325BD4"/>
    <w:rsid w:val="00325C41"/>
    <w:rsid w:val="00325EB1"/>
    <w:rsid w:val="00326096"/>
    <w:rsid w:val="00326454"/>
    <w:rsid w:val="003266CE"/>
    <w:rsid w:val="00326E9E"/>
    <w:rsid w:val="00327162"/>
    <w:rsid w:val="003272F7"/>
    <w:rsid w:val="00327345"/>
    <w:rsid w:val="00327981"/>
    <w:rsid w:val="00327FC6"/>
    <w:rsid w:val="00330392"/>
    <w:rsid w:val="00330A5E"/>
    <w:rsid w:val="00330A7F"/>
    <w:rsid w:val="00330AD6"/>
    <w:rsid w:val="00330B4A"/>
    <w:rsid w:val="00330B83"/>
    <w:rsid w:val="00330FD7"/>
    <w:rsid w:val="0033121E"/>
    <w:rsid w:val="00331854"/>
    <w:rsid w:val="0033186D"/>
    <w:rsid w:val="003318CF"/>
    <w:rsid w:val="00331BC3"/>
    <w:rsid w:val="00331CFF"/>
    <w:rsid w:val="00331D15"/>
    <w:rsid w:val="003320E8"/>
    <w:rsid w:val="003327E7"/>
    <w:rsid w:val="0033284F"/>
    <w:rsid w:val="0033286F"/>
    <w:rsid w:val="00332942"/>
    <w:rsid w:val="00332A23"/>
    <w:rsid w:val="00332B28"/>
    <w:rsid w:val="00333015"/>
    <w:rsid w:val="0033303D"/>
    <w:rsid w:val="0033310C"/>
    <w:rsid w:val="00333233"/>
    <w:rsid w:val="0033366B"/>
    <w:rsid w:val="00333849"/>
    <w:rsid w:val="0033398A"/>
    <w:rsid w:val="003339D9"/>
    <w:rsid w:val="00333C7B"/>
    <w:rsid w:val="003340E8"/>
    <w:rsid w:val="00334155"/>
    <w:rsid w:val="00334350"/>
    <w:rsid w:val="00334481"/>
    <w:rsid w:val="003349FE"/>
    <w:rsid w:val="00334D4D"/>
    <w:rsid w:val="00334DE1"/>
    <w:rsid w:val="00335198"/>
    <w:rsid w:val="003355A2"/>
    <w:rsid w:val="00335899"/>
    <w:rsid w:val="00335939"/>
    <w:rsid w:val="003359DD"/>
    <w:rsid w:val="00336084"/>
    <w:rsid w:val="003360E6"/>
    <w:rsid w:val="003362A5"/>
    <w:rsid w:val="0033678F"/>
    <w:rsid w:val="00336C30"/>
    <w:rsid w:val="00336CA6"/>
    <w:rsid w:val="00336D64"/>
    <w:rsid w:val="00336D6A"/>
    <w:rsid w:val="00336EB9"/>
    <w:rsid w:val="00336F9C"/>
    <w:rsid w:val="00337438"/>
    <w:rsid w:val="003375F0"/>
    <w:rsid w:val="00337A1E"/>
    <w:rsid w:val="00337D78"/>
    <w:rsid w:val="0034011B"/>
    <w:rsid w:val="0034012B"/>
    <w:rsid w:val="003402BE"/>
    <w:rsid w:val="00340380"/>
    <w:rsid w:val="003405DE"/>
    <w:rsid w:val="003407E1"/>
    <w:rsid w:val="00340A7A"/>
    <w:rsid w:val="00340E3B"/>
    <w:rsid w:val="0034130E"/>
    <w:rsid w:val="0034151D"/>
    <w:rsid w:val="0034187E"/>
    <w:rsid w:val="00342131"/>
    <w:rsid w:val="003426E8"/>
    <w:rsid w:val="00342798"/>
    <w:rsid w:val="0034280D"/>
    <w:rsid w:val="00342B45"/>
    <w:rsid w:val="00342BEF"/>
    <w:rsid w:val="00342E0F"/>
    <w:rsid w:val="003430A1"/>
    <w:rsid w:val="0034314D"/>
    <w:rsid w:val="0034385F"/>
    <w:rsid w:val="00343ACF"/>
    <w:rsid w:val="00343ADE"/>
    <w:rsid w:val="00343B29"/>
    <w:rsid w:val="0034403D"/>
    <w:rsid w:val="00344462"/>
    <w:rsid w:val="00344ACE"/>
    <w:rsid w:val="00344B21"/>
    <w:rsid w:val="00344ED7"/>
    <w:rsid w:val="00344FB0"/>
    <w:rsid w:val="00345006"/>
    <w:rsid w:val="003451CC"/>
    <w:rsid w:val="00345204"/>
    <w:rsid w:val="00345444"/>
    <w:rsid w:val="003457DE"/>
    <w:rsid w:val="00345DC9"/>
    <w:rsid w:val="00345DD3"/>
    <w:rsid w:val="003461D8"/>
    <w:rsid w:val="003463A5"/>
    <w:rsid w:val="0034679B"/>
    <w:rsid w:val="00346AA7"/>
    <w:rsid w:val="00346AC9"/>
    <w:rsid w:val="00346C10"/>
    <w:rsid w:val="00346CA5"/>
    <w:rsid w:val="00346ED5"/>
    <w:rsid w:val="00347348"/>
    <w:rsid w:val="00347671"/>
    <w:rsid w:val="003478A0"/>
    <w:rsid w:val="00347929"/>
    <w:rsid w:val="00347C6B"/>
    <w:rsid w:val="00347CDA"/>
    <w:rsid w:val="00347E0B"/>
    <w:rsid w:val="00347E8C"/>
    <w:rsid w:val="00350357"/>
    <w:rsid w:val="0035037B"/>
    <w:rsid w:val="00350493"/>
    <w:rsid w:val="0035097C"/>
    <w:rsid w:val="00350CC8"/>
    <w:rsid w:val="00351142"/>
    <w:rsid w:val="00351720"/>
    <w:rsid w:val="00351C8A"/>
    <w:rsid w:val="00351ED5"/>
    <w:rsid w:val="00351FEF"/>
    <w:rsid w:val="00352095"/>
    <w:rsid w:val="00352328"/>
    <w:rsid w:val="0035235A"/>
    <w:rsid w:val="0035268F"/>
    <w:rsid w:val="0035280D"/>
    <w:rsid w:val="003528BA"/>
    <w:rsid w:val="00352A12"/>
    <w:rsid w:val="00352A21"/>
    <w:rsid w:val="00352C35"/>
    <w:rsid w:val="00352CD5"/>
    <w:rsid w:val="00352DE1"/>
    <w:rsid w:val="00352FEE"/>
    <w:rsid w:val="003530BE"/>
    <w:rsid w:val="003531BB"/>
    <w:rsid w:val="0035345D"/>
    <w:rsid w:val="0035347E"/>
    <w:rsid w:val="003534E2"/>
    <w:rsid w:val="003536ED"/>
    <w:rsid w:val="00353891"/>
    <w:rsid w:val="00353983"/>
    <w:rsid w:val="00353D31"/>
    <w:rsid w:val="0035400B"/>
    <w:rsid w:val="003543B5"/>
    <w:rsid w:val="00354CD5"/>
    <w:rsid w:val="0035554F"/>
    <w:rsid w:val="00355622"/>
    <w:rsid w:val="003557AF"/>
    <w:rsid w:val="00355CC2"/>
    <w:rsid w:val="00355EA1"/>
    <w:rsid w:val="00355EC3"/>
    <w:rsid w:val="0035621B"/>
    <w:rsid w:val="003563D4"/>
    <w:rsid w:val="003565B9"/>
    <w:rsid w:val="003567A5"/>
    <w:rsid w:val="00356C01"/>
    <w:rsid w:val="00356E4A"/>
    <w:rsid w:val="00357109"/>
    <w:rsid w:val="003571A6"/>
    <w:rsid w:val="0035720E"/>
    <w:rsid w:val="00357B8D"/>
    <w:rsid w:val="00357F53"/>
    <w:rsid w:val="00360161"/>
    <w:rsid w:val="0036028C"/>
    <w:rsid w:val="003602F2"/>
    <w:rsid w:val="0036078F"/>
    <w:rsid w:val="00360AD9"/>
    <w:rsid w:val="00360BA8"/>
    <w:rsid w:val="00360F51"/>
    <w:rsid w:val="00360FD9"/>
    <w:rsid w:val="003612FA"/>
    <w:rsid w:val="003613D8"/>
    <w:rsid w:val="00361590"/>
    <w:rsid w:val="00361689"/>
    <w:rsid w:val="003616A6"/>
    <w:rsid w:val="003616FD"/>
    <w:rsid w:val="00361D58"/>
    <w:rsid w:val="00361DAA"/>
    <w:rsid w:val="00362323"/>
    <w:rsid w:val="00362563"/>
    <w:rsid w:val="003628CB"/>
    <w:rsid w:val="00362A42"/>
    <w:rsid w:val="00362A57"/>
    <w:rsid w:val="00362B4C"/>
    <w:rsid w:val="00362EE1"/>
    <w:rsid w:val="00363170"/>
    <w:rsid w:val="0036321A"/>
    <w:rsid w:val="00363272"/>
    <w:rsid w:val="00363CFB"/>
    <w:rsid w:val="003640F2"/>
    <w:rsid w:val="003642A3"/>
    <w:rsid w:val="003645B4"/>
    <w:rsid w:val="003648A4"/>
    <w:rsid w:val="00364D6D"/>
    <w:rsid w:val="00364F87"/>
    <w:rsid w:val="0036505E"/>
    <w:rsid w:val="0036506C"/>
    <w:rsid w:val="00365792"/>
    <w:rsid w:val="00365840"/>
    <w:rsid w:val="00365937"/>
    <w:rsid w:val="00365B0B"/>
    <w:rsid w:val="00365BAE"/>
    <w:rsid w:val="00365C95"/>
    <w:rsid w:val="00365E1F"/>
    <w:rsid w:val="00366284"/>
    <w:rsid w:val="0036629D"/>
    <w:rsid w:val="003662CC"/>
    <w:rsid w:val="003667D3"/>
    <w:rsid w:val="003668A3"/>
    <w:rsid w:val="00366946"/>
    <w:rsid w:val="003669DA"/>
    <w:rsid w:val="00366E26"/>
    <w:rsid w:val="00366F23"/>
    <w:rsid w:val="00366F5F"/>
    <w:rsid w:val="0036743F"/>
    <w:rsid w:val="00367686"/>
    <w:rsid w:val="00367F04"/>
    <w:rsid w:val="00367F1C"/>
    <w:rsid w:val="00370092"/>
    <w:rsid w:val="00370140"/>
    <w:rsid w:val="003703AF"/>
    <w:rsid w:val="0037045C"/>
    <w:rsid w:val="003711A2"/>
    <w:rsid w:val="003711FB"/>
    <w:rsid w:val="00371219"/>
    <w:rsid w:val="003713B1"/>
    <w:rsid w:val="003714D6"/>
    <w:rsid w:val="003718B0"/>
    <w:rsid w:val="00371A50"/>
    <w:rsid w:val="00371DBD"/>
    <w:rsid w:val="003722BC"/>
    <w:rsid w:val="00372602"/>
    <w:rsid w:val="003727D5"/>
    <w:rsid w:val="00372917"/>
    <w:rsid w:val="00372A1F"/>
    <w:rsid w:val="00372C89"/>
    <w:rsid w:val="00372F06"/>
    <w:rsid w:val="0037361F"/>
    <w:rsid w:val="0037374C"/>
    <w:rsid w:val="00373C35"/>
    <w:rsid w:val="00373D86"/>
    <w:rsid w:val="00373F95"/>
    <w:rsid w:val="0037401B"/>
    <w:rsid w:val="00374197"/>
    <w:rsid w:val="00374257"/>
    <w:rsid w:val="0037426F"/>
    <w:rsid w:val="003742F4"/>
    <w:rsid w:val="003744DA"/>
    <w:rsid w:val="003747D1"/>
    <w:rsid w:val="00374834"/>
    <w:rsid w:val="00374A35"/>
    <w:rsid w:val="00374CE2"/>
    <w:rsid w:val="00374CF8"/>
    <w:rsid w:val="00374D9C"/>
    <w:rsid w:val="00374DF8"/>
    <w:rsid w:val="00374EEA"/>
    <w:rsid w:val="0037529F"/>
    <w:rsid w:val="00375415"/>
    <w:rsid w:val="00375BC5"/>
    <w:rsid w:val="00375C01"/>
    <w:rsid w:val="00375EE2"/>
    <w:rsid w:val="00376348"/>
    <w:rsid w:val="00376411"/>
    <w:rsid w:val="0037668A"/>
    <w:rsid w:val="00376755"/>
    <w:rsid w:val="003768D1"/>
    <w:rsid w:val="00376907"/>
    <w:rsid w:val="0037693E"/>
    <w:rsid w:val="003769B0"/>
    <w:rsid w:val="00376DBB"/>
    <w:rsid w:val="00376FB6"/>
    <w:rsid w:val="00377570"/>
    <w:rsid w:val="00377659"/>
    <w:rsid w:val="003776DA"/>
    <w:rsid w:val="003776F6"/>
    <w:rsid w:val="00377903"/>
    <w:rsid w:val="00377D9F"/>
    <w:rsid w:val="00377DB4"/>
    <w:rsid w:val="00377ED5"/>
    <w:rsid w:val="003801E8"/>
    <w:rsid w:val="0038023F"/>
    <w:rsid w:val="003802C2"/>
    <w:rsid w:val="003804A0"/>
    <w:rsid w:val="00380677"/>
    <w:rsid w:val="003808AF"/>
    <w:rsid w:val="00380AA1"/>
    <w:rsid w:val="00380CC2"/>
    <w:rsid w:val="00380CDF"/>
    <w:rsid w:val="00380ED7"/>
    <w:rsid w:val="003814E6"/>
    <w:rsid w:val="00381548"/>
    <w:rsid w:val="00381687"/>
    <w:rsid w:val="00381BBC"/>
    <w:rsid w:val="00381C07"/>
    <w:rsid w:val="00381DA3"/>
    <w:rsid w:val="00381E40"/>
    <w:rsid w:val="0038201B"/>
    <w:rsid w:val="00382721"/>
    <w:rsid w:val="00382E1B"/>
    <w:rsid w:val="00382E26"/>
    <w:rsid w:val="00382FAE"/>
    <w:rsid w:val="003836F6"/>
    <w:rsid w:val="0038388D"/>
    <w:rsid w:val="00383A95"/>
    <w:rsid w:val="00383D1F"/>
    <w:rsid w:val="00383DD5"/>
    <w:rsid w:val="00383E0C"/>
    <w:rsid w:val="00384086"/>
    <w:rsid w:val="00384284"/>
    <w:rsid w:val="003842B1"/>
    <w:rsid w:val="00384448"/>
    <w:rsid w:val="003844C3"/>
    <w:rsid w:val="00384877"/>
    <w:rsid w:val="00384892"/>
    <w:rsid w:val="00384A5A"/>
    <w:rsid w:val="00384ADF"/>
    <w:rsid w:val="00384C85"/>
    <w:rsid w:val="00384E0B"/>
    <w:rsid w:val="0038505C"/>
    <w:rsid w:val="00385954"/>
    <w:rsid w:val="00385A83"/>
    <w:rsid w:val="00385FA1"/>
    <w:rsid w:val="0038621C"/>
    <w:rsid w:val="003862FE"/>
    <w:rsid w:val="00386625"/>
    <w:rsid w:val="003866EC"/>
    <w:rsid w:val="003869A7"/>
    <w:rsid w:val="00386B14"/>
    <w:rsid w:val="00386D63"/>
    <w:rsid w:val="00386E3B"/>
    <w:rsid w:val="00386F0A"/>
    <w:rsid w:val="00387170"/>
    <w:rsid w:val="0038719A"/>
    <w:rsid w:val="003871C4"/>
    <w:rsid w:val="003871C9"/>
    <w:rsid w:val="003872A2"/>
    <w:rsid w:val="003873CC"/>
    <w:rsid w:val="003874C3"/>
    <w:rsid w:val="003877D2"/>
    <w:rsid w:val="00390016"/>
    <w:rsid w:val="003905E1"/>
    <w:rsid w:val="00390D53"/>
    <w:rsid w:val="00390E59"/>
    <w:rsid w:val="00391268"/>
    <w:rsid w:val="00391353"/>
    <w:rsid w:val="003914E0"/>
    <w:rsid w:val="00391732"/>
    <w:rsid w:val="00391A56"/>
    <w:rsid w:val="00391AA1"/>
    <w:rsid w:val="00391B79"/>
    <w:rsid w:val="00391C0E"/>
    <w:rsid w:val="00391C39"/>
    <w:rsid w:val="00391F67"/>
    <w:rsid w:val="00392036"/>
    <w:rsid w:val="00392046"/>
    <w:rsid w:val="00392431"/>
    <w:rsid w:val="00392493"/>
    <w:rsid w:val="003927A9"/>
    <w:rsid w:val="003927AB"/>
    <w:rsid w:val="00392814"/>
    <w:rsid w:val="00392DF9"/>
    <w:rsid w:val="0039310E"/>
    <w:rsid w:val="00393270"/>
    <w:rsid w:val="00393468"/>
    <w:rsid w:val="00393471"/>
    <w:rsid w:val="003935D9"/>
    <w:rsid w:val="003938C0"/>
    <w:rsid w:val="003938D6"/>
    <w:rsid w:val="00393B33"/>
    <w:rsid w:val="00393B79"/>
    <w:rsid w:val="00393D9E"/>
    <w:rsid w:val="00394063"/>
    <w:rsid w:val="00394330"/>
    <w:rsid w:val="00394656"/>
    <w:rsid w:val="00394804"/>
    <w:rsid w:val="00394DF4"/>
    <w:rsid w:val="00394E17"/>
    <w:rsid w:val="00394E2F"/>
    <w:rsid w:val="00395756"/>
    <w:rsid w:val="00395760"/>
    <w:rsid w:val="0039593D"/>
    <w:rsid w:val="003959C9"/>
    <w:rsid w:val="00395CDD"/>
    <w:rsid w:val="00395D4A"/>
    <w:rsid w:val="00395D6C"/>
    <w:rsid w:val="00396711"/>
    <w:rsid w:val="003967B4"/>
    <w:rsid w:val="0039681E"/>
    <w:rsid w:val="003969A4"/>
    <w:rsid w:val="00396EAE"/>
    <w:rsid w:val="00396F46"/>
    <w:rsid w:val="00397153"/>
    <w:rsid w:val="003977BF"/>
    <w:rsid w:val="00397821"/>
    <w:rsid w:val="00397847"/>
    <w:rsid w:val="00397879"/>
    <w:rsid w:val="00397DBE"/>
    <w:rsid w:val="00397EFB"/>
    <w:rsid w:val="003A023A"/>
    <w:rsid w:val="003A0257"/>
    <w:rsid w:val="003A0669"/>
    <w:rsid w:val="003A15F3"/>
    <w:rsid w:val="003A1602"/>
    <w:rsid w:val="003A195F"/>
    <w:rsid w:val="003A1978"/>
    <w:rsid w:val="003A1C43"/>
    <w:rsid w:val="003A1D0E"/>
    <w:rsid w:val="003A228F"/>
    <w:rsid w:val="003A2312"/>
    <w:rsid w:val="003A2347"/>
    <w:rsid w:val="003A264B"/>
    <w:rsid w:val="003A2726"/>
    <w:rsid w:val="003A2FAB"/>
    <w:rsid w:val="003A2FEF"/>
    <w:rsid w:val="003A3254"/>
    <w:rsid w:val="003A342D"/>
    <w:rsid w:val="003A3B09"/>
    <w:rsid w:val="003A4071"/>
    <w:rsid w:val="003A4408"/>
    <w:rsid w:val="003A4427"/>
    <w:rsid w:val="003A4DEE"/>
    <w:rsid w:val="003A5176"/>
    <w:rsid w:val="003A5333"/>
    <w:rsid w:val="003A5568"/>
    <w:rsid w:val="003A5582"/>
    <w:rsid w:val="003A55B0"/>
    <w:rsid w:val="003A57FE"/>
    <w:rsid w:val="003A5984"/>
    <w:rsid w:val="003A59F6"/>
    <w:rsid w:val="003A5E45"/>
    <w:rsid w:val="003A5F14"/>
    <w:rsid w:val="003A6065"/>
    <w:rsid w:val="003A60B6"/>
    <w:rsid w:val="003A621E"/>
    <w:rsid w:val="003A6275"/>
    <w:rsid w:val="003A6433"/>
    <w:rsid w:val="003A6909"/>
    <w:rsid w:val="003A6B04"/>
    <w:rsid w:val="003A731D"/>
    <w:rsid w:val="003A7519"/>
    <w:rsid w:val="003A792E"/>
    <w:rsid w:val="003A7CA2"/>
    <w:rsid w:val="003A7F95"/>
    <w:rsid w:val="003B0191"/>
    <w:rsid w:val="003B01BF"/>
    <w:rsid w:val="003B05EF"/>
    <w:rsid w:val="003B06AE"/>
    <w:rsid w:val="003B0AAC"/>
    <w:rsid w:val="003B1018"/>
    <w:rsid w:val="003B1700"/>
    <w:rsid w:val="003B1A3A"/>
    <w:rsid w:val="003B1A52"/>
    <w:rsid w:val="003B1BC6"/>
    <w:rsid w:val="003B1C39"/>
    <w:rsid w:val="003B1DB2"/>
    <w:rsid w:val="003B1E7C"/>
    <w:rsid w:val="003B239C"/>
    <w:rsid w:val="003B2522"/>
    <w:rsid w:val="003B2605"/>
    <w:rsid w:val="003B283B"/>
    <w:rsid w:val="003B2931"/>
    <w:rsid w:val="003B2B32"/>
    <w:rsid w:val="003B2DF8"/>
    <w:rsid w:val="003B2EE0"/>
    <w:rsid w:val="003B351A"/>
    <w:rsid w:val="003B3686"/>
    <w:rsid w:val="003B36BF"/>
    <w:rsid w:val="003B3774"/>
    <w:rsid w:val="003B39E2"/>
    <w:rsid w:val="003B3F15"/>
    <w:rsid w:val="003B3F7D"/>
    <w:rsid w:val="003B421C"/>
    <w:rsid w:val="003B4228"/>
    <w:rsid w:val="003B43FD"/>
    <w:rsid w:val="003B4449"/>
    <w:rsid w:val="003B45BF"/>
    <w:rsid w:val="003B4644"/>
    <w:rsid w:val="003B47D4"/>
    <w:rsid w:val="003B4E5E"/>
    <w:rsid w:val="003B4FA9"/>
    <w:rsid w:val="003B5164"/>
    <w:rsid w:val="003B532C"/>
    <w:rsid w:val="003B564B"/>
    <w:rsid w:val="003B57E0"/>
    <w:rsid w:val="003B5999"/>
    <w:rsid w:val="003B6591"/>
    <w:rsid w:val="003B65CE"/>
    <w:rsid w:val="003B6795"/>
    <w:rsid w:val="003B6868"/>
    <w:rsid w:val="003B6A8C"/>
    <w:rsid w:val="003B6CB9"/>
    <w:rsid w:val="003B6CDC"/>
    <w:rsid w:val="003B6E68"/>
    <w:rsid w:val="003B7462"/>
    <w:rsid w:val="003B75BB"/>
    <w:rsid w:val="003B7725"/>
    <w:rsid w:val="003B782F"/>
    <w:rsid w:val="003B79D3"/>
    <w:rsid w:val="003B7B42"/>
    <w:rsid w:val="003B7EB6"/>
    <w:rsid w:val="003B7F38"/>
    <w:rsid w:val="003B7F42"/>
    <w:rsid w:val="003B7FFA"/>
    <w:rsid w:val="003C00AA"/>
    <w:rsid w:val="003C06E3"/>
    <w:rsid w:val="003C107B"/>
    <w:rsid w:val="003C1391"/>
    <w:rsid w:val="003C13D8"/>
    <w:rsid w:val="003C1598"/>
    <w:rsid w:val="003C1830"/>
    <w:rsid w:val="003C18F3"/>
    <w:rsid w:val="003C1A87"/>
    <w:rsid w:val="003C1C51"/>
    <w:rsid w:val="003C1DCA"/>
    <w:rsid w:val="003C1EB2"/>
    <w:rsid w:val="003C1F21"/>
    <w:rsid w:val="003C234D"/>
    <w:rsid w:val="003C2D79"/>
    <w:rsid w:val="003C3022"/>
    <w:rsid w:val="003C303E"/>
    <w:rsid w:val="003C30C7"/>
    <w:rsid w:val="003C317C"/>
    <w:rsid w:val="003C3181"/>
    <w:rsid w:val="003C3367"/>
    <w:rsid w:val="003C36C5"/>
    <w:rsid w:val="003C390A"/>
    <w:rsid w:val="003C392B"/>
    <w:rsid w:val="003C3A75"/>
    <w:rsid w:val="003C3BB5"/>
    <w:rsid w:val="003C413B"/>
    <w:rsid w:val="003C4209"/>
    <w:rsid w:val="003C44B1"/>
    <w:rsid w:val="003C44F3"/>
    <w:rsid w:val="003C4624"/>
    <w:rsid w:val="003C472E"/>
    <w:rsid w:val="003C4842"/>
    <w:rsid w:val="003C4B26"/>
    <w:rsid w:val="003C4C64"/>
    <w:rsid w:val="003C4CC7"/>
    <w:rsid w:val="003C4F94"/>
    <w:rsid w:val="003C4FDD"/>
    <w:rsid w:val="003C55BC"/>
    <w:rsid w:val="003C565D"/>
    <w:rsid w:val="003C5CBD"/>
    <w:rsid w:val="003C5DD5"/>
    <w:rsid w:val="003C5F99"/>
    <w:rsid w:val="003C6042"/>
    <w:rsid w:val="003C6142"/>
    <w:rsid w:val="003C6270"/>
    <w:rsid w:val="003C6584"/>
    <w:rsid w:val="003C6B2C"/>
    <w:rsid w:val="003C6D6F"/>
    <w:rsid w:val="003C7019"/>
    <w:rsid w:val="003C72EB"/>
    <w:rsid w:val="003C7410"/>
    <w:rsid w:val="003C7427"/>
    <w:rsid w:val="003C74D7"/>
    <w:rsid w:val="003C785F"/>
    <w:rsid w:val="003C7903"/>
    <w:rsid w:val="003C7986"/>
    <w:rsid w:val="003C7ACE"/>
    <w:rsid w:val="003C7CED"/>
    <w:rsid w:val="003C7D52"/>
    <w:rsid w:val="003D052B"/>
    <w:rsid w:val="003D0843"/>
    <w:rsid w:val="003D0B9E"/>
    <w:rsid w:val="003D0DA8"/>
    <w:rsid w:val="003D0DF9"/>
    <w:rsid w:val="003D0F57"/>
    <w:rsid w:val="003D0F82"/>
    <w:rsid w:val="003D133F"/>
    <w:rsid w:val="003D136E"/>
    <w:rsid w:val="003D1451"/>
    <w:rsid w:val="003D1465"/>
    <w:rsid w:val="003D14AF"/>
    <w:rsid w:val="003D164B"/>
    <w:rsid w:val="003D1E46"/>
    <w:rsid w:val="003D1E74"/>
    <w:rsid w:val="003D2440"/>
    <w:rsid w:val="003D25E0"/>
    <w:rsid w:val="003D28CB"/>
    <w:rsid w:val="003D2A87"/>
    <w:rsid w:val="003D2EDC"/>
    <w:rsid w:val="003D303F"/>
    <w:rsid w:val="003D32CF"/>
    <w:rsid w:val="003D34CE"/>
    <w:rsid w:val="003D350B"/>
    <w:rsid w:val="003D3C74"/>
    <w:rsid w:val="003D3D3F"/>
    <w:rsid w:val="003D4213"/>
    <w:rsid w:val="003D4237"/>
    <w:rsid w:val="003D43A0"/>
    <w:rsid w:val="003D444B"/>
    <w:rsid w:val="003D44EA"/>
    <w:rsid w:val="003D473C"/>
    <w:rsid w:val="003D487F"/>
    <w:rsid w:val="003D49AF"/>
    <w:rsid w:val="003D49B8"/>
    <w:rsid w:val="003D49C7"/>
    <w:rsid w:val="003D4AD9"/>
    <w:rsid w:val="003D4AFF"/>
    <w:rsid w:val="003D4DC2"/>
    <w:rsid w:val="003D4E20"/>
    <w:rsid w:val="003D515C"/>
    <w:rsid w:val="003D51FC"/>
    <w:rsid w:val="003D520A"/>
    <w:rsid w:val="003D5602"/>
    <w:rsid w:val="003D57B8"/>
    <w:rsid w:val="003D59C5"/>
    <w:rsid w:val="003D59CE"/>
    <w:rsid w:val="003D5A47"/>
    <w:rsid w:val="003D5FA8"/>
    <w:rsid w:val="003D60D5"/>
    <w:rsid w:val="003D6494"/>
    <w:rsid w:val="003D652C"/>
    <w:rsid w:val="003D69A1"/>
    <w:rsid w:val="003D6A62"/>
    <w:rsid w:val="003D6ABB"/>
    <w:rsid w:val="003D6AC7"/>
    <w:rsid w:val="003D6B5F"/>
    <w:rsid w:val="003D7277"/>
    <w:rsid w:val="003D7B98"/>
    <w:rsid w:val="003D7D48"/>
    <w:rsid w:val="003D7DF0"/>
    <w:rsid w:val="003D7ED1"/>
    <w:rsid w:val="003E0B12"/>
    <w:rsid w:val="003E11F6"/>
    <w:rsid w:val="003E1201"/>
    <w:rsid w:val="003E137B"/>
    <w:rsid w:val="003E1394"/>
    <w:rsid w:val="003E13FB"/>
    <w:rsid w:val="003E152F"/>
    <w:rsid w:val="003E1878"/>
    <w:rsid w:val="003E19A0"/>
    <w:rsid w:val="003E1D94"/>
    <w:rsid w:val="003E207A"/>
    <w:rsid w:val="003E20E2"/>
    <w:rsid w:val="003E24A0"/>
    <w:rsid w:val="003E2545"/>
    <w:rsid w:val="003E2842"/>
    <w:rsid w:val="003E2A1B"/>
    <w:rsid w:val="003E2B44"/>
    <w:rsid w:val="003E2C46"/>
    <w:rsid w:val="003E2E38"/>
    <w:rsid w:val="003E2E91"/>
    <w:rsid w:val="003E2F6E"/>
    <w:rsid w:val="003E3320"/>
    <w:rsid w:val="003E3676"/>
    <w:rsid w:val="003E370E"/>
    <w:rsid w:val="003E375E"/>
    <w:rsid w:val="003E379A"/>
    <w:rsid w:val="003E39B0"/>
    <w:rsid w:val="003E3D10"/>
    <w:rsid w:val="003E3E36"/>
    <w:rsid w:val="003E4347"/>
    <w:rsid w:val="003E4352"/>
    <w:rsid w:val="003E46D4"/>
    <w:rsid w:val="003E48DF"/>
    <w:rsid w:val="003E4913"/>
    <w:rsid w:val="003E49E9"/>
    <w:rsid w:val="003E4A4E"/>
    <w:rsid w:val="003E4D7B"/>
    <w:rsid w:val="003E4EA5"/>
    <w:rsid w:val="003E5036"/>
    <w:rsid w:val="003E5478"/>
    <w:rsid w:val="003E54F1"/>
    <w:rsid w:val="003E585D"/>
    <w:rsid w:val="003E5A88"/>
    <w:rsid w:val="003E5F97"/>
    <w:rsid w:val="003E60AC"/>
    <w:rsid w:val="003E648D"/>
    <w:rsid w:val="003E671D"/>
    <w:rsid w:val="003E6A48"/>
    <w:rsid w:val="003E6A4B"/>
    <w:rsid w:val="003E6A4F"/>
    <w:rsid w:val="003E6D45"/>
    <w:rsid w:val="003E71D5"/>
    <w:rsid w:val="003E7A09"/>
    <w:rsid w:val="003F0098"/>
    <w:rsid w:val="003F00D0"/>
    <w:rsid w:val="003F01E6"/>
    <w:rsid w:val="003F02FB"/>
    <w:rsid w:val="003F034F"/>
    <w:rsid w:val="003F0AD7"/>
    <w:rsid w:val="003F0AE9"/>
    <w:rsid w:val="003F0EF5"/>
    <w:rsid w:val="003F1554"/>
    <w:rsid w:val="003F161A"/>
    <w:rsid w:val="003F1898"/>
    <w:rsid w:val="003F1E8E"/>
    <w:rsid w:val="003F200E"/>
    <w:rsid w:val="003F2066"/>
    <w:rsid w:val="003F22A8"/>
    <w:rsid w:val="003F22F7"/>
    <w:rsid w:val="003F2339"/>
    <w:rsid w:val="003F2636"/>
    <w:rsid w:val="003F2910"/>
    <w:rsid w:val="003F2A50"/>
    <w:rsid w:val="003F2BAB"/>
    <w:rsid w:val="003F2DBA"/>
    <w:rsid w:val="003F2F3E"/>
    <w:rsid w:val="003F3007"/>
    <w:rsid w:val="003F397B"/>
    <w:rsid w:val="003F39CE"/>
    <w:rsid w:val="003F3FD7"/>
    <w:rsid w:val="003F4283"/>
    <w:rsid w:val="003F47A2"/>
    <w:rsid w:val="003F4972"/>
    <w:rsid w:val="003F49D9"/>
    <w:rsid w:val="003F4BEB"/>
    <w:rsid w:val="003F4C04"/>
    <w:rsid w:val="003F4C29"/>
    <w:rsid w:val="003F4CF5"/>
    <w:rsid w:val="003F5124"/>
    <w:rsid w:val="003F516D"/>
    <w:rsid w:val="003F532B"/>
    <w:rsid w:val="003F53A7"/>
    <w:rsid w:val="003F53E5"/>
    <w:rsid w:val="003F56F0"/>
    <w:rsid w:val="003F5E60"/>
    <w:rsid w:val="003F5FD8"/>
    <w:rsid w:val="003F615A"/>
    <w:rsid w:val="003F6401"/>
    <w:rsid w:val="003F6405"/>
    <w:rsid w:val="003F664E"/>
    <w:rsid w:val="003F6840"/>
    <w:rsid w:val="003F68A5"/>
    <w:rsid w:val="003F6902"/>
    <w:rsid w:val="003F6A48"/>
    <w:rsid w:val="003F6AE9"/>
    <w:rsid w:val="003F712A"/>
    <w:rsid w:val="003F72B5"/>
    <w:rsid w:val="003F73F6"/>
    <w:rsid w:val="003F74B5"/>
    <w:rsid w:val="003F7546"/>
    <w:rsid w:val="003F78FF"/>
    <w:rsid w:val="003F79C0"/>
    <w:rsid w:val="003F7E3A"/>
    <w:rsid w:val="003F7FA6"/>
    <w:rsid w:val="00400044"/>
    <w:rsid w:val="00400049"/>
    <w:rsid w:val="004002DB"/>
    <w:rsid w:val="00400407"/>
    <w:rsid w:val="004004EA"/>
    <w:rsid w:val="004005E5"/>
    <w:rsid w:val="0040084B"/>
    <w:rsid w:val="00400A67"/>
    <w:rsid w:val="00400B7A"/>
    <w:rsid w:val="00400EFC"/>
    <w:rsid w:val="0040111A"/>
    <w:rsid w:val="00401234"/>
    <w:rsid w:val="00401573"/>
    <w:rsid w:val="00401662"/>
    <w:rsid w:val="00401AC5"/>
    <w:rsid w:val="00401F96"/>
    <w:rsid w:val="004024B1"/>
    <w:rsid w:val="00403AC7"/>
    <w:rsid w:val="00403B4E"/>
    <w:rsid w:val="00403B99"/>
    <w:rsid w:val="00403BBE"/>
    <w:rsid w:val="00403C55"/>
    <w:rsid w:val="00403ED5"/>
    <w:rsid w:val="00403F07"/>
    <w:rsid w:val="00403F5F"/>
    <w:rsid w:val="0040431F"/>
    <w:rsid w:val="00404328"/>
    <w:rsid w:val="00404563"/>
    <w:rsid w:val="0040468E"/>
    <w:rsid w:val="004046A1"/>
    <w:rsid w:val="00404782"/>
    <w:rsid w:val="0040497C"/>
    <w:rsid w:val="004049A9"/>
    <w:rsid w:val="00404ADA"/>
    <w:rsid w:val="00404D38"/>
    <w:rsid w:val="00404D79"/>
    <w:rsid w:val="00405867"/>
    <w:rsid w:val="004058C2"/>
    <w:rsid w:val="00405958"/>
    <w:rsid w:val="00405B23"/>
    <w:rsid w:val="004061FF"/>
    <w:rsid w:val="00406223"/>
    <w:rsid w:val="00406470"/>
    <w:rsid w:val="0040663A"/>
    <w:rsid w:val="00406679"/>
    <w:rsid w:val="004066A9"/>
    <w:rsid w:val="004068DC"/>
    <w:rsid w:val="00406DA1"/>
    <w:rsid w:val="004071C7"/>
    <w:rsid w:val="004071D5"/>
    <w:rsid w:val="00407567"/>
    <w:rsid w:val="00407A6D"/>
    <w:rsid w:val="00407AAB"/>
    <w:rsid w:val="00407BCB"/>
    <w:rsid w:val="00407C74"/>
    <w:rsid w:val="00407C77"/>
    <w:rsid w:val="00407C8B"/>
    <w:rsid w:val="00407CE9"/>
    <w:rsid w:val="00407D6B"/>
    <w:rsid w:val="00407DB6"/>
    <w:rsid w:val="00407E16"/>
    <w:rsid w:val="00407F1E"/>
    <w:rsid w:val="00410B16"/>
    <w:rsid w:val="00410BB9"/>
    <w:rsid w:val="0041151B"/>
    <w:rsid w:val="00411725"/>
    <w:rsid w:val="004117E6"/>
    <w:rsid w:val="00411996"/>
    <w:rsid w:val="00411EF9"/>
    <w:rsid w:val="0041211B"/>
    <w:rsid w:val="0041220E"/>
    <w:rsid w:val="00412AD8"/>
    <w:rsid w:val="00412B66"/>
    <w:rsid w:val="00412B96"/>
    <w:rsid w:val="00412EC0"/>
    <w:rsid w:val="00412FC1"/>
    <w:rsid w:val="004130BA"/>
    <w:rsid w:val="00413170"/>
    <w:rsid w:val="004131E2"/>
    <w:rsid w:val="00413A2D"/>
    <w:rsid w:val="00413B46"/>
    <w:rsid w:val="00413E2B"/>
    <w:rsid w:val="00413FDC"/>
    <w:rsid w:val="00414AC0"/>
    <w:rsid w:val="00414C87"/>
    <w:rsid w:val="00414F02"/>
    <w:rsid w:val="0041513D"/>
    <w:rsid w:val="00415326"/>
    <w:rsid w:val="0041533E"/>
    <w:rsid w:val="00415559"/>
    <w:rsid w:val="004159E9"/>
    <w:rsid w:val="00415BF8"/>
    <w:rsid w:val="004160BA"/>
    <w:rsid w:val="004163A9"/>
    <w:rsid w:val="00416503"/>
    <w:rsid w:val="00416A37"/>
    <w:rsid w:val="00416C54"/>
    <w:rsid w:val="00416D4F"/>
    <w:rsid w:val="00416FAF"/>
    <w:rsid w:val="00416FFB"/>
    <w:rsid w:val="00417A89"/>
    <w:rsid w:val="00417B10"/>
    <w:rsid w:val="00420093"/>
    <w:rsid w:val="004200D3"/>
    <w:rsid w:val="0042024B"/>
    <w:rsid w:val="00420250"/>
    <w:rsid w:val="004208AC"/>
    <w:rsid w:val="00420A3F"/>
    <w:rsid w:val="00420D2B"/>
    <w:rsid w:val="004211DF"/>
    <w:rsid w:val="0042129A"/>
    <w:rsid w:val="0042164B"/>
    <w:rsid w:val="00421858"/>
    <w:rsid w:val="00421F13"/>
    <w:rsid w:val="0042256D"/>
    <w:rsid w:val="0042258A"/>
    <w:rsid w:val="004225F8"/>
    <w:rsid w:val="00422731"/>
    <w:rsid w:val="004228AF"/>
    <w:rsid w:val="00423173"/>
    <w:rsid w:val="00423210"/>
    <w:rsid w:val="004232EA"/>
    <w:rsid w:val="004234A8"/>
    <w:rsid w:val="00423DB8"/>
    <w:rsid w:val="00423F24"/>
    <w:rsid w:val="004240DA"/>
    <w:rsid w:val="004244D6"/>
    <w:rsid w:val="00424A70"/>
    <w:rsid w:val="00424AD6"/>
    <w:rsid w:val="00424C80"/>
    <w:rsid w:val="00424E54"/>
    <w:rsid w:val="00424FB1"/>
    <w:rsid w:val="00425089"/>
    <w:rsid w:val="004250CC"/>
    <w:rsid w:val="004251FC"/>
    <w:rsid w:val="004254E8"/>
    <w:rsid w:val="00425641"/>
    <w:rsid w:val="00425FBA"/>
    <w:rsid w:val="004260E3"/>
    <w:rsid w:val="00426478"/>
    <w:rsid w:val="004265AC"/>
    <w:rsid w:val="00426616"/>
    <w:rsid w:val="00426850"/>
    <w:rsid w:val="00426D58"/>
    <w:rsid w:val="0042744C"/>
    <w:rsid w:val="0042750E"/>
    <w:rsid w:val="0042755F"/>
    <w:rsid w:val="00427DB1"/>
    <w:rsid w:val="00430085"/>
    <w:rsid w:val="004300FF"/>
    <w:rsid w:val="004303A0"/>
    <w:rsid w:val="004306A9"/>
    <w:rsid w:val="00430A46"/>
    <w:rsid w:val="00430F0E"/>
    <w:rsid w:val="00431579"/>
    <w:rsid w:val="00431580"/>
    <w:rsid w:val="004316D5"/>
    <w:rsid w:val="00431983"/>
    <w:rsid w:val="00431B07"/>
    <w:rsid w:val="00431EFF"/>
    <w:rsid w:val="00432119"/>
    <w:rsid w:val="004322FE"/>
    <w:rsid w:val="004324F5"/>
    <w:rsid w:val="0043263D"/>
    <w:rsid w:val="00432672"/>
    <w:rsid w:val="004327A6"/>
    <w:rsid w:val="00432AB8"/>
    <w:rsid w:val="00432D61"/>
    <w:rsid w:val="00432DD1"/>
    <w:rsid w:val="004330DD"/>
    <w:rsid w:val="0043342F"/>
    <w:rsid w:val="004339B4"/>
    <w:rsid w:val="004339F0"/>
    <w:rsid w:val="00433EAD"/>
    <w:rsid w:val="00433EB2"/>
    <w:rsid w:val="00433F6A"/>
    <w:rsid w:val="004344AA"/>
    <w:rsid w:val="004346F1"/>
    <w:rsid w:val="00434A38"/>
    <w:rsid w:val="00434C62"/>
    <w:rsid w:val="00435142"/>
    <w:rsid w:val="0043525A"/>
    <w:rsid w:val="0043561B"/>
    <w:rsid w:val="00435682"/>
    <w:rsid w:val="0043588F"/>
    <w:rsid w:val="00436DE9"/>
    <w:rsid w:val="00436EB5"/>
    <w:rsid w:val="00437102"/>
    <w:rsid w:val="00437273"/>
    <w:rsid w:val="004378CC"/>
    <w:rsid w:val="00437B42"/>
    <w:rsid w:val="00437CED"/>
    <w:rsid w:val="0044034D"/>
    <w:rsid w:val="004407A0"/>
    <w:rsid w:val="004407F9"/>
    <w:rsid w:val="0044096C"/>
    <w:rsid w:val="00440B8B"/>
    <w:rsid w:val="00440C61"/>
    <w:rsid w:val="0044107A"/>
    <w:rsid w:val="00441256"/>
    <w:rsid w:val="004416F7"/>
    <w:rsid w:val="00441912"/>
    <w:rsid w:val="00441D11"/>
    <w:rsid w:val="00442441"/>
    <w:rsid w:val="004424E3"/>
    <w:rsid w:val="00442674"/>
    <w:rsid w:val="00442968"/>
    <w:rsid w:val="00442ADC"/>
    <w:rsid w:val="00442B3D"/>
    <w:rsid w:val="00442BA0"/>
    <w:rsid w:val="00442BBC"/>
    <w:rsid w:val="00443010"/>
    <w:rsid w:val="00443262"/>
    <w:rsid w:val="004434B9"/>
    <w:rsid w:val="00443609"/>
    <w:rsid w:val="0044361E"/>
    <w:rsid w:val="004436F5"/>
    <w:rsid w:val="00443986"/>
    <w:rsid w:val="004439FA"/>
    <w:rsid w:val="00443B1E"/>
    <w:rsid w:val="0044404B"/>
    <w:rsid w:val="0044422A"/>
    <w:rsid w:val="00444372"/>
    <w:rsid w:val="0044443A"/>
    <w:rsid w:val="00444591"/>
    <w:rsid w:val="00444AFA"/>
    <w:rsid w:val="00444C88"/>
    <w:rsid w:val="004452F9"/>
    <w:rsid w:val="00445426"/>
    <w:rsid w:val="004454AB"/>
    <w:rsid w:val="00445839"/>
    <w:rsid w:val="00445859"/>
    <w:rsid w:val="00445BAA"/>
    <w:rsid w:val="00445C35"/>
    <w:rsid w:val="00446066"/>
    <w:rsid w:val="00446138"/>
    <w:rsid w:val="00446155"/>
    <w:rsid w:val="00446305"/>
    <w:rsid w:val="00446B1E"/>
    <w:rsid w:val="00446B2B"/>
    <w:rsid w:val="00446BCC"/>
    <w:rsid w:val="00446F7B"/>
    <w:rsid w:val="00447494"/>
    <w:rsid w:val="00447A2F"/>
    <w:rsid w:val="00447C68"/>
    <w:rsid w:val="00447C97"/>
    <w:rsid w:val="00447ECD"/>
    <w:rsid w:val="00447F78"/>
    <w:rsid w:val="00450068"/>
    <w:rsid w:val="004500CB"/>
    <w:rsid w:val="004502F0"/>
    <w:rsid w:val="004505CE"/>
    <w:rsid w:val="00450748"/>
    <w:rsid w:val="00450B03"/>
    <w:rsid w:val="00450CB7"/>
    <w:rsid w:val="00450CC4"/>
    <w:rsid w:val="00450DCB"/>
    <w:rsid w:val="004512A2"/>
    <w:rsid w:val="0045131F"/>
    <w:rsid w:val="0045132D"/>
    <w:rsid w:val="00451378"/>
    <w:rsid w:val="004518AC"/>
    <w:rsid w:val="00451B97"/>
    <w:rsid w:val="00451D07"/>
    <w:rsid w:val="00451FA3"/>
    <w:rsid w:val="00452380"/>
    <w:rsid w:val="00452730"/>
    <w:rsid w:val="004528F6"/>
    <w:rsid w:val="00452C21"/>
    <w:rsid w:val="00452C82"/>
    <w:rsid w:val="00452E61"/>
    <w:rsid w:val="0045361D"/>
    <w:rsid w:val="0045370D"/>
    <w:rsid w:val="00453787"/>
    <w:rsid w:val="00453886"/>
    <w:rsid w:val="00453CE8"/>
    <w:rsid w:val="00453EEF"/>
    <w:rsid w:val="0045400F"/>
    <w:rsid w:val="0045403B"/>
    <w:rsid w:val="004540A3"/>
    <w:rsid w:val="004540F3"/>
    <w:rsid w:val="00454162"/>
    <w:rsid w:val="0045450A"/>
    <w:rsid w:val="0045484A"/>
    <w:rsid w:val="00454867"/>
    <w:rsid w:val="00454A75"/>
    <w:rsid w:val="00454ABF"/>
    <w:rsid w:val="00454B75"/>
    <w:rsid w:val="00454F04"/>
    <w:rsid w:val="00455012"/>
    <w:rsid w:val="0045503A"/>
    <w:rsid w:val="00455138"/>
    <w:rsid w:val="00455173"/>
    <w:rsid w:val="0045523B"/>
    <w:rsid w:val="004552B1"/>
    <w:rsid w:val="00455423"/>
    <w:rsid w:val="0045548E"/>
    <w:rsid w:val="004559EE"/>
    <w:rsid w:val="00455B21"/>
    <w:rsid w:val="00455C18"/>
    <w:rsid w:val="00455CCE"/>
    <w:rsid w:val="00455D0D"/>
    <w:rsid w:val="00455DC5"/>
    <w:rsid w:val="00456272"/>
    <w:rsid w:val="004567C3"/>
    <w:rsid w:val="00456983"/>
    <w:rsid w:val="00456BAB"/>
    <w:rsid w:val="00457047"/>
    <w:rsid w:val="0045729D"/>
    <w:rsid w:val="004573C2"/>
    <w:rsid w:val="00457513"/>
    <w:rsid w:val="0045778A"/>
    <w:rsid w:val="00457886"/>
    <w:rsid w:val="004579A2"/>
    <w:rsid w:val="00457B67"/>
    <w:rsid w:val="00457E8B"/>
    <w:rsid w:val="00457F1F"/>
    <w:rsid w:val="00460066"/>
    <w:rsid w:val="00460150"/>
    <w:rsid w:val="00460172"/>
    <w:rsid w:val="00460540"/>
    <w:rsid w:val="00460576"/>
    <w:rsid w:val="00461254"/>
    <w:rsid w:val="00461425"/>
    <w:rsid w:val="00461583"/>
    <w:rsid w:val="0046167C"/>
    <w:rsid w:val="00461983"/>
    <w:rsid w:val="00461EB5"/>
    <w:rsid w:val="00461F10"/>
    <w:rsid w:val="00462021"/>
    <w:rsid w:val="0046212B"/>
    <w:rsid w:val="00462440"/>
    <w:rsid w:val="0046286B"/>
    <w:rsid w:val="0046304C"/>
    <w:rsid w:val="004635BC"/>
    <w:rsid w:val="0046387B"/>
    <w:rsid w:val="00463ACD"/>
    <w:rsid w:val="00464421"/>
    <w:rsid w:val="004646A1"/>
    <w:rsid w:val="004646CF"/>
    <w:rsid w:val="00464707"/>
    <w:rsid w:val="0046486C"/>
    <w:rsid w:val="00464957"/>
    <w:rsid w:val="00464F3A"/>
    <w:rsid w:val="00464FF1"/>
    <w:rsid w:val="00465177"/>
    <w:rsid w:val="004651AE"/>
    <w:rsid w:val="00465392"/>
    <w:rsid w:val="004654E4"/>
    <w:rsid w:val="004654F8"/>
    <w:rsid w:val="004657A2"/>
    <w:rsid w:val="0046599E"/>
    <w:rsid w:val="00465D35"/>
    <w:rsid w:val="004660BB"/>
    <w:rsid w:val="004660E5"/>
    <w:rsid w:val="00466477"/>
    <w:rsid w:val="0046648A"/>
    <w:rsid w:val="004665A9"/>
    <w:rsid w:val="0046685C"/>
    <w:rsid w:val="004669F6"/>
    <w:rsid w:val="00466A73"/>
    <w:rsid w:val="00466D60"/>
    <w:rsid w:val="00466DE8"/>
    <w:rsid w:val="00466E9F"/>
    <w:rsid w:val="004674B6"/>
    <w:rsid w:val="004674E4"/>
    <w:rsid w:val="00467508"/>
    <w:rsid w:val="004679A9"/>
    <w:rsid w:val="00467B07"/>
    <w:rsid w:val="00467BC4"/>
    <w:rsid w:val="00467D26"/>
    <w:rsid w:val="00467FBB"/>
    <w:rsid w:val="00470157"/>
    <w:rsid w:val="004704FA"/>
    <w:rsid w:val="00470791"/>
    <w:rsid w:val="00470948"/>
    <w:rsid w:val="004709ED"/>
    <w:rsid w:val="0047128C"/>
    <w:rsid w:val="00471301"/>
    <w:rsid w:val="00471355"/>
    <w:rsid w:val="00471395"/>
    <w:rsid w:val="004713CD"/>
    <w:rsid w:val="00471B97"/>
    <w:rsid w:val="00471D67"/>
    <w:rsid w:val="00471F3F"/>
    <w:rsid w:val="00471F9B"/>
    <w:rsid w:val="0047202B"/>
    <w:rsid w:val="00472037"/>
    <w:rsid w:val="00472638"/>
    <w:rsid w:val="0047284B"/>
    <w:rsid w:val="00472943"/>
    <w:rsid w:val="00472A1C"/>
    <w:rsid w:val="00472CA2"/>
    <w:rsid w:val="00472D94"/>
    <w:rsid w:val="00472D98"/>
    <w:rsid w:val="00473032"/>
    <w:rsid w:val="0047304A"/>
    <w:rsid w:val="00473228"/>
    <w:rsid w:val="0047344C"/>
    <w:rsid w:val="004734F1"/>
    <w:rsid w:val="004737BC"/>
    <w:rsid w:val="004739EE"/>
    <w:rsid w:val="00473AB3"/>
    <w:rsid w:val="00473B60"/>
    <w:rsid w:val="0047405E"/>
    <w:rsid w:val="004740A3"/>
    <w:rsid w:val="00474287"/>
    <w:rsid w:val="0047433E"/>
    <w:rsid w:val="00474BE1"/>
    <w:rsid w:val="00474CF2"/>
    <w:rsid w:val="00474F77"/>
    <w:rsid w:val="00475812"/>
    <w:rsid w:val="00475952"/>
    <w:rsid w:val="00475BB8"/>
    <w:rsid w:val="00475C23"/>
    <w:rsid w:val="00475D61"/>
    <w:rsid w:val="0047632B"/>
    <w:rsid w:val="004767F6"/>
    <w:rsid w:val="004768A3"/>
    <w:rsid w:val="00477095"/>
    <w:rsid w:val="004770E4"/>
    <w:rsid w:val="004771ED"/>
    <w:rsid w:val="004774C3"/>
    <w:rsid w:val="00477602"/>
    <w:rsid w:val="004776E9"/>
    <w:rsid w:val="0047777C"/>
    <w:rsid w:val="004778BA"/>
    <w:rsid w:val="004779CE"/>
    <w:rsid w:val="004779EE"/>
    <w:rsid w:val="004801FB"/>
    <w:rsid w:val="004803C6"/>
    <w:rsid w:val="00480566"/>
    <w:rsid w:val="004807B4"/>
    <w:rsid w:val="004808B2"/>
    <w:rsid w:val="00480F2D"/>
    <w:rsid w:val="00480F49"/>
    <w:rsid w:val="004811EF"/>
    <w:rsid w:val="0048128D"/>
    <w:rsid w:val="0048137C"/>
    <w:rsid w:val="00481724"/>
    <w:rsid w:val="0048198B"/>
    <w:rsid w:val="00481CCD"/>
    <w:rsid w:val="00481EC0"/>
    <w:rsid w:val="004823EF"/>
    <w:rsid w:val="00482EA9"/>
    <w:rsid w:val="0048309E"/>
    <w:rsid w:val="0048327B"/>
    <w:rsid w:val="004834D2"/>
    <w:rsid w:val="004834D5"/>
    <w:rsid w:val="00483594"/>
    <w:rsid w:val="004835AF"/>
    <w:rsid w:val="00483B75"/>
    <w:rsid w:val="00483C21"/>
    <w:rsid w:val="00483C51"/>
    <w:rsid w:val="00483EF2"/>
    <w:rsid w:val="00484138"/>
    <w:rsid w:val="00484187"/>
    <w:rsid w:val="00484193"/>
    <w:rsid w:val="004841AD"/>
    <w:rsid w:val="004842EC"/>
    <w:rsid w:val="004842FA"/>
    <w:rsid w:val="0048431D"/>
    <w:rsid w:val="004845C1"/>
    <w:rsid w:val="00484943"/>
    <w:rsid w:val="004849FE"/>
    <w:rsid w:val="00484F97"/>
    <w:rsid w:val="0048528D"/>
    <w:rsid w:val="004852B6"/>
    <w:rsid w:val="00485993"/>
    <w:rsid w:val="00485BE1"/>
    <w:rsid w:val="00486118"/>
    <w:rsid w:val="004861ED"/>
    <w:rsid w:val="004864AC"/>
    <w:rsid w:val="00486716"/>
    <w:rsid w:val="00486A00"/>
    <w:rsid w:val="00486B4A"/>
    <w:rsid w:val="00486D1A"/>
    <w:rsid w:val="00486E60"/>
    <w:rsid w:val="00486E99"/>
    <w:rsid w:val="00486FC1"/>
    <w:rsid w:val="00487274"/>
    <w:rsid w:val="00487302"/>
    <w:rsid w:val="0048739D"/>
    <w:rsid w:val="004874B2"/>
    <w:rsid w:val="00487B72"/>
    <w:rsid w:val="00487D58"/>
    <w:rsid w:val="0049040F"/>
    <w:rsid w:val="004904FA"/>
    <w:rsid w:val="00490824"/>
    <w:rsid w:val="00490B31"/>
    <w:rsid w:val="00490E33"/>
    <w:rsid w:val="0049124C"/>
    <w:rsid w:val="00491445"/>
    <w:rsid w:val="004914AE"/>
    <w:rsid w:val="004915E8"/>
    <w:rsid w:val="00491662"/>
    <w:rsid w:val="00491966"/>
    <w:rsid w:val="00491C96"/>
    <w:rsid w:val="00491DC1"/>
    <w:rsid w:val="004923DD"/>
    <w:rsid w:val="0049273D"/>
    <w:rsid w:val="00492847"/>
    <w:rsid w:val="004929ED"/>
    <w:rsid w:val="00492B27"/>
    <w:rsid w:val="00492B9C"/>
    <w:rsid w:val="00492D77"/>
    <w:rsid w:val="0049328B"/>
    <w:rsid w:val="004934EE"/>
    <w:rsid w:val="004937F8"/>
    <w:rsid w:val="00493A3D"/>
    <w:rsid w:val="00493AA3"/>
    <w:rsid w:val="00493ADF"/>
    <w:rsid w:val="00493D3B"/>
    <w:rsid w:val="00494283"/>
    <w:rsid w:val="00494431"/>
    <w:rsid w:val="004947EE"/>
    <w:rsid w:val="004949A8"/>
    <w:rsid w:val="00495128"/>
    <w:rsid w:val="00495619"/>
    <w:rsid w:val="00495697"/>
    <w:rsid w:val="00495882"/>
    <w:rsid w:val="00495C7F"/>
    <w:rsid w:val="00495E92"/>
    <w:rsid w:val="00495FBB"/>
    <w:rsid w:val="00496034"/>
    <w:rsid w:val="00496463"/>
    <w:rsid w:val="0049647A"/>
    <w:rsid w:val="00496521"/>
    <w:rsid w:val="0049665A"/>
    <w:rsid w:val="00496A03"/>
    <w:rsid w:val="00496A7B"/>
    <w:rsid w:val="00496D71"/>
    <w:rsid w:val="00496DC1"/>
    <w:rsid w:val="00496F30"/>
    <w:rsid w:val="0049745C"/>
    <w:rsid w:val="00497588"/>
    <w:rsid w:val="004975AD"/>
    <w:rsid w:val="00497BF6"/>
    <w:rsid w:val="004A09E2"/>
    <w:rsid w:val="004A0C28"/>
    <w:rsid w:val="004A0D95"/>
    <w:rsid w:val="004A0DC4"/>
    <w:rsid w:val="004A15F6"/>
    <w:rsid w:val="004A17FA"/>
    <w:rsid w:val="004A1996"/>
    <w:rsid w:val="004A1B1D"/>
    <w:rsid w:val="004A1CDA"/>
    <w:rsid w:val="004A1D04"/>
    <w:rsid w:val="004A1E71"/>
    <w:rsid w:val="004A2048"/>
    <w:rsid w:val="004A205D"/>
    <w:rsid w:val="004A2066"/>
    <w:rsid w:val="004A2395"/>
    <w:rsid w:val="004A242C"/>
    <w:rsid w:val="004A270B"/>
    <w:rsid w:val="004A291D"/>
    <w:rsid w:val="004A292B"/>
    <w:rsid w:val="004A2AD3"/>
    <w:rsid w:val="004A31A2"/>
    <w:rsid w:val="004A3346"/>
    <w:rsid w:val="004A350A"/>
    <w:rsid w:val="004A39B2"/>
    <w:rsid w:val="004A39EA"/>
    <w:rsid w:val="004A3BC4"/>
    <w:rsid w:val="004A3C46"/>
    <w:rsid w:val="004A3FCA"/>
    <w:rsid w:val="004A4351"/>
    <w:rsid w:val="004A4439"/>
    <w:rsid w:val="004A4454"/>
    <w:rsid w:val="004A4821"/>
    <w:rsid w:val="004A4BB1"/>
    <w:rsid w:val="004A56A2"/>
    <w:rsid w:val="004A5D25"/>
    <w:rsid w:val="004A5E27"/>
    <w:rsid w:val="004A6358"/>
    <w:rsid w:val="004A63B2"/>
    <w:rsid w:val="004A647D"/>
    <w:rsid w:val="004A64AB"/>
    <w:rsid w:val="004A679B"/>
    <w:rsid w:val="004A6B12"/>
    <w:rsid w:val="004A7156"/>
    <w:rsid w:val="004A72B3"/>
    <w:rsid w:val="004A74C4"/>
    <w:rsid w:val="004A7746"/>
    <w:rsid w:val="004A7AD5"/>
    <w:rsid w:val="004A7B79"/>
    <w:rsid w:val="004A7BB8"/>
    <w:rsid w:val="004A7D58"/>
    <w:rsid w:val="004A7F8B"/>
    <w:rsid w:val="004B00E8"/>
    <w:rsid w:val="004B00F5"/>
    <w:rsid w:val="004B0507"/>
    <w:rsid w:val="004B0644"/>
    <w:rsid w:val="004B084C"/>
    <w:rsid w:val="004B0A8B"/>
    <w:rsid w:val="004B0ADB"/>
    <w:rsid w:val="004B0C5A"/>
    <w:rsid w:val="004B0DD5"/>
    <w:rsid w:val="004B0DE5"/>
    <w:rsid w:val="004B122F"/>
    <w:rsid w:val="004B12EE"/>
    <w:rsid w:val="004B1500"/>
    <w:rsid w:val="004B191B"/>
    <w:rsid w:val="004B1A1A"/>
    <w:rsid w:val="004B1AE0"/>
    <w:rsid w:val="004B1B9F"/>
    <w:rsid w:val="004B1FEF"/>
    <w:rsid w:val="004B217F"/>
    <w:rsid w:val="004B221C"/>
    <w:rsid w:val="004B26B2"/>
    <w:rsid w:val="004B27CB"/>
    <w:rsid w:val="004B28CF"/>
    <w:rsid w:val="004B2968"/>
    <w:rsid w:val="004B2990"/>
    <w:rsid w:val="004B32C3"/>
    <w:rsid w:val="004B32DB"/>
    <w:rsid w:val="004B3611"/>
    <w:rsid w:val="004B373D"/>
    <w:rsid w:val="004B3EBF"/>
    <w:rsid w:val="004B4028"/>
    <w:rsid w:val="004B42E2"/>
    <w:rsid w:val="004B4555"/>
    <w:rsid w:val="004B455D"/>
    <w:rsid w:val="004B4695"/>
    <w:rsid w:val="004B4708"/>
    <w:rsid w:val="004B487B"/>
    <w:rsid w:val="004B48C0"/>
    <w:rsid w:val="004B49A0"/>
    <w:rsid w:val="004B4A09"/>
    <w:rsid w:val="004B4A22"/>
    <w:rsid w:val="004B4D1A"/>
    <w:rsid w:val="004B4E4B"/>
    <w:rsid w:val="004B4FBB"/>
    <w:rsid w:val="004B51DA"/>
    <w:rsid w:val="004B5575"/>
    <w:rsid w:val="004B5B18"/>
    <w:rsid w:val="004B5EA1"/>
    <w:rsid w:val="004B5F35"/>
    <w:rsid w:val="004B6A29"/>
    <w:rsid w:val="004B6D32"/>
    <w:rsid w:val="004B6D9E"/>
    <w:rsid w:val="004B6EF1"/>
    <w:rsid w:val="004B7123"/>
    <w:rsid w:val="004B7154"/>
    <w:rsid w:val="004B719B"/>
    <w:rsid w:val="004B764C"/>
    <w:rsid w:val="004B77BB"/>
    <w:rsid w:val="004B7858"/>
    <w:rsid w:val="004B79D9"/>
    <w:rsid w:val="004B7A03"/>
    <w:rsid w:val="004B7A36"/>
    <w:rsid w:val="004B7D35"/>
    <w:rsid w:val="004C00C7"/>
    <w:rsid w:val="004C0638"/>
    <w:rsid w:val="004C0AF8"/>
    <w:rsid w:val="004C0BA0"/>
    <w:rsid w:val="004C0C60"/>
    <w:rsid w:val="004C0DE8"/>
    <w:rsid w:val="004C1043"/>
    <w:rsid w:val="004C1196"/>
    <w:rsid w:val="004C125B"/>
    <w:rsid w:val="004C16A9"/>
    <w:rsid w:val="004C1E47"/>
    <w:rsid w:val="004C1E9E"/>
    <w:rsid w:val="004C200A"/>
    <w:rsid w:val="004C2052"/>
    <w:rsid w:val="004C28A0"/>
    <w:rsid w:val="004C2AC1"/>
    <w:rsid w:val="004C2CE7"/>
    <w:rsid w:val="004C2D3D"/>
    <w:rsid w:val="004C2D50"/>
    <w:rsid w:val="004C2D73"/>
    <w:rsid w:val="004C2E5C"/>
    <w:rsid w:val="004C2F23"/>
    <w:rsid w:val="004C30C4"/>
    <w:rsid w:val="004C362C"/>
    <w:rsid w:val="004C369B"/>
    <w:rsid w:val="004C37C0"/>
    <w:rsid w:val="004C3A61"/>
    <w:rsid w:val="004C3D12"/>
    <w:rsid w:val="004C4034"/>
    <w:rsid w:val="004C4232"/>
    <w:rsid w:val="004C427C"/>
    <w:rsid w:val="004C4597"/>
    <w:rsid w:val="004C46B0"/>
    <w:rsid w:val="004C472B"/>
    <w:rsid w:val="004C47C8"/>
    <w:rsid w:val="004C4DBB"/>
    <w:rsid w:val="004C515E"/>
    <w:rsid w:val="004C5253"/>
    <w:rsid w:val="004C5539"/>
    <w:rsid w:val="004C564B"/>
    <w:rsid w:val="004C5D2B"/>
    <w:rsid w:val="004C5F25"/>
    <w:rsid w:val="004C64B7"/>
    <w:rsid w:val="004C67A4"/>
    <w:rsid w:val="004C6852"/>
    <w:rsid w:val="004C68A6"/>
    <w:rsid w:val="004C68CB"/>
    <w:rsid w:val="004C695E"/>
    <w:rsid w:val="004C6A71"/>
    <w:rsid w:val="004C6C36"/>
    <w:rsid w:val="004C6D0B"/>
    <w:rsid w:val="004C6D70"/>
    <w:rsid w:val="004C708C"/>
    <w:rsid w:val="004C7350"/>
    <w:rsid w:val="004C7608"/>
    <w:rsid w:val="004C79CE"/>
    <w:rsid w:val="004C7E03"/>
    <w:rsid w:val="004D00F5"/>
    <w:rsid w:val="004D0384"/>
    <w:rsid w:val="004D050F"/>
    <w:rsid w:val="004D0510"/>
    <w:rsid w:val="004D0619"/>
    <w:rsid w:val="004D0706"/>
    <w:rsid w:val="004D083E"/>
    <w:rsid w:val="004D0C1A"/>
    <w:rsid w:val="004D0C92"/>
    <w:rsid w:val="004D0FEE"/>
    <w:rsid w:val="004D17B0"/>
    <w:rsid w:val="004D1C87"/>
    <w:rsid w:val="004D1EA1"/>
    <w:rsid w:val="004D20CB"/>
    <w:rsid w:val="004D228A"/>
    <w:rsid w:val="004D2773"/>
    <w:rsid w:val="004D2A27"/>
    <w:rsid w:val="004D2E13"/>
    <w:rsid w:val="004D2E47"/>
    <w:rsid w:val="004D3160"/>
    <w:rsid w:val="004D31DD"/>
    <w:rsid w:val="004D3289"/>
    <w:rsid w:val="004D3562"/>
    <w:rsid w:val="004D3603"/>
    <w:rsid w:val="004D3718"/>
    <w:rsid w:val="004D4136"/>
    <w:rsid w:val="004D4186"/>
    <w:rsid w:val="004D42CD"/>
    <w:rsid w:val="004D450A"/>
    <w:rsid w:val="004D4883"/>
    <w:rsid w:val="004D4A87"/>
    <w:rsid w:val="004D4E0D"/>
    <w:rsid w:val="004D5097"/>
    <w:rsid w:val="004D54E1"/>
    <w:rsid w:val="004D578D"/>
    <w:rsid w:val="004D57A5"/>
    <w:rsid w:val="004D5A71"/>
    <w:rsid w:val="004D5AE6"/>
    <w:rsid w:val="004D5B90"/>
    <w:rsid w:val="004D5E79"/>
    <w:rsid w:val="004D6281"/>
    <w:rsid w:val="004D6C3F"/>
    <w:rsid w:val="004D6FDC"/>
    <w:rsid w:val="004D710B"/>
    <w:rsid w:val="004D7536"/>
    <w:rsid w:val="004D75EC"/>
    <w:rsid w:val="004D786A"/>
    <w:rsid w:val="004D7E4C"/>
    <w:rsid w:val="004E00A5"/>
    <w:rsid w:val="004E00EE"/>
    <w:rsid w:val="004E0227"/>
    <w:rsid w:val="004E0249"/>
    <w:rsid w:val="004E0282"/>
    <w:rsid w:val="004E06C4"/>
    <w:rsid w:val="004E076A"/>
    <w:rsid w:val="004E08B2"/>
    <w:rsid w:val="004E095C"/>
    <w:rsid w:val="004E0AD3"/>
    <w:rsid w:val="004E0B60"/>
    <w:rsid w:val="004E0C20"/>
    <w:rsid w:val="004E0C7E"/>
    <w:rsid w:val="004E0D0F"/>
    <w:rsid w:val="004E1218"/>
    <w:rsid w:val="004E1477"/>
    <w:rsid w:val="004E1503"/>
    <w:rsid w:val="004E162D"/>
    <w:rsid w:val="004E1C89"/>
    <w:rsid w:val="004E1DDB"/>
    <w:rsid w:val="004E2094"/>
    <w:rsid w:val="004E20FF"/>
    <w:rsid w:val="004E2416"/>
    <w:rsid w:val="004E279F"/>
    <w:rsid w:val="004E28B0"/>
    <w:rsid w:val="004E28D4"/>
    <w:rsid w:val="004E2976"/>
    <w:rsid w:val="004E2C66"/>
    <w:rsid w:val="004E2CE8"/>
    <w:rsid w:val="004E2F81"/>
    <w:rsid w:val="004E3019"/>
    <w:rsid w:val="004E3203"/>
    <w:rsid w:val="004E3354"/>
    <w:rsid w:val="004E338F"/>
    <w:rsid w:val="004E33DD"/>
    <w:rsid w:val="004E3BA5"/>
    <w:rsid w:val="004E3C13"/>
    <w:rsid w:val="004E3E2C"/>
    <w:rsid w:val="004E3EAF"/>
    <w:rsid w:val="004E4254"/>
    <w:rsid w:val="004E42FD"/>
    <w:rsid w:val="004E4361"/>
    <w:rsid w:val="004E465D"/>
    <w:rsid w:val="004E49C6"/>
    <w:rsid w:val="004E4A43"/>
    <w:rsid w:val="004E4C27"/>
    <w:rsid w:val="004E5180"/>
    <w:rsid w:val="004E53E7"/>
    <w:rsid w:val="004E5469"/>
    <w:rsid w:val="004E5572"/>
    <w:rsid w:val="004E5D04"/>
    <w:rsid w:val="004E5F76"/>
    <w:rsid w:val="004E602F"/>
    <w:rsid w:val="004E6488"/>
    <w:rsid w:val="004E652E"/>
    <w:rsid w:val="004E668B"/>
    <w:rsid w:val="004E67DF"/>
    <w:rsid w:val="004E71AF"/>
    <w:rsid w:val="004E724B"/>
    <w:rsid w:val="004E74A6"/>
    <w:rsid w:val="004E75D0"/>
    <w:rsid w:val="004E7747"/>
    <w:rsid w:val="004E7810"/>
    <w:rsid w:val="004E79E0"/>
    <w:rsid w:val="004E7A00"/>
    <w:rsid w:val="004E7B13"/>
    <w:rsid w:val="004E7B68"/>
    <w:rsid w:val="004E7D26"/>
    <w:rsid w:val="004F00F3"/>
    <w:rsid w:val="004F0231"/>
    <w:rsid w:val="004F02F9"/>
    <w:rsid w:val="004F034D"/>
    <w:rsid w:val="004F0409"/>
    <w:rsid w:val="004F0986"/>
    <w:rsid w:val="004F0B85"/>
    <w:rsid w:val="004F0C6E"/>
    <w:rsid w:val="004F14F0"/>
    <w:rsid w:val="004F15F8"/>
    <w:rsid w:val="004F17BC"/>
    <w:rsid w:val="004F19F7"/>
    <w:rsid w:val="004F219A"/>
    <w:rsid w:val="004F22FD"/>
    <w:rsid w:val="004F2330"/>
    <w:rsid w:val="004F2349"/>
    <w:rsid w:val="004F244C"/>
    <w:rsid w:val="004F251A"/>
    <w:rsid w:val="004F2535"/>
    <w:rsid w:val="004F2676"/>
    <w:rsid w:val="004F2B35"/>
    <w:rsid w:val="004F2C2A"/>
    <w:rsid w:val="004F2C32"/>
    <w:rsid w:val="004F2DDA"/>
    <w:rsid w:val="004F30CC"/>
    <w:rsid w:val="004F3972"/>
    <w:rsid w:val="004F39DE"/>
    <w:rsid w:val="004F41BD"/>
    <w:rsid w:val="004F4264"/>
    <w:rsid w:val="004F4272"/>
    <w:rsid w:val="004F4930"/>
    <w:rsid w:val="004F4BAA"/>
    <w:rsid w:val="004F4F3D"/>
    <w:rsid w:val="004F541B"/>
    <w:rsid w:val="004F55C1"/>
    <w:rsid w:val="004F5800"/>
    <w:rsid w:val="004F5BAD"/>
    <w:rsid w:val="004F5BE9"/>
    <w:rsid w:val="004F5FCE"/>
    <w:rsid w:val="004F610E"/>
    <w:rsid w:val="004F6570"/>
    <w:rsid w:val="004F67B6"/>
    <w:rsid w:val="004F6919"/>
    <w:rsid w:val="004F6969"/>
    <w:rsid w:val="004F6C5B"/>
    <w:rsid w:val="004F6E40"/>
    <w:rsid w:val="004F70CD"/>
    <w:rsid w:val="004F729F"/>
    <w:rsid w:val="004F7312"/>
    <w:rsid w:val="004F74B8"/>
    <w:rsid w:val="004F75C3"/>
    <w:rsid w:val="004F7E2E"/>
    <w:rsid w:val="004F7F7D"/>
    <w:rsid w:val="005001A1"/>
    <w:rsid w:val="005003E1"/>
    <w:rsid w:val="00500742"/>
    <w:rsid w:val="005008DE"/>
    <w:rsid w:val="00500AF1"/>
    <w:rsid w:val="00500BFD"/>
    <w:rsid w:val="00500D27"/>
    <w:rsid w:val="00500F81"/>
    <w:rsid w:val="005012CA"/>
    <w:rsid w:val="005013A8"/>
    <w:rsid w:val="005016F6"/>
    <w:rsid w:val="005017D8"/>
    <w:rsid w:val="00501842"/>
    <w:rsid w:val="00501967"/>
    <w:rsid w:val="00501B7E"/>
    <w:rsid w:val="00501D25"/>
    <w:rsid w:val="00501D36"/>
    <w:rsid w:val="00501EFD"/>
    <w:rsid w:val="00501F8D"/>
    <w:rsid w:val="0050217E"/>
    <w:rsid w:val="00502262"/>
    <w:rsid w:val="0050244A"/>
    <w:rsid w:val="005025E0"/>
    <w:rsid w:val="005026CA"/>
    <w:rsid w:val="0050271D"/>
    <w:rsid w:val="00502910"/>
    <w:rsid w:val="00502B6D"/>
    <w:rsid w:val="00502CB6"/>
    <w:rsid w:val="00502CD2"/>
    <w:rsid w:val="00502E86"/>
    <w:rsid w:val="00502E98"/>
    <w:rsid w:val="00502F42"/>
    <w:rsid w:val="005030C1"/>
    <w:rsid w:val="005030D0"/>
    <w:rsid w:val="005035C5"/>
    <w:rsid w:val="005036A3"/>
    <w:rsid w:val="00503803"/>
    <w:rsid w:val="0050387B"/>
    <w:rsid w:val="00503D0F"/>
    <w:rsid w:val="00504008"/>
    <w:rsid w:val="0050452E"/>
    <w:rsid w:val="00504578"/>
    <w:rsid w:val="00504707"/>
    <w:rsid w:val="00504E52"/>
    <w:rsid w:val="005054DD"/>
    <w:rsid w:val="00505EC0"/>
    <w:rsid w:val="0050668A"/>
    <w:rsid w:val="00506759"/>
    <w:rsid w:val="00506785"/>
    <w:rsid w:val="005071DD"/>
    <w:rsid w:val="005075D9"/>
    <w:rsid w:val="00507915"/>
    <w:rsid w:val="005079F5"/>
    <w:rsid w:val="00507D40"/>
    <w:rsid w:val="00507D49"/>
    <w:rsid w:val="00507D56"/>
    <w:rsid w:val="00507EA2"/>
    <w:rsid w:val="00507F6A"/>
    <w:rsid w:val="005100E2"/>
    <w:rsid w:val="00510727"/>
    <w:rsid w:val="00510AA5"/>
    <w:rsid w:val="00510B67"/>
    <w:rsid w:val="00510C18"/>
    <w:rsid w:val="00510DBC"/>
    <w:rsid w:val="00510E6A"/>
    <w:rsid w:val="00510E81"/>
    <w:rsid w:val="00510FF0"/>
    <w:rsid w:val="005113B2"/>
    <w:rsid w:val="005114AD"/>
    <w:rsid w:val="00511C5F"/>
    <w:rsid w:val="00511DEB"/>
    <w:rsid w:val="00512021"/>
    <w:rsid w:val="005120B8"/>
    <w:rsid w:val="00512561"/>
    <w:rsid w:val="00512568"/>
    <w:rsid w:val="0051262A"/>
    <w:rsid w:val="00512B63"/>
    <w:rsid w:val="00512BD5"/>
    <w:rsid w:val="00512C13"/>
    <w:rsid w:val="00512E2C"/>
    <w:rsid w:val="00512E82"/>
    <w:rsid w:val="005132BA"/>
    <w:rsid w:val="00513B67"/>
    <w:rsid w:val="00513D74"/>
    <w:rsid w:val="00513DCC"/>
    <w:rsid w:val="00513F07"/>
    <w:rsid w:val="00514064"/>
    <w:rsid w:val="0051411A"/>
    <w:rsid w:val="00514324"/>
    <w:rsid w:val="005145B7"/>
    <w:rsid w:val="00514695"/>
    <w:rsid w:val="005146D2"/>
    <w:rsid w:val="00514915"/>
    <w:rsid w:val="00514AC1"/>
    <w:rsid w:val="00514CBC"/>
    <w:rsid w:val="005150DA"/>
    <w:rsid w:val="00515198"/>
    <w:rsid w:val="005153BA"/>
    <w:rsid w:val="00515CEC"/>
    <w:rsid w:val="00515ECE"/>
    <w:rsid w:val="00515FD7"/>
    <w:rsid w:val="005167D7"/>
    <w:rsid w:val="00516D40"/>
    <w:rsid w:val="00516E0E"/>
    <w:rsid w:val="005170D2"/>
    <w:rsid w:val="00517102"/>
    <w:rsid w:val="0051717F"/>
    <w:rsid w:val="00517324"/>
    <w:rsid w:val="005200AE"/>
    <w:rsid w:val="0052010D"/>
    <w:rsid w:val="005201D0"/>
    <w:rsid w:val="005202BA"/>
    <w:rsid w:val="0052031C"/>
    <w:rsid w:val="005203E3"/>
    <w:rsid w:val="00520734"/>
    <w:rsid w:val="00520915"/>
    <w:rsid w:val="00520CBF"/>
    <w:rsid w:val="00520EE9"/>
    <w:rsid w:val="005211F6"/>
    <w:rsid w:val="00521366"/>
    <w:rsid w:val="00521605"/>
    <w:rsid w:val="00521759"/>
    <w:rsid w:val="0052176D"/>
    <w:rsid w:val="00521888"/>
    <w:rsid w:val="0052188E"/>
    <w:rsid w:val="005218EF"/>
    <w:rsid w:val="00521C06"/>
    <w:rsid w:val="00521E94"/>
    <w:rsid w:val="00521F91"/>
    <w:rsid w:val="0052229B"/>
    <w:rsid w:val="00522651"/>
    <w:rsid w:val="00522795"/>
    <w:rsid w:val="00523064"/>
    <w:rsid w:val="005232B6"/>
    <w:rsid w:val="00523393"/>
    <w:rsid w:val="00523500"/>
    <w:rsid w:val="00523958"/>
    <w:rsid w:val="00523C10"/>
    <w:rsid w:val="00523C42"/>
    <w:rsid w:val="00523D95"/>
    <w:rsid w:val="00524190"/>
    <w:rsid w:val="005241D0"/>
    <w:rsid w:val="005241D1"/>
    <w:rsid w:val="005243AD"/>
    <w:rsid w:val="00524557"/>
    <w:rsid w:val="00524FE0"/>
    <w:rsid w:val="00525008"/>
    <w:rsid w:val="00525198"/>
    <w:rsid w:val="005252F7"/>
    <w:rsid w:val="005255DF"/>
    <w:rsid w:val="005255F1"/>
    <w:rsid w:val="0052566C"/>
    <w:rsid w:val="005257E3"/>
    <w:rsid w:val="00525806"/>
    <w:rsid w:val="00526307"/>
    <w:rsid w:val="00526490"/>
    <w:rsid w:val="005265CA"/>
    <w:rsid w:val="005268A1"/>
    <w:rsid w:val="005269A5"/>
    <w:rsid w:val="005269FD"/>
    <w:rsid w:val="00526ADD"/>
    <w:rsid w:val="00526B06"/>
    <w:rsid w:val="00526E22"/>
    <w:rsid w:val="00527261"/>
    <w:rsid w:val="005272B0"/>
    <w:rsid w:val="005275BD"/>
    <w:rsid w:val="00527624"/>
    <w:rsid w:val="00527656"/>
    <w:rsid w:val="00527673"/>
    <w:rsid w:val="0052776C"/>
    <w:rsid w:val="0052781A"/>
    <w:rsid w:val="00527F5E"/>
    <w:rsid w:val="0053017B"/>
    <w:rsid w:val="005302F4"/>
    <w:rsid w:val="0053049F"/>
    <w:rsid w:val="0053078C"/>
    <w:rsid w:val="0053092D"/>
    <w:rsid w:val="00530BBD"/>
    <w:rsid w:val="00530CB6"/>
    <w:rsid w:val="00530DC1"/>
    <w:rsid w:val="005312A7"/>
    <w:rsid w:val="005312D2"/>
    <w:rsid w:val="005317D8"/>
    <w:rsid w:val="005321DE"/>
    <w:rsid w:val="00532278"/>
    <w:rsid w:val="00532707"/>
    <w:rsid w:val="0053278A"/>
    <w:rsid w:val="00532E1A"/>
    <w:rsid w:val="00532EE8"/>
    <w:rsid w:val="0053355B"/>
    <w:rsid w:val="00533767"/>
    <w:rsid w:val="005337AC"/>
    <w:rsid w:val="005338F9"/>
    <w:rsid w:val="00533BC2"/>
    <w:rsid w:val="00533DC2"/>
    <w:rsid w:val="00533EB2"/>
    <w:rsid w:val="00534390"/>
    <w:rsid w:val="00534460"/>
    <w:rsid w:val="00534644"/>
    <w:rsid w:val="005351C7"/>
    <w:rsid w:val="0053528E"/>
    <w:rsid w:val="00535331"/>
    <w:rsid w:val="00535CF2"/>
    <w:rsid w:val="00535F93"/>
    <w:rsid w:val="00536009"/>
    <w:rsid w:val="005361D6"/>
    <w:rsid w:val="00536AF5"/>
    <w:rsid w:val="00536B3F"/>
    <w:rsid w:val="00536EC7"/>
    <w:rsid w:val="00536FAB"/>
    <w:rsid w:val="00537B87"/>
    <w:rsid w:val="0054097F"/>
    <w:rsid w:val="0054098D"/>
    <w:rsid w:val="005409CE"/>
    <w:rsid w:val="00540A29"/>
    <w:rsid w:val="00540A39"/>
    <w:rsid w:val="00540F46"/>
    <w:rsid w:val="005411BC"/>
    <w:rsid w:val="0054143C"/>
    <w:rsid w:val="00541467"/>
    <w:rsid w:val="005416B1"/>
    <w:rsid w:val="00541917"/>
    <w:rsid w:val="00541A62"/>
    <w:rsid w:val="00541B54"/>
    <w:rsid w:val="005420A8"/>
    <w:rsid w:val="005421E5"/>
    <w:rsid w:val="00542393"/>
    <w:rsid w:val="00542480"/>
    <w:rsid w:val="00542594"/>
    <w:rsid w:val="0054261A"/>
    <w:rsid w:val="00542962"/>
    <w:rsid w:val="00542E35"/>
    <w:rsid w:val="00542EA9"/>
    <w:rsid w:val="00543653"/>
    <w:rsid w:val="0054368B"/>
    <w:rsid w:val="0054398F"/>
    <w:rsid w:val="00543BB8"/>
    <w:rsid w:val="00543E1D"/>
    <w:rsid w:val="0054453B"/>
    <w:rsid w:val="00544687"/>
    <w:rsid w:val="00544740"/>
    <w:rsid w:val="00544AD5"/>
    <w:rsid w:val="00544E7C"/>
    <w:rsid w:val="00544F24"/>
    <w:rsid w:val="00544F86"/>
    <w:rsid w:val="005456B9"/>
    <w:rsid w:val="005458AA"/>
    <w:rsid w:val="005458FA"/>
    <w:rsid w:val="00545B03"/>
    <w:rsid w:val="00545C4C"/>
    <w:rsid w:val="00545E03"/>
    <w:rsid w:val="00546337"/>
    <w:rsid w:val="00546401"/>
    <w:rsid w:val="005466DB"/>
    <w:rsid w:val="00546780"/>
    <w:rsid w:val="00546AFF"/>
    <w:rsid w:val="00546F00"/>
    <w:rsid w:val="005470A8"/>
    <w:rsid w:val="005473F0"/>
    <w:rsid w:val="00547517"/>
    <w:rsid w:val="005477CB"/>
    <w:rsid w:val="00547A32"/>
    <w:rsid w:val="00547AEC"/>
    <w:rsid w:val="00547B02"/>
    <w:rsid w:val="0055008D"/>
    <w:rsid w:val="005501E9"/>
    <w:rsid w:val="00550544"/>
    <w:rsid w:val="0055056B"/>
    <w:rsid w:val="005505FC"/>
    <w:rsid w:val="005507AC"/>
    <w:rsid w:val="00550A3B"/>
    <w:rsid w:val="0055130A"/>
    <w:rsid w:val="00551400"/>
    <w:rsid w:val="0055141D"/>
    <w:rsid w:val="00551497"/>
    <w:rsid w:val="00551575"/>
    <w:rsid w:val="00551780"/>
    <w:rsid w:val="00551B5A"/>
    <w:rsid w:val="00551FF7"/>
    <w:rsid w:val="005523DA"/>
    <w:rsid w:val="005525B6"/>
    <w:rsid w:val="00552DC1"/>
    <w:rsid w:val="00552DFF"/>
    <w:rsid w:val="00552F04"/>
    <w:rsid w:val="0055364F"/>
    <w:rsid w:val="005537AC"/>
    <w:rsid w:val="005537B2"/>
    <w:rsid w:val="00553B33"/>
    <w:rsid w:val="00553B9B"/>
    <w:rsid w:val="00553CEF"/>
    <w:rsid w:val="00553E25"/>
    <w:rsid w:val="0055457D"/>
    <w:rsid w:val="0055482F"/>
    <w:rsid w:val="00554875"/>
    <w:rsid w:val="0055495D"/>
    <w:rsid w:val="00554A1B"/>
    <w:rsid w:val="00554FBC"/>
    <w:rsid w:val="005553A1"/>
    <w:rsid w:val="00555604"/>
    <w:rsid w:val="0055575B"/>
    <w:rsid w:val="00555F5A"/>
    <w:rsid w:val="00556906"/>
    <w:rsid w:val="00556BEA"/>
    <w:rsid w:val="005574F0"/>
    <w:rsid w:val="005575B2"/>
    <w:rsid w:val="00557630"/>
    <w:rsid w:val="0055769F"/>
    <w:rsid w:val="00557BB6"/>
    <w:rsid w:val="00557BCF"/>
    <w:rsid w:val="00557C4C"/>
    <w:rsid w:val="00557C74"/>
    <w:rsid w:val="005601AF"/>
    <w:rsid w:val="0056031B"/>
    <w:rsid w:val="00560542"/>
    <w:rsid w:val="0056087A"/>
    <w:rsid w:val="005608F6"/>
    <w:rsid w:val="00560933"/>
    <w:rsid w:val="00560D5D"/>
    <w:rsid w:val="00560DC5"/>
    <w:rsid w:val="00560F41"/>
    <w:rsid w:val="00561121"/>
    <w:rsid w:val="005614DF"/>
    <w:rsid w:val="005616F2"/>
    <w:rsid w:val="00561746"/>
    <w:rsid w:val="0056201D"/>
    <w:rsid w:val="00562176"/>
    <w:rsid w:val="00562246"/>
    <w:rsid w:val="00562700"/>
    <w:rsid w:val="00562AD1"/>
    <w:rsid w:val="00562B71"/>
    <w:rsid w:val="00562BD4"/>
    <w:rsid w:val="00562D9C"/>
    <w:rsid w:val="00562F6C"/>
    <w:rsid w:val="00563207"/>
    <w:rsid w:val="00563264"/>
    <w:rsid w:val="00563325"/>
    <w:rsid w:val="00563452"/>
    <w:rsid w:val="005634FA"/>
    <w:rsid w:val="005639F2"/>
    <w:rsid w:val="00563C24"/>
    <w:rsid w:val="0056413B"/>
    <w:rsid w:val="00564191"/>
    <w:rsid w:val="005641CB"/>
    <w:rsid w:val="005646E2"/>
    <w:rsid w:val="005646F5"/>
    <w:rsid w:val="00564BCF"/>
    <w:rsid w:val="00564C21"/>
    <w:rsid w:val="00564C43"/>
    <w:rsid w:val="00564CB4"/>
    <w:rsid w:val="00564E58"/>
    <w:rsid w:val="0056544F"/>
    <w:rsid w:val="005654BA"/>
    <w:rsid w:val="00565557"/>
    <w:rsid w:val="00565581"/>
    <w:rsid w:val="005657D4"/>
    <w:rsid w:val="00565AC6"/>
    <w:rsid w:val="00565BFC"/>
    <w:rsid w:val="00565D34"/>
    <w:rsid w:val="00565DFD"/>
    <w:rsid w:val="00566565"/>
    <w:rsid w:val="00566897"/>
    <w:rsid w:val="00566A70"/>
    <w:rsid w:val="00566CD9"/>
    <w:rsid w:val="00566ECD"/>
    <w:rsid w:val="00566EDC"/>
    <w:rsid w:val="00566F28"/>
    <w:rsid w:val="00566FFA"/>
    <w:rsid w:val="005671B3"/>
    <w:rsid w:val="005671F3"/>
    <w:rsid w:val="00567244"/>
    <w:rsid w:val="00567275"/>
    <w:rsid w:val="00567379"/>
    <w:rsid w:val="005674BD"/>
    <w:rsid w:val="00567846"/>
    <w:rsid w:val="0057004B"/>
    <w:rsid w:val="005701FE"/>
    <w:rsid w:val="00570297"/>
    <w:rsid w:val="005703CF"/>
    <w:rsid w:val="005706CA"/>
    <w:rsid w:val="005709F9"/>
    <w:rsid w:val="00570A37"/>
    <w:rsid w:val="00570DEC"/>
    <w:rsid w:val="0057103E"/>
    <w:rsid w:val="00571366"/>
    <w:rsid w:val="005713E6"/>
    <w:rsid w:val="0057143A"/>
    <w:rsid w:val="00571441"/>
    <w:rsid w:val="00571477"/>
    <w:rsid w:val="0057157A"/>
    <w:rsid w:val="00571D54"/>
    <w:rsid w:val="00571E69"/>
    <w:rsid w:val="00572435"/>
    <w:rsid w:val="0057284D"/>
    <w:rsid w:val="00572A43"/>
    <w:rsid w:val="00572B51"/>
    <w:rsid w:val="00573029"/>
    <w:rsid w:val="00573598"/>
    <w:rsid w:val="005736DD"/>
    <w:rsid w:val="00573829"/>
    <w:rsid w:val="00573AE4"/>
    <w:rsid w:val="00573E35"/>
    <w:rsid w:val="00573F3F"/>
    <w:rsid w:val="00574266"/>
    <w:rsid w:val="00574448"/>
    <w:rsid w:val="00574715"/>
    <w:rsid w:val="0057480C"/>
    <w:rsid w:val="005748B2"/>
    <w:rsid w:val="00574913"/>
    <w:rsid w:val="00574A78"/>
    <w:rsid w:val="00574AA9"/>
    <w:rsid w:val="00574E5A"/>
    <w:rsid w:val="0057509B"/>
    <w:rsid w:val="005752B3"/>
    <w:rsid w:val="00575AC5"/>
    <w:rsid w:val="00575B95"/>
    <w:rsid w:val="00575C61"/>
    <w:rsid w:val="00575D36"/>
    <w:rsid w:val="00575EE9"/>
    <w:rsid w:val="00576178"/>
    <w:rsid w:val="00576743"/>
    <w:rsid w:val="0057685C"/>
    <w:rsid w:val="00576E0F"/>
    <w:rsid w:val="005771C9"/>
    <w:rsid w:val="00577332"/>
    <w:rsid w:val="005773C4"/>
    <w:rsid w:val="0057745C"/>
    <w:rsid w:val="0057759D"/>
    <w:rsid w:val="005775CE"/>
    <w:rsid w:val="005778C6"/>
    <w:rsid w:val="00577F40"/>
    <w:rsid w:val="00577F88"/>
    <w:rsid w:val="00580492"/>
    <w:rsid w:val="00580E2F"/>
    <w:rsid w:val="00580FF7"/>
    <w:rsid w:val="00581213"/>
    <w:rsid w:val="0058143C"/>
    <w:rsid w:val="00581522"/>
    <w:rsid w:val="005817A7"/>
    <w:rsid w:val="005819EB"/>
    <w:rsid w:val="00581ABE"/>
    <w:rsid w:val="00581CFE"/>
    <w:rsid w:val="00581DD5"/>
    <w:rsid w:val="00582250"/>
    <w:rsid w:val="0058255F"/>
    <w:rsid w:val="005826B5"/>
    <w:rsid w:val="0058276E"/>
    <w:rsid w:val="00582B7B"/>
    <w:rsid w:val="00582B8C"/>
    <w:rsid w:val="0058309F"/>
    <w:rsid w:val="00583264"/>
    <w:rsid w:val="0058346F"/>
    <w:rsid w:val="00583541"/>
    <w:rsid w:val="005835C6"/>
    <w:rsid w:val="00583816"/>
    <w:rsid w:val="0058390F"/>
    <w:rsid w:val="00583970"/>
    <w:rsid w:val="00583A2D"/>
    <w:rsid w:val="00583C1A"/>
    <w:rsid w:val="0058408F"/>
    <w:rsid w:val="005840FB"/>
    <w:rsid w:val="00584227"/>
    <w:rsid w:val="0058423B"/>
    <w:rsid w:val="00584442"/>
    <w:rsid w:val="0058485C"/>
    <w:rsid w:val="00584A00"/>
    <w:rsid w:val="00584A17"/>
    <w:rsid w:val="00584AEC"/>
    <w:rsid w:val="00584B8D"/>
    <w:rsid w:val="00584FA7"/>
    <w:rsid w:val="0058500E"/>
    <w:rsid w:val="0058517E"/>
    <w:rsid w:val="005853E7"/>
    <w:rsid w:val="0058581A"/>
    <w:rsid w:val="00585A30"/>
    <w:rsid w:val="00586031"/>
    <w:rsid w:val="005861F7"/>
    <w:rsid w:val="005865C9"/>
    <w:rsid w:val="005867F9"/>
    <w:rsid w:val="0058682A"/>
    <w:rsid w:val="00586A29"/>
    <w:rsid w:val="00586EFC"/>
    <w:rsid w:val="005871D9"/>
    <w:rsid w:val="005873E3"/>
    <w:rsid w:val="00587540"/>
    <w:rsid w:val="005875D0"/>
    <w:rsid w:val="0058760A"/>
    <w:rsid w:val="00587A1B"/>
    <w:rsid w:val="00587DF7"/>
    <w:rsid w:val="005901C7"/>
    <w:rsid w:val="0059032E"/>
    <w:rsid w:val="005903D0"/>
    <w:rsid w:val="00590658"/>
    <w:rsid w:val="005907CF"/>
    <w:rsid w:val="005907EF"/>
    <w:rsid w:val="005908E2"/>
    <w:rsid w:val="00590BB5"/>
    <w:rsid w:val="00590F06"/>
    <w:rsid w:val="00590FC0"/>
    <w:rsid w:val="005910D4"/>
    <w:rsid w:val="005910D6"/>
    <w:rsid w:val="00591248"/>
    <w:rsid w:val="005914A8"/>
    <w:rsid w:val="005917CA"/>
    <w:rsid w:val="005918FA"/>
    <w:rsid w:val="00591A4E"/>
    <w:rsid w:val="00591C9B"/>
    <w:rsid w:val="00591CD1"/>
    <w:rsid w:val="00591D65"/>
    <w:rsid w:val="00591D79"/>
    <w:rsid w:val="00591EE3"/>
    <w:rsid w:val="00591F2B"/>
    <w:rsid w:val="00592045"/>
    <w:rsid w:val="00592312"/>
    <w:rsid w:val="00592380"/>
    <w:rsid w:val="00592651"/>
    <w:rsid w:val="0059275B"/>
    <w:rsid w:val="00592836"/>
    <w:rsid w:val="00592A67"/>
    <w:rsid w:val="00592ABF"/>
    <w:rsid w:val="00592B30"/>
    <w:rsid w:val="00592E13"/>
    <w:rsid w:val="00593167"/>
    <w:rsid w:val="005934D3"/>
    <w:rsid w:val="005937D5"/>
    <w:rsid w:val="005939E0"/>
    <w:rsid w:val="00593A91"/>
    <w:rsid w:val="005940E8"/>
    <w:rsid w:val="00594341"/>
    <w:rsid w:val="00594396"/>
    <w:rsid w:val="00594503"/>
    <w:rsid w:val="00594B1B"/>
    <w:rsid w:val="00594C80"/>
    <w:rsid w:val="00594EAF"/>
    <w:rsid w:val="00594FCB"/>
    <w:rsid w:val="0059539A"/>
    <w:rsid w:val="0059557D"/>
    <w:rsid w:val="005959DB"/>
    <w:rsid w:val="00595C99"/>
    <w:rsid w:val="00595F22"/>
    <w:rsid w:val="00595F49"/>
    <w:rsid w:val="0059617C"/>
    <w:rsid w:val="00596302"/>
    <w:rsid w:val="005965CC"/>
    <w:rsid w:val="005966B8"/>
    <w:rsid w:val="0059681E"/>
    <w:rsid w:val="00596830"/>
    <w:rsid w:val="005968E6"/>
    <w:rsid w:val="0059696F"/>
    <w:rsid w:val="00596E09"/>
    <w:rsid w:val="00596F6B"/>
    <w:rsid w:val="005972CA"/>
    <w:rsid w:val="005974B1"/>
    <w:rsid w:val="005978DF"/>
    <w:rsid w:val="00597B33"/>
    <w:rsid w:val="00597DCA"/>
    <w:rsid w:val="00597F8D"/>
    <w:rsid w:val="005A012C"/>
    <w:rsid w:val="005A0226"/>
    <w:rsid w:val="005A0297"/>
    <w:rsid w:val="005A05D2"/>
    <w:rsid w:val="005A0A11"/>
    <w:rsid w:val="005A0B49"/>
    <w:rsid w:val="005A1146"/>
    <w:rsid w:val="005A13DC"/>
    <w:rsid w:val="005A1862"/>
    <w:rsid w:val="005A1C16"/>
    <w:rsid w:val="005A1DA0"/>
    <w:rsid w:val="005A1DD3"/>
    <w:rsid w:val="005A25D5"/>
    <w:rsid w:val="005A26C2"/>
    <w:rsid w:val="005A2907"/>
    <w:rsid w:val="005A2C19"/>
    <w:rsid w:val="005A2F05"/>
    <w:rsid w:val="005A3170"/>
    <w:rsid w:val="005A35DE"/>
    <w:rsid w:val="005A37D6"/>
    <w:rsid w:val="005A3B73"/>
    <w:rsid w:val="005A3F26"/>
    <w:rsid w:val="005A426A"/>
    <w:rsid w:val="005A426B"/>
    <w:rsid w:val="005A42D6"/>
    <w:rsid w:val="005A447D"/>
    <w:rsid w:val="005A44F5"/>
    <w:rsid w:val="005A45CB"/>
    <w:rsid w:val="005A45E7"/>
    <w:rsid w:val="005A47CA"/>
    <w:rsid w:val="005A47F3"/>
    <w:rsid w:val="005A4A98"/>
    <w:rsid w:val="005A4AEC"/>
    <w:rsid w:val="005A4C82"/>
    <w:rsid w:val="005A4CBC"/>
    <w:rsid w:val="005A4FBD"/>
    <w:rsid w:val="005A55F9"/>
    <w:rsid w:val="005A56D8"/>
    <w:rsid w:val="005A59BD"/>
    <w:rsid w:val="005A5E30"/>
    <w:rsid w:val="005A5F0F"/>
    <w:rsid w:val="005A60E9"/>
    <w:rsid w:val="005A61EE"/>
    <w:rsid w:val="005A6240"/>
    <w:rsid w:val="005A636B"/>
    <w:rsid w:val="005A6382"/>
    <w:rsid w:val="005A653F"/>
    <w:rsid w:val="005A6886"/>
    <w:rsid w:val="005A6A2B"/>
    <w:rsid w:val="005A6E96"/>
    <w:rsid w:val="005A71B2"/>
    <w:rsid w:val="005A73EB"/>
    <w:rsid w:val="005A7705"/>
    <w:rsid w:val="005A77C1"/>
    <w:rsid w:val="005A786F"/>
    <w:rsid w:val="005A7F9C"/>
    <w:rsid w:val="005B01FE"/>
    <w:rsid w:val="005B0213"/>
    <w:rsid w:val="005B054D"/>
    <w:rsid w:val="005B05EC"/>
    <w:rsid w:val="005B0819"/>
    <w:rsid w:val="005B0948"/>
    <w:rsid w:val="005B0A21"/>
    <w:rsid w:val="005B105B"/>
    <w:rsid w:val="005B120B"/>
    <w:rsid w:val="005B1488"/>
    <w:rsid w:val="005B1AC7"/>
    <w:rsid w:val="005B1D5B"/>
    <w:rsid w:val="005B1EE8"/>
    <w:rsid w:val="005B2163"/>
    <w:rsid w:val="005B2722"/>
    <w:rsid w:val="005B2900"/>
    <w:rsid w:val="005B2971"/>
    <w:rsid w:val="005B2DB4"/>
    <w:rsid w:val="005B2E0F"/>
    <w:rsid w:val="005B2E44"/>
    <w:rsid w:val="005B2EB7"/>
    <w:rsid w:val="005B2FF2"/>
    <w:rsid w:val="005B3089"/>
    <w:rsid w:val="005B3139"/>
    <w:rsid w:val="005B3766"/>
    <w:rsid w:val="005B399C"/>
    <w:rsid w:val="005B3A1B"/>
    <w:rsid w:val="005B3BEB"/>
    <w:rsid w:val="005B3F62"/>
    <w:rsid w:val="005B411A"/>
    <w:rsid w:val="005B41DB"/>
    <w:rsid w:val="005B45F8"/>
    <w:rsid w:val="005B4716"/>
    <w:rsid w:val="005B48FD"/>
    <w:rsid w:val="005B4A6F"/>
    <w:rsid w:val="005B4BA7"/>
    <w:rsid w:val="005B4BC9"/>
    <w:rsid w:val="005B4CE0"/>
    <w:rsid w:val="005B4FDF"/>
    <w:rsid w:val="005B526D"/>
    <w:rsid w:val="005B5A8A"/>
    <w:rsid w:val="005B5FA4"/>
    <w:rsid w:val="005B6011"/>
    <w:rsid w:val="005B6473"/>
    <w:rsid w:val="005B6841"/>
    <w:rsid w:val="005B688A"/>
    <w:rsid w:val="005B6965"/>
    <w:rsid w:val="005B6B13"/>
    <w:rsid w:val="005B6D74"/>
    <w:rsid w:val="005B6DAD"/>
    <w:rsid w:val="005B6E47"/>
    <w:rsid w:val="005B6F47"/>
    <w:rsid w:val="005B70D7"/>
    <w:rsid w:val="005B7312"/>
    <w:rsid w:val="005B7696"/>
    <w:rsid w:val="005B7791"/>
    <w:rsid w:val="005B79C2"/>
    <w:rsid w:val="005B7A96"/>
    <w:rsid w:val="005C03EC"/>
    <w:rsid w:val="005C0720"/>
    <w:rsid w:val="005C09B2"/>
    <w:rsid w:val="005C0E2C"/>
    <w:rsid w:val="005C1162"/>
    <w:rsid w:val="005C1460"/>
    <w:rsid w:val="005C14D7"/>
    <w:rsid w:val="005C1910"/>
    <w:rsid w:val="005C1A33"/>
    <w:rsid w:val="005C1AA3"/>
    <w:rsid w:val="005C1F73"/>
    <w:rsid w:val="005C2085"/>
    <w:rsid w:val="005C24C8"/>
    <w:rsid w:val="005C25ED"/>
    <w:rsid w:val="005C2D06"/>
    <w:rsid w:val="005C2F6B"/>
    <w:rsid w:val="005C36E9"/>
    <w:rsid w:val="005C3E10"/>
    <w:rsid w:val="005C3FF5"/>
    <w:rsid w:val="005C4077"/>
    <w:rsid w:val="005C424A"/>
    <w:rsid w:val="005C4421"/>
    <w:rsid w:val="005C4449"/>
    <w:rsid w:val="005C4474"/>
    <w:rsid w:val="005C45A6"/>
    <w:rsid w:val="005C46A8"/>
    <w:rsid w:val="005C483B"/>
    <w:rsid w:val="005C4A27"/>
    <w:rsid w:val="005C4A3F"/>
    <w:rsid w:val="005C4E29"/>
    <w:rsid w:val="005C54EC"/>
    <w:rsid w:val="005C5557"/>
    <w:rsid w:val="005C5717"/>
    <w:rsid w:val="005C5951"/>
    <w:rsid w:val="005C5DB0"/>
    <w:rsid w:val="005C5EF4"/>
    <w:rsid w:val="005C5F91"/>
    <w:rsid w:val="005C600B"/>
    <w:rsid w:val="005C6030"/>
    <w:rsid w:val="005C67C1"/>
    <w:rsid w:val="005C69C4"/>
    <w:rsid w:val="005C755E"/>
    <w:rsid w:val="005C75EA"/>
    <w:rsid w:val="005C7605"/>
    <w:rsid w:val="005C795E"/>
    <w:rsid w:val="005C7987"/>
    <w:rsid w:val="005C79A0"/>
    <w:rsid w:val="005C79A9"/>
    <w:rsid w:val="005C7A13"/>
    <w:rsid w:val="005C7D3E"/>
    <w:rsid w:val="005C7EA0"/>
    <w:rsid w:val="005D00E9"/>
    <w:rsid w:val="005D08E6"/>
    <w:rsid w:val="005D0BEE"/>
    <w:rsid w:val="005D0DFA"/>
    <w:rsid w:val="005D1163"/>
    <w:rsid w:val="005D1266"/>
    <w:rsid w:val="005D1327"/>
    <w:rsid w:val="005D15DF"/>
    <w:rsid w:val="005D168A"/>
    <w:rsid w:val="005D16C9"/>
    <w:rsid w:val="005D1852"/>
    <w:rsid w:val="005D1B3D"/>
    <w:rsid w:val="005D1B9A"/>
    <w:rsid w:val="005D1BFC"/>
    <w:rsid w:val="005D1C9A"/>
    <w:rsid w:val="005D1CBE"/>
    <w:rsid w:val="005D1EC1"/>
    <w:rsid w:val="005D236F"/>
    <w:rsid w:val="005D2A29"/>
    <w:rsid w:val="005D2AB3"/>
    <w:rsid w:val="005D319C"/>
    <w:rsid w:val="005D31C6"/>
    <w:rsid w:val="005D3497"/>
    <w:rsid w:val="005D35EB"/>
    <w:rsid w:val="005D389C"/>
    <w:rsid w:val="005D38F5"/>
    <w:rsid w:val="005D391F"/>
    <w:rsid w:val="005D3932"/>
    <w:rsid w:val="005D3A12"/>
    <w:rsid w:val="005D3A82"/>
    <w:rsid w:val="005D3AFB"/>
    <w:rsid w:val="005D4441"/>
    <w:rsid w:val="005D4484"/>
    <w:rsid w:val="005D44B0"/>
    <w:rsid w:val="005D44BF"/>
    <w:rsid w:val="005D4A27"/>
    <w:rsid w:val="005D4A55"/>
    <w:rsid w:val="005D4BAB"/>
    <w:rsid w:val="005D4CCC"/>
    <w:rsid w:val="005D4F49"/>
    <w:rsid w:val="005D5005"/>
    <w:rsid w:val="005D5019"/>
    <w:rsid w:val="005D510D"/>
    <w:rsid w:val="005D52D7"/>
    <w:rsid w:val="005D53FE"/>
    <w:rsid w:val="005D54CB"/>
    <w:rsid w:val="005D5A42"/>
    <w:rsid w:val="005D5A9D"/>
    <w:rsid w:val="005D5B50"/>
    <w:rsid w:val="005D5C00"/>
    <w:rsid w:val="005D5D14"/>
    <w:rsid w:val="005D5E62"/>
    <w:rsid w:val="005D5F0B"/>
    <w:rsid w:val="005D5FDB"/>
    <w:rsid w:val="005D663A"/>
    <w:rsid w:val="005D69C3"/>
    <w:rsid w:val="005D6AEA"/>
    <w:rsid w:val="005D6C02"/>
    <w:rsid w:val="005D6EB2"/>
    <w:rsid w:val="005D7049"/>
    <w:rsid w:val="005D77C2"/>
    <w:rsid w:val="005D7B2E"/>
    <w:rsid w:val="005D7F1F"/>
    <w:rsid w:val="005D7F3E"/>
    <w:rsid w:val="005E00C9"/>
    <w:rsid w:val="005E02A9"/>
    <w:rsid w:val="005E0877"/>
    <w:rsid w:val="005E0B22"/>
    <w:rsid w:val="005E0BBC"/>
    <w:rsid w:val="005E0CA0"/>
    <w:rsid w:val="005E0FA5"/>
    <w:rsid w:val="005E113F"/>
    <w:rsid w:val="005E1533"/>
    <w:rsid w:val="005E185B"/>
    <w:rsid w:val="005E19F1"/>
    <w:rsid w:val="005E1A6D"/>
    <w:rsid w:val="005E1AB8"/>
    <w:rsid w:val="005E1ADD"/>
    <w:rsid w:val="005E1DEC"/>
    <w:rsid w:val="005E1F47"/>
    <w:rsid w:val="005E2015"/>
    <w:rsid w:val="005E2314"/>
    <w:rsid w:val="005E2458"/>
    <w:rsid w:val="005E2817"/>
    <w:rsid w:val="005E2A16"/>
    <w:rsid w:val="005E2CE3"/>
    <w:rsid w:val="005E3475"/>
    <w:rsid w:val="005E359A"/>
    <w:rsid w:val="005E3BB5"/>
    <w:rsid w:val="005E3CA4"/>
    <w:rsid w:val="005E3DBC"/>
    <w:rsid w:val="005E4187"/>
    <w:rsid w:val="005E4388"/>
    <w:rsid w:val="005E47F4"/>
    <w:rsid w:val="005E49F1"/>
    <w:rsid w:val="005E4A04"/>
    <w:rsid w:val="005E4C2B"/>
    <w:rsid w:val="005E4E76"/>
    <w:rsid w:val="005E5244"/>
    <w:rsid w:val="005E5418"/>
    <w:rsid w:val="005E552D"/>
    <w:rsid w:val="005E5590"/>
    <w:rsid w:val="005E5821"/>
    <w:rsid w:val="005E5A5F"/>
    <w:rsid w:val="005E5D29"/>
    <w:rsid w:val="005E5EB6"/>
    <w:rsid w:val="005E629A"/>
    <w:rsid w:val="005E659C"/>
    <w:rsid w:val="005E6873"/>
    <w:rsid w:val="005E6A56"/>
    <w:rsid w:val="005E707E"/>
    <w:rsid w:val="005E71EA"/>
    <w:rsid w:val="005E7468"/>
    <w:rsid w:val="005E7728"/>
    <w:rsid w:val="005E78D7"/>
    <w:rsid w:val="005E79CD"/>
    <w:rsid w:val="005E7AD7"/>
    <w:rsid w:val="005E7B6D"/>
    <w:rsid w:val="005E7BB9"/>
    <w:rsid w:val="005E7E88"/>
    <w:rsid w:val="005F0018"/>
    <w:rsid w:val="005F008E"/>
    <w:rsid w:val="005F01E9"/>
    <w:rsid w:val="005F0713"/>
    <w:rsid w:val="005F0815"/>
    <w:rsid w:val="005F0B1A"/>
    <w:rsid w:val="005F0D43"/>
    <w:rsid w:val="005F0E19"/>
    <w:rsid w:val="005F0FDF"/>
    <w:rsid w:val="005F125A"/>
    <w:rsid w:val="005F183D"/>
    <w:rsid w:val="005F1BA0"/>
    <w:rsid w:val="005F1DCB"/>
    <w:rsid w:val="005F1F3A"/>
    <w:rsid w:val="005F2408"/>
    <w:rsid w:val="005F2653"/>
    <w:rsid w:val="005F26FB"/>
    <w:rsid w:val="005F299D"/>
    <w:rsid w:val="005F2C0E"/>
    <w:rsid w:val="005F2E1B"/>
    <w:rsid w:val="005F31A5"/>
    <w:rsid w:val="005F34EE"/>
    <w:rsid w:val="005F36D4"/>
    <w:rsid w:val="005F3C3B"/>
    <w:rsid w:val="005F3CD1"/>
    <w:rsid w:val="005F3DDA"/>
    <w:rsid w:val="005F3F0A"/>
    <w:rsid w:val="005F3FA1"/>
    <w:rsid w:val="005F4106"/>
    <w:rsid w:val="005F413A"/>
    <w:rsid w:val="005F4151"/>
    <w:rsid w:val="005F41B5"/>
    <w:rsid w:val="005F425E"/>
    <w:rsid w:val="005F4747"/>
    <w:rsid w:val="005F4768"/>
    <w:rsid w:val="005F4B64"/>
    <w:rsid w:val="005F4C6A"/>
    <w:rsid w:val="005F4EB9"/>
    <w:rsid w:val="005F53C4"/>
    <w:rsid w:val="005F55B6"/>
    <w:rsid w:val="005F5785"/>
    <w:rsid w:val="005F59E7"/>
    <w:rsid w:val="005F5A82"/>
    <w:rsid w:val="005F5CCF"/>
    <w:rsid w:val="005F6331"/>
    <w:rsid w:val="005F6793"/>
    <w:rsid w:val="005F6B13"/>
    <w:rsid w:val="005F6BEA"/>
    <w:rsid w:val="005F6C1C"/>
    <w:rsid w:val="005F6D32"/>
    <w:rsid w:val="005F7130"/>
    <w:rsid w:val="005F719E"/>
    <w:rsid w:val="005F7651"/>
    <w:rsid w:val="005F76ED"/>
    <w:rsid w:val="005F774B"/>
    <w:rsid w:val="005F790E"/>
    <w:rsid w:val="005F7CFF"/>
    <w:rsid w:val="005F7D38"/>
    <w:rsid w:val="006002A4"/>
    <w:rsid w:val="006002BE"/>
    <w:rsid w:val="006006DD"/>
    <w:rsid w:val="0060098C"/>
    <w:rsid w:val="006009B6"/>
    <w:rsid w:val="00601000"/>
    <w:rsid w:val="006011A8"/>
    <w:rsid w:val="0060129F"/>
    <w:rsid w:val="006012A6"/>
    <w:rsid w:val="00601606"/>
    <w:rsid w:val="00601659"/>
    <w:rsid w:val="0060174A"/>
    <w:rsid w:val="00601D0E"/>
    <w:rsid w:val="006021A4"/>
    <w:rsid w:val="00602285"/>
    <w:rsid w:val="0060228F"/>
    <w:rsid w:val="00602428"/>
    <w:rsid w:val="00602442"/>
    <w:rsid w:val="00602775"/>
    <w:rsid w:val="00602922"/>
    <w:rsid w:val="00602946"/>
    <w:rsid w:val="00602CC5"/>
    <w:rsid w:val="00602FB0"/>
    <w:rsid w:val="0060302C"/>
    <w:rsid w:val="00603674"/>
    <w:rsid w:val="00603814"/>
    <w:rsid w:val="00603A12"/>
    <w:rsid w:val="00603ADC"/>
    <w:rsid w:val="00603ECA"/>
    <w:rsid w:val="00604234"/>
    <w:rsid w:val="0060454A"/>
    <w:rsid w:val="006045A5"/>
    <w:rsid w:val="00604728"/>
    <w:rsid w:val="00604C6E"/>
    <w:rsid w:val="00604D18"/>
    <w:rsid w:val="00604DF8"/>
    <w:rsid w:val="00604EF1"/>
    <w:rsid w:val="0060514C"/>
    <w:rsid w:val="00605517"/>
    <w:rsid w:val="0060553B"/>
    <w:rsid w:val="00605FE6"/>
    <w:rsid w:val="0060687D"/>
    <w:rsid w:val="006068D3"/>
    <w:rsid w:val="00606993"/>
    <w:rsid w:val="00606A51"/>
    <w:rsid w:val="00606BD3"/>
    <w:rsid w:val="00606BE8"/>
    <w:rsid w:val="00606C21"/>
    <w:rsid w:val="00606CE1"/>
    <w:rsid w:val="00606ECD"/>
    <w:rsid w:val="00607025"/>
    <w:rsid w:val="006071DF"/>
    <w:rsid w:val="006072AC"/>
    <w:rsid w:val="0060788F"/>
    <w:rsid w:val="006078E7"/>
    <w:rsid w:val="006100A7"/>
    <w:rsid w:val="006100F1"/>
    <w:rsid w:val="006102AA"/>
    <w:rsid w:val="0061058B"/>
    <w:rsid w:val="00610601"/>
    <w:rsid w:val="006107EF"/>
    <w:rsid w:val="006108D9"/>
    <w:rsid w:val="00610BA4"/>
    <w:rsid w:val="00610F50"/>
    <w:rsid w:val="00611494"/>
    <w:rsid w:val="00611512"/>
    <w:rsid w:val="00611966"/>
    <w:rsid w:val="00611BD6"/>
    <w:rsid w:val="00611D4A"/>
    <w:rsid w:val="00612313"/>
    <w:rsid w:val="006123D5"/>
    <w:rsid w:val="006124BE"/>
    <w:rsid w:val="006129ED"/>
    <w:rsid w:val="00612A39"/>
    <w:rsid w:val="00612CF3"/>
    <w:rsid w:val="00612F98"/>
    <w:rsid w:val="00613074"/>
    <w:rsid w:val="00613133"/>
    <w:rsid w:val="0061334F"/>
    <w:rsid w:val="00613467"/>
    <w:rsid w:val="006138C7"/>
    <w:rsid w:val="00613CC3"/>
    <w:rsid w:val="00613CC5"/>
    <w:rsid w:val="00614004"/>
    <w:rsid w:val="006142A7"/>
    <w:rsid w:val="006142D6"/>
    <w:rsid w:val="0061453C"/>
    <w:rsid w:val="006145D5"/>
    <w:rsid w:val="006146BC"/>
    <w:rsid w:val="00614848"/>
    <w:rsid w:val="0061489F"/>
    <w:rsid w:val="00614B51"/>
    <w:rsid w:val="00614B6F"/>
    <w:rsid w:val="00614F63"/>
    <w:rsid w:val="0061516C"/>
    <w:rsid w:val="00615699"/>
    <w:rsid w:val="006157C4"/>
    <w:rsid w:val="00615AD6"/>
    <w:rsid w:val="00615FAE"/>
    <w:rsid w:val="00615FC9"/>
    <w:rsid w:val="00616063"/>
    <w:rsid w:val="00616306"/>
    <w:rsid w:val="00616580"/>
    <w:rsid w:val="006167CC"/>
    <w:rsid w:val="006168E3"/>
    <w:rsid w:val="00616ACE"/>
    <w:rsid w:val="00616CF8"/>
    <w:rsid w:val="00616D73"/>
    <w:rsid w:val="00616F83"/>
    <w:rsid w:val="00616F8E"/>
    <w:rsid w:val="00616FF3"/>
    <w:rsid w:val="00617354"/>
    <w:rsid w:val="006179AD"/>
    <w:rsid w:val="006179D9"/>
    <w:rsid w:val="00617D55"/>
    <w:rsid w:val="00617F2E"/>
    <w:rsid w:val="00620321"/>
    <w:rsid w:val="0062052E"/>
    <w:rsid w:val="00620639"/>
    <w:rsid w:val="006206AC"/>
    <w:rsid w:val="006207BF"/>
    <w:rsid w:val="00620B54"/>
    <w:rsid w:val="00621022"/>
    <w:rsid w:val="00621792"/>
    <w:rsid w:val="00621813"/>
    <w:rsid w:val="00621C03"/>
    <w:rsid w:val="00621CE4"/>
    <w:rsid w:val="00621DA0"/>
    <w:rsid w:val="006228FD"/>
    <w:rsid w:val="00622A26"/>
    <w:rsid w:val="00622C33"/>
    <w:rsid w:val="00622C55"/>
    <w:rsid w:val="00622D15"/>
    <w:rsid w:val="00622E0C"/>
    <w:rsid w:val="00622EA5"/>
    <w:rsid w:val="00622F12"/>
    <w:rsid w:val="006232AC"/>
    <w:rsid w:val="006233D1"/>
    <w:rsid w:val="00623575"/>
    <w:rsid w:val="00623595"/>
    <w:rsid w:val="006237FA"/>
    <w:rsid w:val="0062393E"/>
    <w:rsid w:val="00623A17"/>
    <w:rsid w:val="00623CE6"/>
    <w:rsid w:val="006241F5"/>
    <w:rsid w:val="0062449C"/>
    <w:rsid w:val="006246CC"/>
    <w:rsid w:val="0062494F"/>
    <w:rsid w:val="00624A0C"/>
    <w:rsid w:val="00624B20"/>
    <w:rsid w:val="00624B52"/>
    <w:rsid w:val="00624CA9"/>
    <w:rsid w:val="00624D84"/>
    <w:rsid w:val="006257AD"/>
    <w:rsid w:val="006257E4"/>
    <w:rsid w:val="0062585B"/>
    <w:rsid w:val="00625E70"/>
    <w:rsid w:val="00625ECE"/>
    <w:rsid w:val="006263AC"/>
    <w:rsid w:val="00626438"/>
    <w:rsid w:val="006266A4"/>
    <w:rsid w:val="00626824"/>
    <w:rsid w:val="00626B7D"/>
    <w:rsid w:val="00626E86"/>
    <w:rsid w:val="006270F8"/>
    <w:rsid w:val="0062726A"/>
    <w:rsid w:val="0062751B"/>
    <w:rsid w:val="00627525"/>
    <w:rsid w:val="00627545"/>
    <w:rsid w:val="0062755C"/>
    <w:rsid w:val="00627638"/>
    <w:rsid w:val="00630034"/>
    <w:rsid w:val="00630063"/>
    <w:rsid w:val="00630641"/>
    <w:rsid w:val="00630933"/>
    <w:rsid w:val="00630980"/>
    <w:rsid w:val="00630C82"/>
    <w:rsid w:val="006310C2"/>
    <w:rsid w:val="00631398"/>
    <w:rsid w:val="0063159E"/>
    <w:rsid w:val="00631BAC"/>
    <w:rsid w:val="00631CD0"/>
    <w:rsid w:val="00632239"/>
    <w:rsid w:val="006325C7"/>
    <w:rsid w:val="00632641"/>
    <w:rsid w:val="00633307"/>
    <w:rsid w:val="006338C1"/>
    <w:rsid w:val="00633C93"/>
    <w:rsid w:val="00633F89"/>
    <w:rsid w:val="00634046"/>
    <w:rsid w:val="006340B0"/>
    <w:rsid w:val="0063442B"/>
    <w:rsid w:val="00634B28"/>
    <w:rsid w:val="00634F2A"/>
    <w:rsid w:val="00635040"/>
    <w:rsid w:val="00635161"/>
    <w:rsid w:val="006353D6"/>
    <w:rsid w:val="006358E9"/>
    <w:rsid w:val="006358F3"/>
    <w:rsid w:val="00635CC8"/>
    <w:rsid w:val="00636089"/>
    <w:rsid w:val="00636176"/>
    <w:rsid w:val="00636246"/>
    <w:rsid w:val="0063661A"/>
    <w:rsid w:val="00636B1D"/>
    <w:rsid w:val="00636D3A"/>
    <w:rsid w:val="00636E13"/>
    <w:rsid w:val="00636E49"/>
    <w:rsid w:val="006370D8"/>
    <w:rsid w:val="00637293"/>
    <w:rsid w:val="0063776F"/>
    <w:rsid w:val="00637786"/>
    <w:rsid w:val="00637BA0"/>
    <w:rsid w:val="00637D24"/>
    <w:rsid w:val="00637DC1"/>
    <w:rsid w:val="0064050E"/>
    <w:rsid w:val="0064056E"/>
    <w:rsid w:val="0064080D"/>
    <w:rsid w:val="0064085A"/>
    <w:rsid w:val="0064095F"/>
    <w:rsid w:val="00640BD2"/>
    <w:rsid w:val="00640C68"/>
    <w:rsid w:val="00640D8E"/>
    <w:rsid w:val="00640F2A"/>
    <w:rsid w:val="00640F99"/>
    <w:rsid w:val="00641050"/>
    <w:rsid w:val="006412D7"/>
    <w:rsid w:val="006416D5"/>
    <w:rsid w:val="00641701"/>
    <w:rsid w:val="0064183A"/>
    <w:rsid w:val="00641998"/>
    <w:rsid w:val="00641C2E"/>
    <w:rsid w:val="00641CBB"/>
    <w:rsid w:val="00641E97"/>
    <w:rsid w:val="00641FEB"/>
    <w:rsid w:val="0064201B"/>
    <w:rsid w:val="006427FC"/>
    <w:rsid w:val="00642903"/>
    <w:rsid w:val="00642982"/>
    <w:rsid w:val="00642AB9"/>
    <w:rsid w:val="00642CF7"/>
    <w:rsid w:val="00642DA4"/>
    <w:rsid w:val="00642FC1"/>
    <w:rsid w:val="0064355E"/>
    <w:rsid w:val="00643646"/>
    <w:rsid w:val="0064370D"/>
    <w:rsid w:val="00643855"/>
    <w:rsid w:val="00643B4F"/>
    <w:rsid w:val="00643BA5"/>
    <w:rsid w:val="00644158"/>
    <w:rsid w:val="00644300"/>
    <w:rsid w:val="00644363"/>
    <w:rsid w:val="006445EA"/>
    <w:rsid w:val="006448DA"/>
    <w:rsid w:val="00644F02"/>
    <w:rsid w:val="00644FC6"/>
    <w:rsid w:val="00645244"/>
    <w:rsid w:val="006455FB"/>
    <w:rsid w:val="006458BA"/>
    <w:rsid w:val="006458C1"/>
    <w:rsid w:val="00645A85"/>
    <w:rsid w:val="00645D5D"/>
    <w:rsid w:val="0064608D"/>
    <w:rsid w:val="006462A9"/>
    <w:rsid w:val="0064632B"/>
    <w:rsid w:val="0064644C"/>
    <w:rsid w:val="006466A4"/>
    <w:rsid w:val="00646A19"/>
    <w:rsid w:val="00646A4A"/>
    <w:rsid w:val="00646AE2"/>
    <w:rsid w:val="00647E47"/>
    <w:rsid w:val="00647FC9"/>
    <w:rsid w:val="0065009B"/>
    <w:rsid w:val="00650225"/>
    <w:rsid w:val="0065031E"/>
    <w:rsid w:val="0065035B"/>
    <w:rsid w:val="006509E0"/>
    <w:rsid w:val="00650A18"/>
    <w:rsid w:val="00650B29"/>
    <w:rsid w:val="00650C17"/>
    <w:rsid w:val="006512B5"/>
    <w:rsid w:val="00651330"/>
    <w:rsid w:val="006514D6"/>
    <w:rsid w:val="006514DF"/>
    <w:rsid w:val="0065162D"/>
    <w:rsid w:val="00652197"/>
    <w:rsid w:val="006527DD"/>
    <w:rsid w:val="00652A4D"/>
    <w:rsid w:val="00652D56"/>
    <w:rsid w:val="0065326F"/>
    <w:rsid w:val="0065343C"/>
    <w:rsid w:val="0065345D"/>
    <w:rsid w:val="006534DF"/>
    <w:rsid w:val="00653715"/>
    <w:rsid w:val="00653885"/>
    <w:rsid w:val="0065389A"/>
    <w:rsid w:val="00653B15"/>
    <w:rsid w:val="00653C2A"/>
    <w:rsid w:val="00653FBB"/>
    <w:rsid w:val="00654133"/>
    <w:rsid w:val="0065424A"/>
    <w:rsid w:val="006546BF"/>
    <w:rsid w:val="0065475F"/>
    <w:rsid w:val="00654E9D"/>
    <w:rsid w:val="00655096"/>
    <w:rsid w:val="0065531C"/>
    <w:rsid w:val="00655725"/>
    <w:rsid w:val="006557C6"/>
    <w:rsid w:val="00655841"/>
    <w:rsid w:val="006558DB"/>
    <w:rsid w:val="00655947"/>
    <w:rsid w:val="006559C1"/>
    <w:rsid w:val="00655AB8"/>
    <w:rsid w:val="00655B8E"/>
    <w:rsid w:val="00655BD3"/>
    <w:rsid w:val="00655D78"/>
    <w:rsid w:val="006561F8"/>
    <w:rsid w:val="00656828"/>
    <w:rsid w:val="00656CD3"/>
    <w:rsid w:val="00656FA4"/>
    <w:rsid w:val="0065731F"/>
    <w:rsid w:val="006573DC"/>
    <w:rsid w:val="00657713"/>
    <w:rsid w:val="006578B0"/>
    <w:rsid w:val="00657D68"/>
    <w:rsid w:val="00657FCC"/>
    <w:rsid w:val="00660178"/>
    <w:rsid w:val="00660A09"/>
    <w:rsid w:val="00660EFC"/>
    <w:rsid w:val="00661034"/>
    <w:rsid w:val="0066113B"/>
    <w:rsid w:val="0066169C"/>
    <w:rsid w:val="00661D45"/>
    <w:rsid w:val="0066231F"/>
    <w:rsid w:val="0066233F"/>
    <w:rsid w:val="00662342"/>
    <w:rsid w:val="006627B1"/>
    <w:rsid w:val="00662950"/>
    <w:rsid w:val="00662A8D"/>
    <w:rsid w:val="00662AAD"/>
    <w:rsid w:val="00662CC8"/>
    <w:rsid w:val="00662D4E"/>
    <w:rsid w:val="0066311F"/>
    <w:rsid w:val="006636BE"/>
    <w:rsid w:val="00663766"/>
    <w:rsid w:val="006637CD"/>
    <w:rsid w:val="00663D20"/>
    <w:rsid w:val="00664006"/>
    <w:rsid w:val="00664270"/>
    <w:rsid w:val="006643A6"/>
    <w:rsid w:val="006644F6"/>
    <w:rsid w:val="00664892"/>
    <w:rsid w:val="00664A79"/>
    <w:rsid w:val="00665010"/>
    <w:rsid w:val="006650A5"/>
    <w:rsid w:val="00665332"/>
    <w:rsid w:val="0066533D"/>
    <w:rsid w:val="006653C6"/>
    <w:rsid w:val="006658EF"/>
    <w:rsid w:val="00665B3C"/>
    <w:rsid w:val="0066649E"/>
    <w:rsid w:val="00666609"/>
    <w:rsid w:val="00666686"/>
    <w:rsid w:val="00666A67"/>
    <w:rsid w:val="00666AE0"/>
    <w:rsid w:val="00666B8C"/>
    <w:rsid w:val="00666BC6"/>
    <w:rsid w:val="00666CA4"/>
    <w:rsid w:val="00666FB7"/>
    <w:rsid w:val="0066733F"/>
    <w:rsid w:val="00667C68"/>
    <w:rsid w:val="00667DE6"/>
    <w:rsid w:val="0067038D"/>
    <w:rsid w:val="006703EE"/>
    <w:rsid w:val="00670545"/>
    <w:rsid w:val="0067081A"/>
    <w:rsid w:val="006708F7"/>
    <w:rsid w:val="00670A7E"/>
    <w:rsid w:val="00670BF8"/>
    <w:rsid w:val="00670FA0"/>
    <w:rsid w:val="006712FF"/>
    <w:rsid w:val="0067145A"/>
    <w:rsid w:val="006717A5"/>
    <w:rsid w:val="006718B0"/>
    <w:rsid w:val="00671D90"/>
    <w:rsid w:val="00671F55"/>
    <w:rsid w:val="0067242B"/>
    <w:rsid w:val="006725E9"/>
    <w:rsid w:val="00672D0E"/>
    <w:rsid w:val="006733CE"/>
    <w:rsid w:val="006734B3"/>
    <w:rsid w:val="0067350C"/>
    <w:rsid w:val="0067362C"/>
    <w:rsid w:val="006737DD"/>
    <w:rsid w:val="00673C83"/>
    <w:rsid w:val="0067401D"/>
    <w:rsid w:val="0067440A"/>
    <w:rsid w:val="006746E7"/>
    <w:rsid w:val="00674BC6"/>
    <w:rsid w:val="00674DB1"/>
    <w:rsid w:val="006750EE"/>
    <w:rsid w:val="006754E7"/>
    <w:rsid w:val="00675603"/>
    <w:rsid w:val="00675670"/>
    <w:rsid w:val="0067584C"/>
    <w:rsid w:val="0067593D"/>
    <w:rsid w:val="00675A26"/>
    <w:rsid w:val="00675ACA"/>
    <w:rsid w:val="00675CF9"/>
    <w:rsid w:val="00676078"/>
    <w:rsid w:val="0067616E"/>
    <w:rsid w:val="00676431"/>
    <w:rsid w:val="00676993"/>
    <w:rsid w:val="00676BEC"/>
    <w:rsid w:val="00676CBA"/>
    <w:rsid w:val="00676E0E"/>
    <w:rsid w:val="00676E8F"/>
    <w:rsid w:val="006770D5"/>
    <w:rsid w:val="006771A0"/>
    <w:rsid w:val="00677421"/>
    <w:rsid w:val="00677457"/>
    <w:rsid w:val="0067764D"/>
    <w:rsid w:val="006776F9"/>
    <w:rsid w:val="00677A99"/>
    <w:rsid w:val="00677D45"/>
    <w:rsid w:val="00677D91"/>
    <w:rsid w:val="00677DBD"/>
    <w:rsid w:val="00677E87"/>
    <w:rsid w:val="00677F7D"/>
    <w:rsid w:val="00680111"/>
    <w:rsid w:val="00680143"/>
    <w:rsid w:val="006801D4"/>
    <w:rsid w:val="0068026A"/>
    <w:rsid w:val="006804E2"/>
    <w:rsid w:val="006806A4"/>
    <w:rsid w:val="00680C13"/>
    <w:rsid w:val="00681036"/>
    <w:rsid w:val="0068123B"/>
    <w:rsid w:val="0068138C"/>
    <w:rsid w:val="00681C84"/>
    <w:rsid w:val="00681CCE"/>
    <w:rsid w:val="00681D35"/>
    <w:rsid w:val="0068202A"/>
    <w:rsid w:val="006820A3"/>
    <w:rsid w:val="00682148"/>
    <w:rsid w:val="00682225"/>
    <w:rsid w:val="0068242E"/>
    <w:rsid w:val="006824D3"/>
    <w:rsid w:val="00682AD3"/>
    <w:rsid w:val="00682B24"/>
    <w:rsid w:val="00682C46"/>
    <w:rsid w:val="00683280"/>
    <w:rsid w:val="006835B5"/>
    <w:rsid w:val="00683694"/>
    <w:rsid w:val="0068387A"/>
    <w:rsid w:val="00683AD9"/>
    <w:rsid w:val="00683C79"/>
    <w:rsid w:val="00683CE6"/>
    <w:rsid w:val="006840C0"/>
    <w:rsid w:val="0068422C"/>
    <w:rsid w:val="0068426B"/>
    <w:rsid w:val="006843DF"/>
    <w:rsid w:val="006843FA"/>
    <w:rsid w:val="006844E0"/>
    <w:rsid w:val="006845E2"/>
    <w:rsid w:val="0068461C"/>
    <w:rsid w:val="00684725"/>
    <w:rsid w:val="0068476B"/>
    <w:rsid w:val="00684C07"/>
    <w:rsid w:val="00684CA8"/>
    <w:rsid w:val="00684CD5"/>
    <w:rsid w:val="00684D2D"/>
    <w:rsid w:val="00684F0C"/>
    <w:rsid w:val="0068545D"/>
    <w:rsid w:val="00685837"/>
    <w:rsid w:val="0068590B"/>
    <w:rsid w:val="00685C2D"/>
    <w:rsid w:val="00685C6F"/>
    <w:rsid w:val="00686116"/>
    <w:rsid w:val="00686529"/>
    <w:rsid w:val="0068662E"/>
    <w:rsid w:val="00686729"/>
    <w:rsid w:val="00686885"/>
    <w:rsid w:val="00686A4A"/>
    <w:rsid w:val="00686A6E"/>
    <w:rsid w:val="00686B94"/>
    <w:rsid w:val="00686DD0"/>
    <w:rsid w:val="00686DD5"/>
    <w:rsid w:val="006871E0"/>
    <w:rsid w:val="006878A1"/>
    <w:rsid w:val="00687BB5"/>
    <w:rsid w:val="00687D48"/>
    <w:rsid w:val="00690318"/>
    <w:rsid w:val="0069068F"/>
    <w:rsid w:val="0069097B"/>
    <w:rsid w:val="006909C2"/>
    <w:rsid w:val="00690A69"/>
    <w:rsid w:val="00690ADA"/>
    <w:rsid w:val="00690CA6"/>
    <w:rsid w:val="00690CFE"/>
    <w:rsid w:val="00690F16"/>
    <w:rsid w:val="00690FEA"/>
    <w:rsid w:val="00691179"/>
    <w:rsid w:val="006912BD"/>
    <w:rsid w:val="006913AE"/>
    <w:rsid w:val="006913F4"/>
    <w:rsid w:val="00691785"/>
    <w:rsid w:val="00691AD1"/>
    <w:rsid w:val="00691F13"/>
    <w:rsid w:val="006920EE"/>
    <w:rsid w:val="00692107"/>
    <w:rsid w:val="00692263"/>
    <w:rsid w:val="006922DA"/>
    <w:rsid w:val="0069245B"/>
    <w:rsid w:val="00692538"/>
    <w:rsid w:val="0069264C"/>
    <w:rsid w:val="00692791"/>
    <w:rsid w:val="0069281F"/>
    <w:rsid w:val="006929F0"/>
    <w:rsid w:val="00692B0C"/>
    <w:rsid w:val="00692D75"/>
    <w:rsid w:val="00692DE2"/>
    <w:rsid w:val="00692E01"/>
    <w:rsid w:val="00693022"/>
    <w:rsid w:val="00693757"/>
    <w:rsid w:val="00693871"/>
    <w:rsid w:val="006939A9"/>
    <w:rsid w:val="00693EBD"/>
    <w:rsid w:val="00693FF2"/>
    <w:rsid w:val="00694039"/>
    <w:rsid w:val="00694553"/>
    <w:rsid w:val="00694575"/>
    <w:rsid w:val="00694799"/>
    <w:rsid w:val="006947B9"/>
    <w:rsid w:val="00694859"/>
    <w:rsid w:val="00694899"/>
    <w:rsid w:val="00694948"/>
    <w:rsid w:val="00694A63"/>
    <w:rsid w:val="0069505D"/>
    <w:rsid w:val="006952C7"/>
    <w:rsid w:val="0069538A"/>
    <w:rsid w:val="00695416"/>
    <w:rsid w:val="006954BF"/>
    <w:rsid w:val="00695515"/>
    <w:rsid w:val="00695715"/>
    <w:rsid w:val="00695774"/>
    <w:rsid w:val="00695782"/>
    <w:rsid w:val="006959C0"/>
    <w:rsid w:val="00695B9D"/>
    <w:rsid w:val="00695E82"/>
    <w:rsid w:val="00695FE6"/>
    <w:rsid w:val="00696035"/>
    <w:rsid w:val="0069622F"/>
    <w:rsid w:val="006963C2"/>
    <w:rsid w:val="00696406"/>
    <w:rsid w:val="00696924"/>
    <w:rsid w:val="00696D85"/>
    <w:rsid w:val="006975ED"/>
    <w:rsid w:val="00697684"/>
    <w:rsid w:val="00697973"/>
    <w:rsid w:val="00697A9E"/>
    <w:rsid w:val="00697DF6"/>
    <w:rsid w:val="006A0016"/>
    <w:rsid w:val="006A01BB"/>
    <w:rsid w:val="006A0229"/>
    <w:rsid w:val="006A0B2C"/>
    <w:rsid w:val="006A0CE4"/>
    <w:rsid w:val="006A0DD9"/>
    <w:rsid w:val="006A12DF"/>
    <w:rsid w:val="006A1519"/>
    <w:rsid w:val="006A18B1"/>
    <w:rsid w:val="006A19F6"/>
    <w:rsid w:val="006A1A5D"/>
    <w:rsid w:val="006A1B1E"/>
    <w:rsid w:val="006A1CF1"/>
    <w:rsid w:val="006A1E18"/>
    <w:rsid w:val="006A229C"/>
    <w:rsid w:val="006A23DD"/>
    <w:rsid w:val="006A285F"/>
    <w:rsid w:val="006A2B99"/>
    <w:rsid w:val="006A2CBF"/>
    <w:rsid w:val="006A30D9"/>
    <w:rsid w:val="006A336E"/>
    <w:rsid w:val="006A3716"/>
    <w:rsid w:val="006A37BB"/>
    <w:rsid w:val="006A393C"/>
    <w:rsid w:val="006A3DA8"/>
    <w:rsid w:val="006A400A"/>
    <w:rsid w:val="006A40EB"/>
    <w:rsid w:val="006A41D2"/>
    <w:rsid w:val="006A4384"/>
    <w:rsid w:val="006A44B6"/>
    <w:rsid w:val="006A4514"/>
    <w:rsid w:val="006A4552"/>
    <w:rsid w:val="006A47B9"/>
    <w:rsid w:val="006A4964"/>
    <w:rsid w:val="006A4B11"/>
    <w:rsid w:val="006A4B19"/>
    <w:rsid w:val="006A4BA0"/>
    <w:rsid w:val="006A4D47"/>
    <w:rsid w:val="006A5132"/>
    <w:rsid w:val="006A5158"/>
    <w:rsid w:val="006A51F4"/>
    <w:rsid w:val="006A5266"/>
    <w:rsid w:val="006A52D8"/>
    <w:rsid w:val="006A557D"/>
    <w:rsid w:val="006A559E"/>
    <w:rsid w:val="006A5A43"/>
    <w:rsid w:val="006A5C97"/>
    <w:rsid w:val="006A5DAE"/>
    <w:rsid w:val="006A5FF4"/>
    <w:rsid w:val="006A6094"/>
    <w:rsid w:val="006A63BD"/>
    <w:rsid w:val="006A6C5D"/>
    <w:rsid w:val="006A6D10"/>
    <w:rsid w:val="006A6F0F"/>
    <w:rsid w:val="006A6F97"/>
    <w:rsid w:val="006A6FDC"/>
    <w:rsid w:val="006A7112"/>
    <w:rsid w:val="006A7151"/>
    <w:rsid w:val="006A7186"/>
    <w:rsid w:val="006A75C5"/>
    <w:rsid w:val="006A7737"/>
    <w:rsid w:val="006A7AFE"/>
    <w:rsid w:val="006A7E43"/>
    <w:rsid w:val="006A7E4A"/>
    <w:rsid w:val="006A7F00"/>
    <w:rsid w:val="006B0010"/>
    <w:rsid w:val="006B02B1"/>
    <w:rsid w:val="006B03F7"/>
    <w:rsid w:val="006B052B"/>
    <w:rsid w:val="006B0546"/>
    <w:rsid w:val="006B0750"/>
    <w:rsid w:val="006B07CF"/>
    <w:rsid w:val="006B08BE"/>
    <w:rsid w:val="006B0F5A"/>
    <w:rsid w:val="006B10F7"/>
    <w:rsid w:val="006B118E"/>
    <w:rsid w:val="006B11B1"/>
    <w:rsid w:val="006B12BC"/>
    <w:rsid w:val="006B15AA"/>
    <w:rsid w:val="006B1612"/>
    <w:rsid w:val="006B176A"/>
    <w:rsid w:val="006B1900"/>
    <w:rsid w:val="006B1D76"/>
    <w:rsid w:val="006B2316"/>
    <w:rsid w:val="006B2726"/>
    <w:rsid w:val="006B288B"/>
    <w:rsid w:val="006B28AA"/>
    <w:rsid w:val="006B2CF9"/>
    <w:rsid w:val="006B3006"/>
    <w:rsid w:val="006B306F"/>
    <w:rsid w:val="006B4201"/>
    <w:rsid w:val="006B429B"/>
    <w:rsid w:val="006B4790"/>
    <w:rsid w:val="006B4A2E"/>
    <w:rsid w:val="006B4A37"/>
    <w:rsid w:val="006B4B45"/>
    <w:rsid w:val="006B5280"/>
    <w:rsid w:val="006B52BF"/>
    <w:rsid w:val="006B5513"/>
    <w:rsid w:val="006B57F8"/>
    <w:rsid w:val="006B5807"/>
    <w:rsid w:val="006B58EA"/>
    <w:rsid w:val="006B5E69"/>
    <w:rsid w:val="006B5EFD"/>
    <w:rsid w:val="006B6284"/>
    <w:rsid w:val="006B639F"/>
    <w:rsid w:val="006B735D"/>
    <w:rsid w:val="006B744E"/>
    <w:rsid w:val="006B7B37"/>
    <w:rsid w:val="006B7B50"/>
    <w:rsid w:val="006B7BA3"/>
    <w:rsid w:val="006B7D2D"/>
    <w:rsid w:val="006B7E66"/>
    <w:rsid w:val="006B7F51"/>
    <w:rsid w:val="006C000C"/>
    <w:rsid w:val="006C02EE"/>
    <w:rsid w:val="006C0390"/>
    <w:rsid w:val="006C05F2"/>
    <w:rsid w:val="006C0668"/>
    <w:rsid w:val="006C0730"/>
    <w:rsid w:val="006C084C"/>
    <w:rsid w:val="006C093A"/>
    <w:rsid w:val="006C09DE"/>
    <w:rsid w:val="006C0D9B"/>
    <w:rsid w:val="006C11F7"/>
    <w:rsid w:val="006C1205"/>
    <w:rsid w:val="006C1505"/>
    <w:rsid w:val="006C1F25"/>
    <w:rsid w:val="006C204D"/>
    <w:rsid w:val="006C2633"/>
    <w:rsid w:val="006C268D"/>
    <w:rsid w:val="006C29B3"/>
    <w:rsid w:val="006C2B38"/>
    <w:rsid w:val="006C3186"/>
    <w:rsid w:val="006C3612"/>
    <w:rsid w:val="006C365E"/>
    <w:rsid w:val="006C3949"/>
    <w:rsid w:val="006C3A5D"/>
    <w:rsid w:val="006C3B78"/>
    <w:rsid w:val="006C3C8D"/>
    <w:rsid w:val="006C4001"/>
    <w:rsid w:val="006C4B33"/>
    <w:rsid w:val="006C5076"/>
    <w:rsid w:val="006C53CB"/>
    <w:rsid w:val="006C53E3"/>
    <w:rsid w:val="006C54EA"/>
    <w:rsid w:val="006C54FA"/>
    <w:rsid w:val="006C5686"/>
    <w:rsid w:val="006C5796"/>
    <w:rsid w:val="006C5C88"/>
    <w:rsid w:val="006C5F25"/>
    <w:rsid w:val="006C620C"/>
    <w:rsid w:val="006C62AF"/>
    <w:rsid w:val="006C634C"/>
    <w:rsid w:val="006C63D0"/>
    <w:rsid w:val="006C63E6"/>
    <w:rsid w:val="006C655F"/>
    <w:rsid w:val="006C6C66"/>
    <w:rsid w:val="006C6D39"/>
    <w:rsid w:val="006C7103"/>
    <w:rsid w:val="006C7143"/>
    <w:rsid w:val="006C71C4"/>
    <w:rsid w:val="006C760C"/>
    <w:rsid w:val="006C7615"/>
    <w:rsid w:val="006C76D6"/>
    <w:rsid w:val="006C76DF"/>
    <w:rsid w:val="006C781B"/>
    <w:rsid w:val="006C7C3C"/>
    <w:rsid w:val="006C7C58"/>
    <w:rsid w:val="006C7ED2"/>
    <w:rsid w:val="006D0013"/>
    <w:rsid w:val="006D0233"/>
    <w:rsid w:val="006D0555"/>
    <w:rsid w:val="006D0953"/>
    <w:rsid w:val="006D0E84"/>
    <w:rsid w:val="006D0F5B"/>
    <w:rsid w:val="006D1112"/>
    <w:rsid w:val="006D181C"/>
    <w:rsid w:val="006D18BA"/>
    <w:rsid w:val="006D1B3B"/>
    <w:rsid w:val="006D1D91"/>
    <w:rsid w:val="006D1DF2"/>
    <w:rsid w:val="006D1E83"/>
    <w:rsid w:val="006D20A1"/>
    <w:rsid w:val="006D2211"/>
    <w:rsid w:val="006D2618"/>
    <w:rsid w:val="006D262C"/>
    <w:rsid w:val="006D2686"/>
    <w:rsid w:val="006D271B"/>
    <w:rsid w:val="006D2820"/>
    <w:rsid w:val="006D2D63"/>
    <w:rsid w:val="006D31FC"/>
    <w:rsid w:val="006D3555"/>
    <w:rsid w:val="006D395F"/>
    <w:rsid w:val="006D3C0C"/>
    <w:rsid w:val="006D3C7A"/>
    <w:rsid w:val="006D3D20"/>
    <w:rsid w:val="006D41C0"/>
    <w:rsid w:val="006D4245"/>
    <w:rsid w:val="006D4322"/>
    <w:rsid w:val="006D47A6"/>
    <w:rsid w:val="006D4AB0"/>
    <w:rsid w:val="006D4AF0"/>
    <w:rsid w:val="006D4B89"/>
    <w:rsid w:val="006D4C50"/>
    <w:rsid w:val="006D4EFE"/>
    <w:rsid w:val="006D4FD8"/>
    <w:rsid w:val="006D50A3"/>
    <w:rsid w:val="006D50B6"/>
    <w:rsid w:val="006D549A"/>
    <w:rsid w:val="006D54B8"/>
    <w:rsid w:val="006D5664"/>
    <w:rsid w:val="006D56FB"/>
    <w:rsid w:val="006D5ACA"/>
    <w:rsid w:val="006D5D08"/>
    <w:rsid w:val="006D5ED1"/>
    <w:rsid w:val="006D611E"/>
    <w:rsid w:val="006D6505"/>
    <w:rsid w:val="006D6E48"/>
    <w:rsid w:val="006D6ECE"/>
    <w:rsid w:val="006D741A"/>
    <w:rsid w:val="006D7572"/>
    <w:rsid w:val="006D7663"/>
    <w:rsid w:val="006D76A3"/>
    <w:rsid w:val="006D7974"/>
    <w:rsid w:val="006D7A9F"/>
    <w:rsid w:val="006D7D8B"/>
    <w:rsid w:val="006D7DC6"/>
    <w:rsid w:val="006D7EDA"/>
    <w:rsid w:val="006E02A4"/>
    <w:rsid w:val="006E05CC"/>
    <w:rsid w:val="006E0DB3"/>
    <w:rsid w:val="006E0EFE"/>
    <w:rsid w:val="006E1014"/>
    <w:rsid w:val="006E1346"/>
    <w:rsid w:val="006E145A"/>
    <w:rsid w:val="006E1491"/>
    <w:rsid w:val="006E14E7"/>
    <w:rsid w:val="006E1A5F"/>
    <w:rsid w:val="006E1F78"/>
    <w:rsid w:val="006E2614"/>
    <w:rsid w:val="006E2625"/>
    <w:rsid w:val="006E26A2"/>
    <w:rsid w:val="006E2727"/>
    <w:rsid w:val="006E2CB1"/>
    <w:rsid w:val="006E2EB0"/>
    <w:rsid w:val="006E2FE6"/>
    <w:rsid w:val="006E3470"/>
    <w:rsid w:val="006E3526"/>
    <w:rsid w:val="006E36AC"/>
    <w:rsid w:val="006E3720"/>
    <w:rsid w:val="006E3973"/>
    <w:rsid w:val="006E39A8"/>
    <w:rsid w:val="006E446A"/>
    <w:rsid w:val="006E4A68"/>
    <w:rsid w:val="006E4ADA"/>
    <w:rsid w:val="006E4C9F"/>
    <w:rsid w:val="006E4D67"/>
    <w:rsid w:val="006E51C9"/>
    <w:rsid w:val="006E52EF"/>
    <w:rsid w:val="006E5A16"/>
    <w:rsid w:val="006E5FAD"/>
    <w:rsid w:val="006E64C4"/>
    <w:rsid w:val="006E6998"/>
    <w:rsid w:val="006E6A4E"/>
    <w:rsid w:val="006E6B71"/>
    <w:rsid w:val="006E6CC0"/>
    <w:rsid w:val="006E6EEE"/>
    <w:rsid w:val="006E6F0D"/>
    <w:rsid w:val="006E745E"/>
    <w:rsid w:val="006E759A"/>
    <w:rsid w:val="006E7B01"/>
    <w:rsid w:val="006E7C27"/>
    <w:rsid w:val="006E7C86"/>
    <w:rsid w:val="006E7D38"/>
    <w:rsid w:val="006E7FCB"/>
    <w:rsid w:val="006F0229"/>
    <w:rsid w:val="006F0319"/>
    <w:rsid w:val="006F0468"/>
    <w:rsid w:val="006F05A5"/>
    <w:rsid w:val="006F0627"/>
    <w:rsid w:val="006F071F"/>
    <w:rsid w:val="006F07B4"/>
    <w:rsid w:val="006F08F5"/>
    <w:rsid w:val="006F0ABF"/>
    <w:rsid w:val="006F0BC2"/>
    <w:rsid w:val="006F0C12"/>
    <w:rsid w:val="006F0C9B"/>
    <w:rsid w:val="006F173A"/>
    <w:rsid w:val="006F1870"/>
    <w:rsid w:val="006F1BD5"/>
    <w:rsid w:val="006F1C57"/>
    <w:rsid w:val="006F1EC8"/>
    <w:rsid w:val="006F2006"/>
    <w:rsid w:val="006F28E5"/>
    <w:rsid w:val="006F2AC9"/>
    <w:rsid w:val="006F2B97"/>
    <w:rsid w:val="006F2D78"/>
    <w:rsid w:val="006F2EBF"/>
    <w:rsid w:val="006F306D"/>
    <w:rsid w:val="006F3079"/>
    <w:rsid w:val="006F3656"/>
    <w:rsid w:val="006F37A6"/>
    <w:rsid w:val="006F384B"/>
    <w:rsid w:val="006F3E2E"/>
    <w:rsid w:val="006F3F60"/>
    <w:rsid w:val="006F4570"/>
    <w:rsid w:val="006F4911"/>
    <w:rsid w:val="006F49FA"/>
    <w:rsid w:val="006F4D48"/>
    <w:rsid w:val="006F4E3C"/>
    <w:rsid w:val="006F544D"/>
    <w:rsid w:val="006F5658"/>
    <w:rsid w:val="006F581D"/>
    <w:rsid w:val="006F5B71"/>
    <w:rsid w:val="006F5C35"/>
    <w:rsid w:val="006F5C7E"/>
    <w:rsid w:val="006F5DB4"/>
    <w:rsid w:val="006F6201"/>
    <w:rsid w:val="006F6499"/>
    <w:rsid w:val="006F6A26"/>
    <w:rsid w:val="006F6E87"/>
    <w:rsid w:val="006F6F1E"/>
    <w:rsid w:val="006F70BA"/>
    <w:rsid w:val="006F70E5"/>
    <w:rsid w:val="006F713B"/>
    <w:rsid w:val="006F7E35"/>
    <w:rsid w:val="00700188"/>
    <w:rsid w:val="007001C1"/>
    <w:rsid w:val="0070056B"/>
    <w:rsid w:val="00700651"/>
    <w:rsid w:val="0070096A"/>
    <w:rsid w:val="00700C50"/>
    <w:rsid w:val="00700D06"/>
    <w:rsid w:val="00700DFE"/>
    <w:rsid w:val="00700EA0"/>
    <w:rsid w:val="007010C8"/>
    <w:rsid w:val="00701153"/>
    <w:rsid w:val="0070143C"/>
    <w:rsid w:val="0070146A"/>
    <w:rsid w:val="0070147D"/>
    <w:rsid w:val="0070151E"/>
    <w:rsid w:val="00701693"/>
    <w:rsid w:val="007016CE"/>
    <w:rsid w:val="00701768"/>
    <w:rsid w:val="00701835"/>
    <w:rsid w:val="007019D7"/>
    <w:rsid w:val="00701BAC"/>
    <w:rsid w:val="007020C7"/>
    <w:rsid w:val="00702303"/>
    <w:rsid w:val="007024AC"/>
    <w:rsid w:val="007025F4"/>
    <w:rsid w:val="00702C0E"/>
    <w:rsid w:val="00702D79"/>
    <w:rsid w:val="00702F0D"/>
    <w:rsid w:val="0070320F"/>
    <w:rsid w:val="007033E3"/>
    <w:rsid w:val="00703A7E"/>
    <w:rsid w:val="00703BD7"/>
    <w:rsid w:val="00703F5F"/>
    <w:rsid w:val="0070435A"/>
    <w:rsid w:val="007047CB"/>
    <w:rsid w:val="00704828"/>
    <w:rsid w:val="007049A3"/>
    <w:rsid w:val="00704DC1"/>
    <w:rsid w:val="00704EB2"/>
    <w:rsid w:val="007052ED"/>
    <w:rsid w:val="0070561D"/>
    <w:rsid w:val="00705736"/>
    <w:rsid w:val="00705958"/>
    <w:rsid w:val="00705B54"/>
    <w:rsid w:val="00706765"/>
    <w:rsid w:val="007067FE"/>
    <w:rsid w:val="0070691E"/>
    <w:rsid w:val="00706C0A"/>
    <w:rsid w:val="00706CDD"/>
    <w:rsid w:val="00706DF1"/>
    <w:rsid w:val="00706F5A"/>
    <w:rsid w:val="007071A9"/>
    <w:rsid w:val="00707310"/>
    <w:rsid w:val="0070767E"/>
    <w:rsid w:val="007076DA"/>
    <w:rsid w:val="0070779E"/>
    <w:rsid w:val="00707CFC"/>
    <w:rsid w:val="00707FDC"/>
    <w:rsid w:val="00707FDD"/>
    <w:rsid w:val="007101C7"/>
    <w:rsid w:val="00710425"/>
    <w:rsid w:val="0071052C"/>
    <w:rsid w:val="0071081B"/>
    <w:rsid w:val="00710BA5"/>
    <w:rsid w:val="00710EE9"/>
    <w:rsid w:val="0071164D"/>
    <w:rsid w:val="00711AC2"/>
    <w:rsid w:val="0071293F"/>
    <w:rsid w:val="00712988"/>
    <w:rsid w:val="00712C42"/>
    <w:rsid w:val="00712D7E"/>
    <w:rsid w:val="00712E5A"/>
    <w:rsid w:val="00712EA7"/>
    <w:rsid w:val="0071350C"/>
    <w:rsid w:val="00713703"/>
    <w:rsid w:val="00713708"/>
    <w:rsid w:val="00713709"/>
    <w:rsid w:val="00713867"/>
    <w:rsid w:val="007138BD"/>
    <w:rsid w:val="0071398C"/>
    <w:rsid w:val="00713C69"/>
    <w:rsid w:val="0071408C"/>
    <w:rsid w:val="007143F6"/>
    <w:rsid w:val="007144C4"/>
    <w:rsid w:val="00714615"/>
    <w:rsid w:val="007147F7"/>
    <w:rsid w:val="00714916"/>
    <w:rsid w:val="00714C9B"/>
    <w:rsid w:val="00714D1A"/>
    <w:rsid w:val="00714D2F"/>
    <w:rsid w:val="00714DC2"/>
    <w:rsid w:val="00715024"/>
    <w:rsid w:val="007154F0"/>
    <w:rsid w:val="00715564"/>
    <w:rsid w:val="007155C1"/>
    <w:rsid w:val="00715732"/>
    <w:rsid w:val="0071599A"/>
    <w:rsid w:val="007159DA"/>
    <w:rsid w:val="00715CD4"/>
    <w:rsid w:val="00715CFA"/>
    <w:rsid w:val="00715E18"/>
    <w:rsid w:val="00715F2A"/>
    <w:rsid w:val="00716045"/>
    <w:rsid w:val="0071640D"/>
    <w:rsid w:val="00716605"/>
    <w:rsid w:val="00716872"/>
    <w:rsid w:val="00716B98"/>
    <w:rsid w:val="007173E3"/>
    <w:rsid w:val="0071744C"/>
    <w:rsid w:val="0071756E"/>
    <w:rsid w:val="007176E8"/>
    <w:rsid w:val="007177D3"/>
    <w:rsid w:val="007178C5"/>
    <w:rsid w:val="00720253"/>
    <w:rsid w:val="007202AC"/>
    <w:rsid w:val="00720499"/>
    <w:rsid w:val="0072074B"/>
    <w:rsid w:val="00720750"/>
    <w:rsid w:val="0072076E"/>
    <w:rsid w:val="0072077D"/>
    <w:rsid w:val="007207A8"/>
    <w:rsid w:val="007209F0"/>
    <w:rsid w:val="00720B05"/>
    <w:rsid w:val="00720BC9"/>
    <w:rsid w:val="00720F5C"/>
    <w:rsid w:val="0072100A"/>
    <w:rsid w:val="007210A1"/>
    <w:rsid w:val="007211E0"/>
    <w:rsid w:val="00721240"/>
    <w:rsid w:val="00721619"/>
    <w:rsid w:val="00721A50"/>
    <w:rsid w:val="00721BD6"/>
    <w:rsid w:val="00721D37"/>
    <w:rsid w:val="00721DC9"/>
    <w:rsid w:val="00721EF9"/>
    <w:rsid w:val="007226AA"/>
    <w:rsid w:val="007226BE"/>
    <w:rsid w:val="007229A3"/>
    <w:rsid w:val="00722E50"/>
    <w:rsid w:val="00722EFC"/>
    <w:rsid w:val="007230C5"/>
    <w:rsid w:val="0072311F"/>
    <w:rsid w:val="00723820"/>
    <w:rsid w:val="00723824"/>
    <w:rsid w:val="0072390A"/>
    <w:rsid w:val="00723A9B"/>
    <w:rsid w:val="00724056"/>
    <w:rsid w:val="00724186"/>
    <w:rsid w:val="00724227"/>
    <w:rsid w:val="00724514"/>
    <w:rsid w:val="0072455F"/>
    <w:rsid w:val="0072489C"/>
    <w:rsid w:val="0072497C"/>
    <w:rsid w:val="00724A4D"/>
    <w:rsid w:val="00724A84"/>
    <w:rsid w:val="00724C99"/>
    <w:rsid w:val="00724F1B"/>
    <w:rsid w:val="00725257"/>
    <w:rsid w:val="0072556E"/>
    <w:rsid w:val="007255A2"/>
    <w:rsid w:val="0072564C"/>
    <w:rsid w:val="00725809"/>
    <w:rsid w:val="007258FB"/>
    <w:rsid w:val="00725E8B"/>
    <w:rsid w:val="00726229"/>
    <w:rsid w:val="0072696E"/>
    <w:rsid w:val="00726AD6"/>
    <w:rsid w:val="00726D0E"/>
    <w:rsid w:val="00726DBB"/>
    <w:rsid w:val="0072700B"/>
    <w:rsid w:val="00727299"/>
    <w:rsid w:val="00727394"/>
    <w:rsid w:val="007273AD"/>
    <w:rsid w:val="0072760A"/>
    <w:rsid w:val="00727725"/>
    <w:rsid w:val="00727899"/>
    <w:rsid w:val="00727AEF"/>
    <w:rsid w:val="00727DE4"/>
    <w:rsid w:val="00727E20"/>
    <w:rsid w:val="00727F8E"/>
    <w:rsid w:val="00727FE4"/>
    <w:rsid w:val="007308A5"/>
    <w:rsid w:val="007308B6"/>
    <w:rsid w:val="00730948"/>
    <w:rsid w:val="00730B43"/>
    <w:rsid w:val="00730B49"/>
    <w:rsid w:val="00730B6D"/>
    <w:rsid w:val="00730C2A"/>
    <w:rsid w:val="00730D54"/>
    <w:rsid w:val="00730F54"/>
    <w:rsid w:val="007313DE"/>
    <w:rsid w:val="0073151C"/>
    <w:rsid w:val="007315AE"/>
    <w:rsid w:val="00731791"/>
    <w:rsid w:val="007318C1"/>
    <w:rsid w:val="00731997"/>
    <w:rsid w:val="007319EC"/>
    <w:rsid w:val="00731E85"/>
    <w:rsid w:val="00731FD5"/>
    <w:rsid w:val="00732157"/>
    <w:rsid w:val="0073230F"/>
    <w:rsid w:val="007323AE"/>
    <w:rsid w:val="00732484"/>
    <w:rsid w:val="00732611"/>
    <w:rsid w:val="007327DD"/>
    <w:rsid w:val="0073297A"/>
    <w:rsid w:val="007331AC"/>
    <w:rsid w:val="00733398"/>
    <w:rsid w:val="0073371B"/>
    <w:rsid w:val="007339CA"/>
    <w:rsid w:val="00733A2B"/>
    <w:rsid w:val="00733BCA"/>
    <w:rsid w:val="0073421B"/>
    <w:rsid w:val="00734236"/>
    <w:rsid w:val="007343F4"/>
    <w:rsid w:val="0073440C"/>
    <w:rsid w:val="0073479D"/>
    <w:rsid w:val="00734A31"/>
    <w:rsid w:val="00734B3C"/>
    <w:rsid w:val="0073510D"/>
    <w:rsid w:val="00735208"/>
    <w:rsid w:val="007352EF"/>
    <w:rsid w:val="00735685"/>
    <w:rsid w:val="0073580C"/>
    <w:rsid w:val="00735C06"/>
    <w:rsid w:val="00735D2D"/>
    <w:rsid w:val="00735FB3"/>
    <w:rsid w:val="007361CB"/>
    <w:rsid w:val="00736345"/>
    <w:rsid w:val="007366F6"/>
    <w:rsid w:val="00736971"/>
    <w:rsid w:val="00736D17"/>
    <w:rsid w:val="00736E5C"/>
    <w:rsid w:val="00736EE3"/>
    <w:rsid w:val="0073707D"/>
    <w:rsid w:val="0073718D"/>
    <w:rsid w:val="0073734C"/>
    <w:rsid w:val="00737887"/>
    <w:rsid w:val="00737904"/>
    <w:rsid w:val="00737A4F"/>
    <w:rsid w:val="00737A86"/>
    <w:rsid w:val="00737F85"/>
    <w:rsid w:val="0074052F"/>
    <w:rsid w:val="00740549"/>
    <w:rsid w:val="00740964"/>
    <w:rsid w:val="00740C27"/>
    <w:rsid w:val="00740E04"/>
    <w:rsid w:val="00740EB8"/>
    <w:rsid w:val="00740EE2"/>
    <w:rsid w:val="007411C4"/>
    <w:rsid w:val="007414D1"/>
    <w:rsid w:val="00741E13"/>
    <w:rsid w:val="00741F1A"/>
    <w:rsid w:val="00742575"/>
    <w:rsid w:val="00742E22"/>
    <w:rsid w:val="00743574"/>
    <w:rsid w:val="0074371A"/>
    <w:rsid w:val="00743727"/>
    <w:rsid w:val="00743A29"/>
    <w:rsid w:val="00743DBE"/>
    <w:rsid w:val="007445C1"/>
    <w:rsid w:val="007446F2"/>
    <w:rsid w:val="0074479A"/>
    <w:rsid w:val="0074485A"/>
    <w:rsid w:val="007448D9"/>
    <w:rsid w:val="00744BCB"/>
    <w:rsid w:val="00744D25"/>
    <w:rsid w:val="00744DF3"/>
    <w:rsid w:val="0074564A"/>
    <w:rsid w:val="007458FE"/>
    <w:rsid w:val="00746169"/>
    <w:rsid w:val="007464B0"/>
    <w:rsid w:val="00746D7A"/>
    <w:rsid w:val="00746EF9"/>
    <w:rsid w:val="007475E5"/>
    <w:rsid w:val="0074767D"/>
    <w:rsid w:val="007477B9"/>
    <w:rsid w:val="00747837"/>
    <w:rsid w:val="00747890"/>
    <w:rsid w:val="00747F62"/>
    <w:rsid w:val="00750136"/>
    <w:rsid w:val="00750895"/>
    <w:rsid w:val="00750B48"/>
    <w:rsid w:val="00750C20"/>
    <w:rsid w:val="00750C9A"/>
    <w:rsid w:val="00750D0F"/>
    <w:rsid w:val="00750F15"/>
    <w:rsid w:val="00750FA0"/>
    <w:rsid w:val="0075109E"/>
    <w:rsid w:val="00751448"/>
    <w:rsid w:val="00751495"/>
    <w:rsid w:val="0075161E"/>
    <w:rsid w:val="00751665"/>
    <w:rsid w:val="00751790"/>
    <w:rsid w:val="00751930"/>
    <w:rsid w:val="00751A55"/>
    <w:rsid w:val="00751BBC"/>
    <w:rsid w:val="00751F99"/>
    <w:rsid w:val="0075202E"/>
    <w:rsid w:val="007520DC"/>
    <w:rsid w:val="007522DD"/>
    <w:rsid w:val="00752338"/>
    <w:rsid w:val="00752394"/>
    <w:rsid w:val="007523FB"/>
    <w:rsid w:val="0075279A"/>
    <w:rsid w:val="00752821"/>
    <w:rsid w:val="00752A30"/>
    <w:rsid w:val="00753883"/>
    <w:rsid w:val="00753A52"/>
    <w:rsid w:val="00753B98"/>
    <w:rsid w:val="00753BC2"/>
    <w:rsid w:val="00753CDD"/>
    <w:rsid w:val="00753DEA"/>
    <w:rsid w:val="00753FB0"/>
    <w:rsid w:val="0075404C"/>
    <w:rsid w:val="007548D4"/>
    <w:rsid w:val="00754969"/>
    <w:rsid w:val="007550C3"/>
    <w:rsid w:val="00755980"/>
    <w:rsid w:val="00755AA5"/>
    <w:rsid w:val="00755ABA"/>
    <w:rsid w:val="00755C08"/>
    <w:rsid w:val="00755FD1"/>
    <w:rsid w:val="00756082"/>
    <w:rsid w:val="007563C2"/>
    <w:rsid w:val="00756734"/>
    <w:rsid w:val="00756744"/>
    <w:rsid w:val="00756752"/>
    <w:rsid w:val="007568A9"/>
    <w:rsid w:val="00756A12"/>
    <w:rsid w:val="00756A3E"/>
    <w:rsid w:val="00756B37"/>
    <w:rsid w:val="00756DAA"/>
    <w:rsid w:val="00756E29"/>
    <w:rsid w:val="00756E2B"/>
    <w:rsid w:val="00756E46"/>
    <w:rsid w:val="00756F28"/>
    <w:rsid w:val="00756F78"/>
    <w:rsid w:val="00757116"/>
    <w:rsid w:val="00757C28"/>
    <w:rsid w:val="00757CA0"/>
    <w:rsid w:val="00757E3C"/>
    <w:rsid w:val="00760421"/>
    <w:rsid w:val="0076044F"/>
    <w:rsid w:val="0076086B"/>
    <w:rsid w:val="00760B5F"/>
    <w:rsid w:val="0076113A"/>
    <w:rsid w:val="007613E6"/>
    <w:rsid w:val="00761400"/>
    <w:rsid w:val="00761B80"/>
    <w:rsid w:val="00761C26"/>
    <w:rsid w:val="00761C66"/>
    <w:rsid w:val="0076205F"/>
    <w:rsid w:val="00762121"/>
    <w:rsid w:val="00762255"/>
    <w:rsid w:val="007624EA"/>
    <w:rsid w:val="007625F0"/>
    <w:rsid w:val="00762622"/>
    <w:rsid w:val="00762B9D"/>
    <w:rsid w:val="00762C6B"/>
    <w:rsid w:val="00762C6E"/>
    <w:rsid w:val="00762CCE"/>
    <w:rsid w:val="00762E73"/>
    <w:rsid w:val="007631C9"/>
    <w:rsid w:val="00763422"/>
    <w:rsid w:val="00763520"/>
    <w:rsid w:val="007635D8"/>
    <w:rsid w:val="00763937"/>
    <w:rsid w:val="00763F17"/>
    <w:rsid w:val="0076437B"/>
    <w:rsid w:val="00764740"/>
    <w:rsid w:val="007648B9"/>
    <w:rsid w:val="00764BAB"/>
    <w:rsid w:val="00764BD8"/>
    <w:rsid w:val="00764E3E"/>
    <w:rsid w:val="00764E55"/>
    <w:rsid w:val="00764F06"/>
    <w:rsid w:val="00765336"/>
    <w:rsid w:val="00765345"/>
    <w:rsid w:val="00765413"/>
    <w:rsid w:val="0076549C"/>
    <w:rsid w:val="00765BE7"/>
    <w:rsid w:val="00765F87"/>
    <w:rsid w:val="00766CD4"/>
    <w:rsid w:val="007672F9"/>
    <w:rsid w:val="00767449"/>
    <w:rsid w:val="0076779D"/>
    <w:rsid w:val="00767888"/>
    <w:rsid w:val="00767BAB"/>
    <w:rsid w:val="00767DDE"/>
    <w:rsid w:val="00770018"/>
    <w:rsid w:val="00770087"/>
    <w:rsid w:val="00770355"/>
    <w:rsid w:val="007706E3"/>
    <w:rsid w:val="0077086A"/>
    <w:rsid w:val="007708C0"/>
    <w:rsid w:val="00770CE5"/>
    <w:rsid w:val="00771245"/>
    <w:rsid w:val="00771521"/>
    <w:rsid w:val="007718F6"/>
    <w:rsid w:val="00771CA9"/>
    <w:rsid w:val="00771D5A"/>
    <w:rsid w:val="007721EC"/>
    <w:rsid w:val="0077228B"/>
    <w:rsid w:val="0077231D"/>
    <w:rsid w:val="007724F9"/>
    <w:rsid w:val="0077291C"/>
    <w:rsid w:val="00772E4E"/>
    <w:rsid w:val="00773272"/>
    <w:rsid w:val="00773289"/>
    <w:rsid w:val="007732E7"/>
    <w:rsid w:val="0077332F"/>
    <w:rsid w:val="00773762"/>
    <w:rsid w:val="00773841"/>
    <w:rsid w:val="007739ED"/>
    <w:rsid w:val="00773B82"/>
    <w:rsid w:val="00773C76"/>
    <w:rsid w:val="00773C94"/>
    <w:rsid w:val="007742D4"/>
    <w:rsid w:val="0077441B"/>
    <w:rsid w:val="007746D4"/>
    <w:rsid w:val="00774707"/>
    <w:rsid w:val="00774B70"/>
    <w:rsid w:val="00774BF1"/>
    <w:rsid w:val="00774C7D"/>
    <w:rsid w:val="00774CAB"/>
    <w:rsid w:val="00774D8B"/>
    <w:rsid w:val="00774FA2"/>
    <w:rsid w:val="00775103"/>
    <w:rsid w:val="0077522E"/>
    <w:rsid w:val="0077524C"/>
    <w:rsid w:val="007752A9"/>
    <w:rsid w:val="00775444"/>
    <w:rsid w:val="00775C21"/>
    <w:rsid w:val="00775E63"/>
    <w:rsid w:val="0077617E"/>
    <w:rsid w:val="00776340"/>
    <w:rsid w:val="0077679D"/>
    <w:rsid w:val="00776CF6"/>
    <w:rsid w:val="00776D9E"/>
    <w:rsid w:val="00777248"/>
    <w:rsid w:val="0077725E"/>
    <w:rsid w:val="007775D9"/>
    <w:rsid w:val="007778B8"/>
    <w:rsid w:val="007779DA"/>
    <w:rsid w:val="00777A93"/>
    <w:rsid w:val="00780EF2"/>
    <w:rsid w:val="00780F16"/>
    <w:rsid w:val="00781394"/>
    <w:rsid w:val="007817A6"/>
    <w:rsid w:val="0078198F"/>
    <w:rsid w:val="00782328"/>
    <w:rsid w:val="00782560"/>
    <w:rsid w:val="00782A7A"/>
    <w:rsid w:val="00782B2D"/>
    <w:rsid w:val="00782CC9"/>
    <w:rsid w:val="00782E4D"/>
    <w:rsid w:val="007835AD"/>
    <w:rsid w:val="0078386C"/>
    <w:rsid w:val="00783A7E"/>
    <w:rsid w:val="00783B3A"/>
    <w:rsid w:val="00783C43"/>
    <w:rsid w:val="00783C82"/>
    <w:rsid w:val="00783EFD"/>
    <w:rsid w:val="007840E2"/>
    <w:rsid w:val="00784472"/>
    <w:rsid w:val="007844F4"/>
    <w:rsid w:val="00784853"/>
    <w:rsid w:val="00784C78"/>
    <w:rsid w:val="00784DE7"/>
    <w:rsid w:val="00784E53"/>
    <w:rsid w:val="00784EDC"/>
    <w:rsid w:val="0078535B"/>
    <w:rsid w:val="00785366"/>
    <w:rsid w:val="00785420"/>
    <w:rsid w:val="00785998"/>
    <w:rsid w:val="00785D6D"/>
    <w:rsid w:val="00785ED0"/>
    <w:rsid w:val="00785FA1"/>
    <w:rsid w:val="00786045"/>
    <w:rsid w:val="00786075"/>
    <w:rsid w:val="00786090"/>
    <w:rsid w:val="00786491"/>
    <w:rsid w:val="007864FB"/>
    <w:rsid w:val="00786A1B"/>
    <w:rsid w:val="00786CCB"/>
    <w:rsid w:val="00786CD6"/>
    <w:rsid w:val="007870F7"/>
    <w:rsid w:val="007871E0"/>
    <w:rsid w:val="00787248"/>
    <w:rsid w:val="00787360"/>
    <w:rsid w:val="0078748C"/>
    <w:rsid w:val="007874B0"/>
    <w:rsid w:val="007874D6"/>
    <w:rsid w:val="007877E7"/>
    <w:rsid w:val="00787899"/>
    <w:rsid w:val="007878BF"/>
    <w:rsid w:val="007878F1"/>
    <w:rsid w:val="007879CE"/>
    <w:rsid w:val="00787A83"/>
    <w:rsid w:val="00787DC8"/>
    <w:rsid w:val="0079016E"/>
    <w:rsid w:val="007903C4"/>
    <w:rsid w:val="0079083B"/>
    <w:rsid w:val="0079088A"/>
    <w:rsid w:val="00790952"/>
    <w:rsid w:val="00790B39"/>
    <w:rsid w:val="00790F56"/>
    <w:rsid w:val="00790FB1"/>
    <w:rsid w:val="00790FC7"/>
    <w:rsid w:val="0079159F"/>
    <w:rsid w:val="00791CD9"/>
    <w:rsid w:val="00791E67"/>
    <w:rsid w:val="00792059"/>
    <w:rsid w:val="007920CC"/>
    <w:rsid w:val="0079240C"/>
    <w:rsid w:val="00792486"/>
    <w:rsid w:val="007924BB"/>
    <w:rsid w:val="007925C6"/>
    <w:rsid w:val="00792D31"/>
    <w:rsid w:val="00792DBB"/>
    <w:rsid w:val="007931C1"/>
    <w:rsid w:val="0079338F"/>
    <w:rsid w:val="007935A5"/>
    <w:rsid w:val="00793A74"/>
    <w:rsid w:val="00794245"/>
    <w:rsid w:val="007943B8"/>
    <w:rsid w:val="00794702"/>
    <w:rsid w:val="00794CA8"/>
    <w:rsid w:val="00794CF4"/>
    <w:rsid w:val="00794F11"/>
    <w:rsid w:val="00794F12"/>
    <w:rsid w:val="0079515A"/>
    <w:rsid w:val="00795542"/>
    <w:rsid w:val="007956E3"/>
    <w:rsid w:val="00795712"/>
    <w:rsid w:val="007957F2"/>
    <w:rsid w:val="007959E1"/>
    <w:rsid w:val="007959FC"/>
    <w:rsid w:val="00795AE6"/>
    <w:rsid w:val="007960C3"/>
    <w:rsid w:val="007963ED"/>
    <w:rsid w:val="007964D9"/>
    <w:rsid w:val="00796830"/>
    <w:rsid w:val="007969F1"/>
    <w:rsid w:val="007970AA"/>
    <w:rsid w:val="007970DF"/>
    <w:rsid w:val="007971D8"/>
    <w:rsid w:val="0079730E"/>
    <w:rsid w:val="007973B3"/>
    <w:rsid w:val="007974AA"/>
    <w:rsid w:val="007975FF"/>
    <w:rsid w:val="00797D80"/>
    <w:rsid w:val="00797E6A"/>
    <w:rsid w:val="007A0457"/>
    <w:rsid w:val="007A0483"/>
    <w:rsid w:val="007A057B"/>
    <w:rsid w:val="007A05DE"/>
    <w:rsid w:val="007A075D"/>
    <w:rsid w:val="007A0AA3"/>
    <w:rsid w:val="007A119A"/>
    <w:rsid w:val="007A15AE"/>
    <w:rsid w:val="007A15B1"/>
    <w:rsid w:val="007A1633"/>
    <w:rsid w:val="007A173D"/>
    <w:rsid w:val="007A17BA"/>
    <w:rsid w:val="007A1A25"/>
    <w:rsid w:val="007A1B1D"/>
    <w:rsid w:val="007A1E03"/>
    <w:rsid w:val="007A1E35"/>
    <w:rsid w:val="007A1E5F"/>
    <w:rsid w:val="007A2091"/>
    <w:rsid w:val="007A2310"/>
    <w:rsid w:val="007A2607"/>
    <w:rsid w:val="007A296A"/>
    <w:rsid w:val="007A2E05"/>
    <w:rsid w:val="007A2EF2"/>
    <w:rsid w:val="007A301F"/>
    <w:rsid w:val="007A307F"/>
    <w:rsid w:val="007A36F2"/>
    <w:rsid w:val="007A3717"/>
    <w:rsid w:val="007A37BB"/>
    <w:rsid w:val="007A3897"/>
    <w:rsid w:val="007A3950"/>
    <w:rsid w:val="007A3C09"/>
    <w:rsid w:val="007A42E7"/>
    <w:rsid w:val="007A4692"/>
    <w:rsid w:val="007A4F9C"/>
    <w:rsid w:val="007A54B1"/>
    <w:rsid w:val="007A59FE"/>
    <w:rsid w:val="007A5BE0"/>
    <w:rsid w:val="007A5D83"/>
    <w:rsid w:val="007A5F1C"/>
    <w:rsid w:val="007A6047"/>
    <w:rsid w:val="007A61E6"/>
    <w:rsid w:val="007A62E9"/>
    <w:rsid w:val="007A646B"/>
    <w:rsid w:val="007A6650"/>
    <w:rsid w:val="007A6AD3"/>
    <w:rsid w:val="007A6AE1"/>
    <w:rsid w:val="007A6C16"/>
    <w:rsid w:val="007A6D81"/>
    <w:rsid w:val="007A6E33"/>
    <w:rsid w:val="007A7026"/>
    <w:rsid w:val="007A70DC"/>
    <w:rsid w:val="007A7177"/>
    <w:rsid w:val="007A7268"/>
    <w:rsid w:val="007A72DA"/>
    <w:rsid w:val="007A7462"/>
    <w:rsid w:val="007A78A3"/>
    <w:rsid w:val="007A7963"/>
    <w:rsid w:val="007A7AB5"/>
    <w:rsid w:val="007A7BBB"/>
    <w:rsid w:val="007A7BED"/>
    <w:rsid w:val="007A7C32"/>
    <w:rsid w:val="007A7D9D"/>
    <w:rsid w:val="007A7E7F"/>
    <w:rsid w:val="007B011E"/>
    <w:rsid w:val="007B01C8"/>
    <w:rsid w:val="007B05FB"/>
    <w:rsid w:val="007B093A"/>
    <w:rsid w:val="007B0A93"/>
    <w:rsid w:val="007B0B08"/>
    <w:rsid w:val="007B0B0A"/>
    <w:rsid w:val="007B0E11"/>
    <w:rsid w:val="007B1194"/>
    <w:rsid w:val="007B15E6"/>
    <w:rsid w:val="007B15FA"/>
    <w:rsid w:val="007B16B9"/>
    <w:rsid w:val="007B192F"/>
    <w:rsid w:val="007B1971"/>
    <w:rsid w:val="007B1C0D"/>
    <w:rsid w:val="007B202C"/>
    <w:rsid w:val="007B2382"/>
    <w:rsid w:val="007B244F"/>
    <w:rsid w:val="007B2765"/>
    <w:rsid w:val="007B2AB5"/>
    <w:rsid w:val="007B2BC0"/>
    <w:rsid w:val="007B2E49"/>
    <w:rsid w:val="007B30FA"/>
    <w:rsid w:val="007B31B8"/>
    <w:rsid w:val="007B3370"/>
    <w:rsid w:val="007B34FE"/>
    <w:rsid w:val="007B361D"/>
    <w:rsid w:val="007B3873"/>
    <w:rsid w:val="007B3AA4"/>
    <w:rsid w:val="007B3E76"/>
    <w:rsid w:val="007B3F7D"/>
    <w:rsid w:val="007B4619"/>
    <w:rsid w:val="007B46D5"/>
    <w:rsid w:val="007B47D0"/>
    <w:rsid w:val="007B4D01"/>
    <w:rsid w:val="007B4DDC"/>
    <w:rsid w:val="007B4DF4"/>
    <w:rsid w:val="007B4EDF"/>
    <w:rsid w:val="007B4F27"/>
    <w:rsid w:val="007B5609"/>
    <w:rsid w:val="007B5773"/>
    <w:rsid w:val="007B5AA2"/>
    <w:rsid w:val="007B617B"/>
    <w:rsid w:val="007B619E"/>
    <w:rsid w:val="007B61B8"/>
    <w:rsid w:val="007B68AA"/>
    <w:rsid w:val="007B69BB"/>
    <w:rsid w:val="007B6A7B"/>
    <w:rsid w:val="007B6E10"/>
    <w:rsid w:val="007B6F37"/>
    <w:rsid w:val="007B7155"/>
    <w:rsid w:val="007B718D"/>
    <w:rsid w:val="007B71A1"/>
    <w:rsid w:val="007B7211"/>
    <w:rsid w:val="007B75DF"/>
    <w:rsid w:val="007B7755"/>
    <w:rsid w:val="007B782B"/>
    <w:rsid w:val="007B7ACA"/>
    <w:rsid w:val="007C0763"/>
    <w:rsid w:val="007C0CFA"/>
    <w:rsid w:val="007C0E13"/>
    <w:rsid w:val="007C0F1F"/>
    <w:rsid w:val="007C0F3A"/>
    <w:rsid w:val="007C15E5"/>
    <w:rsid w:val="007C1823"/>
    <w:rsid w:val="007C182A"/>
    <w:rsid w:val="007C1848"/>
    <w:rsid w:val="007C1A92"/>
    <w:rsid w:val="007C1C4A"/>
    <w:rsid w:val="007C1F67"/>
    <w:rsid w:val="007C1F73"/>
    <w:rsid w:val="007C1FC8"/>
    <w:rsid w:val="007C2504"/>
    <w:rsid w:val="007C25E8"/>
    <w:rsid w:val="007C293F"/>
    <w:rsid w:val="007C295F"/>
    <w:rsid w:val="007C2A7F"/>
    <w:rsid w:val="007C2AF6"/>
    <w:rsid w:val="007C2BC3"/>
    <w:rsid w:val="007C2FDC"/>
    <w:rsid w:val="007C3045"/>
    <w:rsid w:val="007C3551"/>
    <w:rsid w:val="007C36CC"/>
    <w:rsid w:val="007C3740"/>
    <w:rsid w:val="007C383C"/>
    <w:rsid w:val="007C3A36"/>
    <w:rsid w:val="007C3C84"/>
    <w:rsid w:val="007C3F0E"/>
    <w:rsid w:val="007C42F1"/>
    <w:rsid w:val="007C4796"/>
    <w:rsid w:val="007C47A1"/>
    <w:rsid w:val="007C48E5"/>
    <w:rsid w:val="007C4934"/>
    <w:rsid w:val="007C4CE3"/>
    <w:rsid w:val="007C4F7D"/>
    <w:rsid w:val="007C4F85"/>
    <w:rsid w:val="007C5014"/>
    <w:rsid w:val="007C5335"/>
    <w:rsid w:val="007C53BA"/>
    <w:rsid w:val="007C543C"/>
    <w:rsid w:val="007C55A9"/>
    <w:rsid w:val="007C55E4"/>
    <w:rsid w:val="007C57AC"/>
    <w:rsid w:val="007C65BD"/>
    <w:rsid w:val="007C6B6E"/>
    <w:rsid w:val="007C7422"/>
    <w:rsid w:val="007C74AA"/>
    <w:rsid w:val="007C770C"/>
    <w:rsid w:val="007C79BD"/>
    <w:rsid w:val="007C7CC5"/>
    <w:rsid w:val="007C7D46"/>
    <w:rsid w:val="007C7DF0"/>
    <w:rsid w:val="007C7E00"/>
    <w:rsid w:val="007C7E26"/>
    <w:rsid w:val="007C7EBF"/>
    <w:rsid w:val="007D038B"/>
    <w:rsid w:val="007D0479"/>
    <w:rsid w:val="007D08F8"/>
    <w:rsid w:val="007D09BC"/>
    <w:rsid w:val="007D0D94"/>
    <w:rsid w:val="007D1108"/>
    <w:rsid w:val="007D13BB"/>
    <w:rsid w:val="007D15BB"/>
    <w:rsid w:val="007D1909"/>
    <w:rsid w:val="007D1977"/>
    <w:rsid w:val="007D1A6E"/>
    <w:rsid w:val="007D25CB"/>
    <w:rsid w:val="007D2A45"/>
    <w:rsid w:val="007D2C1C"/>
    <w:rsid w:val="007D2C35"/>
    <w:rsid w:val="007D2CA1"/>
    <w:rsid w:val="007D2CDA"/>
    <w:rsid w:val="007D30B3"/>
    <w:rsid w:val="007D327C"/>
    <w:rsid w:val="007D361B"/>
    <w:rsid w:val="007D3A63"/>
    <w:rsid w:val="007D3C0F"/>
    <w:rsid w:val="007D3CDD"/>
    <w:rsid w:val="007D3FAA"/>
    <w:rsid w:val="007D4119"/>
    <w:rsid w:val="007D412D"/>
    <w:rsid w:val="007D4310"/>
    <w:rsid w:val="007D4343"/>
    <w:rsid w:val="007D460B"/>
    <w:rsid w:val="007D47A4"/>
    <w:rsid w:val="007D487F"/>
    <w:rsid w:val="007D489A"/>
    <w:rsid w:val="007D504F"/>
    <w:rsid w:val="007D50A4"/>
    <w:rsid w:val="007D518B"/>
    <w:rsid w:val="007D5384"/>
    <w:rsid w:val="007D5454"/>
    <w:rsid w:val="007D5631"/>
    <w:rsid w:val="007D585B"/>
    <w:rsid w:val="007D5B66"/>
    <w:rsid w:val="007D5C64"/>
    <w:rsid w:val="007D5CC2"/>
    <w:rsid w:val="007D5E01"/>
    <w:rsid w:val="007D5EA5"/>
    <w:rsid w:val="007D5F35"/>
    <w:rsid w:val="007D5FDC"/>
    <w:rsid w:val="007D6097"/>
    <w:rsid w:val="007D60B2"/>
    <w:rsid w:val="007D62A1"/>
    <w:rsid w:val="007D64DC"/>
    <w:rsid w:val="007D64E3"/>
    <w:rsid w:val="007D668F"/>
    <w:rsid w:val="007D6AE7"/>
    <w:rsid w:val="007D6D8D"/>
    <w:rsid w:val="007D6F2A"/>
    <w:rsid w:val="007D7342"/>
    <w:rsid w:val="007D7616"/>
    <w:rsid w:val="007D7727"/>
    <w:rsid w:val="007D7AFB"/>
    <w:rsid w:val="007D7E25"/>
    <w:rsid w:val="007E0038"/>
    <w:rsid w:val="007E0065"/>
    <w:rsid w:val="007E017F"/>
    <w:rsid w:val="007E01D1"/>
    <w:rsid w:val="007E07CD"/>
    <w:rsid w:val="007E0986"/>
    <w:rsid w:val="007E09A6"/>
    <w:rsid w:val="007E0C5F"/>
    <w:rsid w:val="007E0D01"/>
    <w:rsid w:val="007E11E3"/>
    <w:rsid w:val="007E12CF"/>
    <w:rsid w:val="007E1324"/>
    <w:rsid w:val="007E14CE"/>
    <w:rsid w:val="007E15BF"/>
    <w:rsid w:val="007E15D2"/>
    <w:rsid w:val="007E1721"/>
    <w:rsid w:val="007E1BFE"/>
    <w:rsid w:val="007E1CBC"/>
    <w:rsid w:val="007E1CD6"/>
    <w:rsid w:val="007E1D04"/>
    <w:rsid w:val="007E224A"/>
    <w:rsid w:val="007E24B6"/>
    <w:rsid w:val="007E25E5"/>
    <w:rsid w:val="007E2823"/>
    <w:rsid w:val="007E2FEF"/>
    <w:rsid w:val="007E3263"/>
    <w:rsid w:val="007E342A"/>
    <w:rsid w:val="007E3540"/>
    <w:rsid w:val="007E35FB"/>
    <w:rsid w:val="007E3729"/>
    <w:rsid w:val="007E395F"/>
    <w:rsid w:val="007E3CF0"/>
    <w:rsid w:val="007E4118"/>
    <w:rsid w:val="007E43C6"/>
    <w:rsid w:val="007E478A"/>
    <w:rsid w:val="007E4898"/>
    <w:rsid w:val="007E4B37"/>
    <w:rsid w:val="007E5261"/>
    <w:rsid w:val="007E5321"/>
    <w:rsid w:val="007E5991"/>
    <w:rsid w:val="007E59F0"/>
    <w:rsid w:val="007E5BE9"/>
    <w:rsid w:val="007E5FF0"/>
    <w:rsid w:val="007E61C0"/>
    <w:rsid w:val="007E62B3"/>
    <w:rsid w:val="007E63E1"/>
    <w:rsid w:val="007E64F1"/>
    <w:rsid w:val="007E66C3"/>
    <w:rsid w:val="007E6854"/>
    <w:rsid w:val="007E6A6B"/>
    <w:rsid w:val="007E6B0A"/>
    <w:rsid w:val="007E6D86"/>
    <w:rsid w:val="007E6EC0"/>
    <w:rsid w:val="007E6F23"/>
    <w:rsid w:val="007E7028"/>
    <w:rsid w:val="007E7079"/>
    <w:rsid w:val="007E72D2"/>
    <w:rsid w:val="007E7314"/>
    <w:rsid w:val="007E78C2"/>
    <w:rsid w:val="007E7C06"/>
    <w:rsid w:val="007E7D06"/>
    <w:rsid w:val="007E7D2E"/>
    <w:rsid w:val="007F00B6"/>
    <w:rsid w:val="007F0138"/>
    <w:rsid w:val="007F0428"/>
    <w:rsid w:val="007F0751"/>
    <w:rsid w:val="007F088F"/>
    <w:rsid w:val="007F0996"/>
    <w:rsid w:val="007F0B2C"/>
    <w:rsid w:val="007F0B8D"/>
    <w:rsid w:val="007F0CFD"/>
    <w:rsid w:val="007F0E4C"/>
    <w:rsid w:val="007F0EAB"/>
    <w:rsid w:val="007F137A"/>
    <w:rsid w:val="007F16E0"/>
    <w:rsid w:val="007F1802"/>
    <w:rsid w:val="007F1A92"/>
    <w:rsid w:val="007F1B56"/>
    <w:rsid w:val="007F1B95"/>
    <w:rsid w:val="007F1D89"/>
    <w:rsid w:val="007F1E89"/>
    <w:rsid w:val="007F2394"/>
    <w:rsid w:val="007F2508"/>
    <w:rsid w:val="007F2C45"/>
    <w:rsid w:val="007F2C46"/>
    <w:rsid w:val="007F2C48"/>
    <w:rsid w:val="007F2DF9"/>
    <w:rsid w:val="007F3003"/>
    <w:rsid w:val="007F3060"/>
    <w:rsid w:val="007F33A3"/>
    <w:rsid w:val="007F381B"/>
    <w:rsid w:val="007F3838"/>
    <w:rsid w:val="007F390F"/>
    <w:rsid w:val="007F3BEF"/>
    <w:rsid w:val="007F3D9A"/>
    <w:rsid w:val="007F3E7C"/>
    <w:rsid w:val="007F3FB6"/>
    <w:rsid w:val="007F4104"/>
    <w:rsid w:val="007F41CE"/>
    <w:rsid w:val="007F41E8"/>
    <w:rsid w:val="007F427E"/>
    <w:rsid w:val="007F4361"/>
    <w:rsid w:val="007F43B8"/>
    <w:rsid w:val="007F46FA"/>
    <w:rsid w:val="007F4892"/>
    <w:rsid w:val="007F499C"/>
    <w:rsid w:val="007F4BBC"/>
    <w:rsid w:val="007F4D10"/>
    <w:rsid w:val="007F4E2C"/>
    <w:rsid w:val="007F4F80"/>
    <w:rsid w:val="007F553B"/>
    <w:rsid w:val="007F59C0"/>
    <w:rsid w:val="007F5C7E"/>
    <w:rsid w:val="007F5CC2"/>
    <w:rsid w:val="007F6130"/>
    <w:rsid w:val="007F619B"/>
    <w:rsid w:val="007F6264"/>
    <w:rsid w:val="007F653F"/>
    <w:rsid w:val="007F676A"/>
    <w:rsid w:val="007F6793"/>
    <w:rsid w:val="007F67E9"/>
    <w:rsid w:val="007F69B6"/>
    <w:rsid w:val="007F69E1"/>
    <w:rsid w:val="007F6B5D"/>
    <w:rsid w:val="007F6BA5"/>
    <w:rsid w:val="007F731C"/>
    <w:rsid w:val="007F75C8"/>
    <w:rsid w:val="007F7882"/>
    <w:rsid w:val="007F7A14"/>
    <w:rsid w:val="007F7AF5"/>
    <w:rsid w:val="007F7E79"/>
    <w:rsid w:val="008000F3"/>
    <w:rsid w:val="008003B5"/>
    <w:rsid w:val="008004C2"/>
    <w:rsid w:val="00800517"/>
    <w:rsid w:val="00800826"/>
    <w:rsid w:val="00800975"/>
    <w:rsid w:val="00800DB3"/>
    <w:rsid w:val="00800E60"/>
    <w:rsid w:val="00800E76"/>
    <w:rsid w:val="008011DB"/>
    <w:rsid w:val="0080132F"/>
    <w:rsid w:val="00801525"/>
    <w:rsid w:val="00801792"/>
    <w:rsid w:val="0080197D"/>
    <w:rsid w:val="00801FAF"/>
    <w:rsid w:val="0080244C"/>
    <w:rsid w:val="00802986"/>
    <w:rsid w:val="00802ABC"/>
    <w:rsid w:val="00802AE7"/>
    <w:rsid w:val="00802EC0"/>
    <w:rsid w:val="00802FE5"/>
    <w:rsid w:val="008031AF"/>
    <w:rsid w:val="0080342C"/>
    <w:rsid w:val="00803553"/>
    <w:rsid w:val="008035DA"/>
    <w:rsid w:val="0080372F"/>
    <w:rsid w:val="00803BF2"/>
    <w:rsid w:val="00803D89"/>
    <w:rsid w:val="00803D9E"/>
    <w:rsid w:val="00803E37"/>
    <w:rsid w:val="00803FE8"/>
    <w:rsid w:val="0080409D"/>
    <w:rsid w:val="0080436B"/>
    <w:rsid w:val="0080451D"/>
    <w:rsid w:val="00804622"/>
    <w:rsid w:val="00804672"/>
    <w:rsid w:val="008046D1"/>
    <w:rsid w:val="00804736"/>
    <w:rsid w:val="00804A5E"/>
    <w:rsid w:val="00804BD1"/>
    <w:rsid w:val="00805148"/>
    <w:rsid w:val="008051CD"/>
    <w:rsid w:val="00805AB4"/>
    <w:rsid w:val="00805C0B"/>
    <w:rsid w:val="00805FA6"/>
    <w:rsid w:val="0080618C"/>
    <w:rsid w:val="00806636"/>
    <w:rsid w:val="008066CF"/>
    <w:rsid w:val="008067B8"/>
    <w:rsid w:val="00806812"/>
    <w:rsid w:val="00806A1F"/>
    <w:rsid w:val="00806B66"/>
    <w:rsid w:val="00806E07"/>
    <w:rsid w:val="008075A7"/>
    <w:rsid w:val="00807BCF"/>
    <w:rsid w:val="00810007"/>
    <w:rsid w:val="008102FE"/>
    <w:rsid w:val="00810DE1"/>
    <w:rsid w:val="00810E48"/>
    <w:rsid w:val="00810E75"/>
    <w:rsid w:val="00810EE6"/>
    <w:rsid w:val="008116F0"/>
    <w:rsid w:val="0081170A"/>
    <w:rsid w:val="008117AD"/>
    <w:rsid w:val="00811ABC"/>
    <w:rsid w:val="00811B2F"/>
    <w:rsid w:val="00811B81"/>
    <w:rsid w:val="00811F9E"/>
    <w:rsid w:val="008124A1"/>
    <w:rsid w:val="0081253F"/>
    <w:rsid w:val="008129B5"/>
    <w:rsid w:val="00812CA8"/>
    <w:rsid w:val="00812FF3"/>
    <w:rsid w:val="008130FE"/>
    <w:rsid w:val="00813308"/>
    <w:rsid w:val="008135AD"/>
    <w:rsid w:val="00813C39"/>
    <w:rsid w:val="00813E04"/>
    <w:rsid w:val="00813FAE"/>
    <w:rsid w:val="0081400F"/>
    <w:rsid w:val="0081419B"/>
    <w:rsid w:val="00814292"/>
    <w:rsid w:val="008144AF"/>
    <w:rsid w:val="0081460F"/>
    <w:rsid w:val="00814649"/>
    <w:rsid w:val="00814D0E"/>
    <w:rsid w:val="00814D27"/>
    <w:rsid w:val="00814E85"/>
    <w:rsid w:val="00815104"/>
    <w:rsid w:val="00815169"/>
    <w:rsid w:val="008153E5"/>
    <w:rsid w:val="00815458"/>
    <w:rsid w:val="008156AC"/>
    <w:rsid w:val="008156BE"/>
    <w:rsid w:val="0081604F"/>
    <w:rsid w:val="008160CE"/>
    <w:rsid w:val="008162C1"/>
    <w:rsid w:val="008163B7"/>
    <w:rsid w:val="008167E0"/>
    <w:rsid w:val="0081697A"/>
    <w:rsid w:val="00816B55"/>
    <w:rsid w:val="00816B5F"/>
    <w:rsid w:val="00816C2B"/>
    <w:rsid w:val="00816E1D"/>
    <w:rsid w:val="008170E0"/>
    <w:rsid w:val="00817585"/>
    <w:rsid w:val="00817C28"/>
    <w:rsid w:val="00817ECF"/>
    <w:rsid w:val="00817FB4"/>
    <w:rsid w:val="00820188"/>
    <w:rsid w:val="00820233"/>
    <w:rsid w:val="008203C1"/>
    <w:rsid w:val="00820B99"/>
    <w:rsid w:val="00820BF3"/>
    <w:rsid w:val="00820CAD"/>
    <w:rsid w:val="00821134"/>
    <w:rsid w:val="008212F6"/>
    <w:rsid w:val="008218D6"/>
    <w:rsid w:val="00821B93"/>
    <w:rsid w:val="00821DCD"/>
    <w:rsid w:val="00822093"/>
    <w:rsid w:val="008223C4"/>
    <w:rsid w:val="008223FF"/>
    <w:rsid w:val="0082240A"/>
    <w:rsid w:val="008227FF"/>
    <w:rsid w:val="00822A28"/>
    <w:rsid w:val="00823195"/>
    <w:rsid w:val="00823342"/>
    <w:rsid w:val="00823376"/>
    <w:rsid w:val="00823554"/>
    <w:rsid w:val="0082392C"/>
    <w:rsid w:val="00823D2B"/>
    <w:rsid w:val="00823E74"/>
    <w:rsid w:val="00823F22"/>
    <w:rsid w:val="008240D7"/>
    <w:rsid w:val="0082496B"/>
    <w:rsid w:val="00824A80"/>
    <w:rsid w:val="00824D04"/>
    <w:rsid w:val="00825009"/>
    <w:rsid w:val="008251CD"/>
    <w:rsid w:val="008254B0"/>
    <w:rsid w:val="00825521"/>
    <w:rsid w:val="00825522"/>
    <w:rsid w:val="00825A91"/>
    <w:rsid w:val="00825FEB"/>
    <w:rsid w:val="00826039"/>
    <w:rsid w:val="0082630A"/>
    <w:rsid w:val="00826486"/>
    <w:rsid w:val="008265AE"/>
    <w:rsid w:val="00826F66"/>
    <w:rsid w:val="00827046"/>
    <w:rsid w:val="00827130"/>
    <w:rsid w:val="00827717"/>
    <w:rsid w:val="00827C2A"/>
    <w:rsid w:val="00827D48"/>
    <w:rsid w:val="00827DFC"/>
    <w:rsid w:val="00827F2A"/>
    <w:rsid w:val="008302F0"/>
    <w:rsid w:val="00830658"/>
    <w:rsid w:val="00830786"/>
    <w:rsid w:val="0083092B"/>
    <w:rsid w:val="00830A63"/>
    <w:rsid w:val="00831088"/>
    <w:rsid w:val="0083122C"/>
    <w:rsid w:val="008312A6"/>
    <w:rsid w:val="008314AB"/>
    <w:rsid w:val="008318DE"/>
    <w:rsid w:val="00831995"/>
    <w:rsid w:val="00831B65"/>
    <w:rsid w:val="00831CDB"/>
    <w:rsid w:val="00831E6D"/>
    <w:rsid w:val="008321E5"/>
    <w:rsid w:val="00832EFC"/>
    <w:rsid w:val="00833491"/>
    <w:rsid w:val="008335D2"/>
    <w:rsid w:val="00833718"/>
    <w:rsid w:val="0083381A"/>
    <w:rsid w:val="00833AEC"/>
    <w:rsid w:val="00833B69"/>
    <w:rsid w:val="00833BD5"/>
    <w:rsid w:val="00833D99"/>
    <w:rsid w:val="00834094"/>
    <w:rsid w:val="008341A5"/>
    <w:rsid w:val="00834235"/>
    <w:rsid w:val="0083423C"/>
    <w:rsid w:val="0083449F"/>
    <w:rsid w:val="008345C9"/>
    <w:rsid w:val="0083499D"/>
    <w:rsid w:val="00834AED"/>
    <w:rsid w:val="00834D68"/>
    <w:rsid w:val="00834E0D"/>
    <w:rsid w:val="00834F16"/>
    <w:rsid w:val="008356C9"/>
    <w:rsid w:val="00835715"/>
    <w:rsid w:val="0083578C"/>
    <w:rsid w:val="008357C4"/>
    <w:rsid w:val="008358A9"/>
    <w:rsid w:val="008359CB"/>
    <w:rsid w:val="00835E3B"/>
    <w:rsid w:val="00835E4D"/>
    <w:rsid w:val="0083604D"/>
    <w:rsid w:val="008366AE"/>
    <w:rsid w:val="00836783"/>
    <w:rsid w:val="008367AE"/>
    <w:rsid w:val="00836E60"/>
    <w:rsid w:val="0083706B"/>
    <w:rsid w:val="008379D6"/>
    <w:rsid w:val="00837F31"/>
    <w:rsid w:val="00837F80"/>
    <w:rsid w:val="00840001"/>
    <w:rsid w:val="0084000C"/>
    <w:rsid w:val="008401F5"/>
    <w:rsid w:val="00840251"/>
    <w:rsid w:val="00840481"/>
    <w:rsid w:val="008405F7"/>
    <w:rsid w:val="00840732"/>
    <w:rsid w:val="00840758"/>
    <w:rsid w:val="00840A8E"/>
    <w:rsid w:val="00840B38"/>
    <w:rsid w:val="00840C8B"/>
    <w:rsid w:val="00840DFC"/>
    <w:rsid w:val="00840ED9"/>
    <w:rsid w:val="00841758"/>
    <w:rsid w:val="0084177D"/>
    <w:rsid w:val="00841AE8"/>
    <w:rsid w:val="00841CDD"/>
    <w:rsid w:val="008420E1"/>
    <w:rsid w:val="008423A1"/>
    <w:rsid w:val="0084246F"/>
    <w:rsid w:val="00842748"/>
    <w:rsid w:val="0084281B"/>
    <w:rsid w:val="00842D6B"/>
    <w:rsid w:val="008430FA"/>
    <w:rsid w:val="008431B1"/>
    <w:rsid w:val="0084324C"/>
    <w:rsid w:val="008434CA"/>
    <w:rsid w:val="008438A3"/>
    <w:rsid w:val="00843D84"/>
    <w:rsid w:val="00844030"/>
    <w:rsid w:val="008441A1"/>
    <w:rsid w:val="00844522"/>
    <w:rsid w:val="0084476D"/>
    <w:rsid w:val="00844903"/>
    <w:rsid w:val="00844971"/>
    <w:rsid w:val="00844A76"/>
    <w:rsid w:val="00844E21"/>
    <w:rsid w:val="00845037"/>
    <w:rsid w:val="008454D8"/>
    <w:rsid w:val="008454FB"/>
    <w:rsid w:val="0084553D"/>
    <w:rsid w:val="008455D7"/>
    <w:rsid w:val="00845A87"/>
    <w:rsid w:val="00845D83"/>
    <w:rsid w:val="00845F3C"/>
    <w:rsid w:val="00846181"/>
    <w:rsid w:val="008467FB"/>
    <w:rsid w:val="008468D7"/>
    <w:rsid w:val="008470A2"/>
    <w:rsid w:val="008470B4"/>
    <w:rsid w:val="008471E9"/>
    <w:rsid w:val="00847541"/>
    <w:rsid w:val="008479DE"/>
    <w:rsid w:val="00847AAC"/>
    <w:rsid w:val="00847CCF"/>
    <w:rsid w:val="0085034E"/>
    <w:rsid w:val="008503ED"/>
    <w:rsid w:val="00850AE4"/>
    <w:rsid w:val="00850E77"/>
    <w:rsid w:val="00850E81"/>
    <w:rsid w:val="00850EF3"/>
    <w:rsid w:val="0085105B"/>
    <w:rsid w:val="0085176B"/>
    <w:rsid w:val="0085180B"/>
    <w:rsid w:val="008518B5"/>
    <w:rsid w:val="00851972"/>
    <w:rsid w:val="008519F4"/>
    <w:rsid w:val="00851CCE"/>
    <w:rsid w:val="00852348"/>
    <w:rsid w:val="00852762"/>
    <w:rsid w:val="00852962"/>
    <w:rsid w:val="00852E8D"/>
    <w:rsid w:val="00852F0E"/>
    <w:rsid w:val="00852F7F"/>
    <w:rsid w:val="00853292"/>
    <w:rsid w:val="008532A6"/>
    <w:rsid w:val="008533E9"/>
    <w:rsid w:val="00853836"/>
    <w:rsid w:val="0085385B"/>
    <w:rsid w:val="00853C64"/>
    <w:rsid w:val="00853E0F"/>
    <w:rsid w:val="00853F03"/>
    <w:rsid w:val="00853F07"/>
    <w:rsid w:val="00853F9C"/>
    <w:rsid w:val="00853FA8"/>
    <w:rsid w:val="008541F1"/>
    <w:rsid w:val="00854366"/>
    <w:rsid w:val="00854554"/>
    <w:rsid w:val="008545AD"/>
    <w:rsid w:val="0085473A"/>
    <w:rsid w:val="008547EF"/>
    <w:rsid w:val="00854820"/>
    <w:rsid w:val="0085492F"/>
    <w:rsid w:val="0085497B"/>
    <w:rsid w:val="00854C07"/>
    <w:rsid w:val="00854C7C"/>
    <w:rsid w:val="008551DD"/>
    <w:rsid w:val="008552FA"/>
    <w:rsid w:val="008553B5"/>
    <w:rsid w:val="008556C7"/>
    <w:rsid w:val="00855D5D"/>
    <w:rsid w:val="00856000"/>
    <w:rsid w:val="00856196"/>
    <w:rsid w:val="00856289"/>
    <w:rsid w:val="00856372"/>
    <w:rsid w:val="008564E6"/>
    <w:rsid w:val="0085658B"/>
    <w:rsid w:val="008567FA"/>
    <w:rsid w:val="00856872"/>
    <w:rsid w:val="00856CCC"/>
    <w:rsid w:val="00856D80"/>
    <w:rsid w:val="00856F6B"/>
    <w:rsid w:val="00856FDC"/>
    <w:rsid w:val="00856FE9"/>
    <w:rsid w:val="008570F9"/>
    <w:rsid w:val="00857289"/>
    <w:rsid w:val="00857295"/>
    <w:rsid w:val="008573CB"/>
    <w:rsid w:val="00857731"/>
    <w:rsid w:val="00857A34"/>
    <w:rsid w:val="00857CF5"/>
    <w:rsid w:val="00857F18"/>
    <w:rsid w:val="00857F19"/>
    <w:rsid w:val="0086003D"/>
    <w:rsid w:val="00860161"/>
    <w:rsid w:val="008603CD"/>
    <w:rsid w:val="008605FA"/>
    <w:rsid w:val="00860A9A"/>
    <w:rsid w:val="00860A9B"/>
    <w:rsid w:val="00860AD5"/>
    <w:rsid w:val="00860BF9"/>
    <w:rsid w:val="00860DBC"/>
    <w:rsid w:val="00860DDB"/>
    <w:rsid w:val="00861000"/>
    <w:rsid w:val="008610A0"/>
    <w:rsid w:val="008611E6"/>
    <w:rsid w:val="008612C4"/>
    <w:rsid w:val="00861444"/>
    <w:rsid w:val="0086165E"/>
    <w:rsid w:val="008616FB"/>
    <w:rsid w:val="00861914"/>
    <w:rsid w:val="008619E8"/>
    <w:rsid w:val="00861CE4"/>
    <w:rsid w:val="00861EFF"/>
    <w:rsid w:val="00862425"/>
    <w:rsid w:val="00862801"/>
    <w:rsid w:val="00862AD4"/>
    <w:rsid w:val="00862AE7"/>
    <w:rsid w:val="008632E6"/>
    <w:rsid w:val="00863451"/>
    <w:rsid w:val="008635B7"/>
    <w:rsid w:val="00863628"/>
    <w:rsid w:val="00863D1D"/>
    <w:rsid w:val="00864431"/>
    <w:rsid w:val="0086493A"/>
    <w:rsid w:val="00864A29"/>
    <w:rsid w:val="00864A74"/>
    <w:rsid w:val="00864B38"/>
    <w:rsid w:val="00864C80"/>
    <w:rsid w:val="00864FC2"/>
    <w:rsid w:val="008664D6"/>
    <w:rsid w:val="0086673A"/>
    <w:rsid w:val="00866936"/>
    <w:rsid w:val="008669FB"/>
    <w:rsid w:val="00866A9D"/>
    <w:rsid w:val="00866D6D"/>
    <w:rsid w:val="00866F0D"/>
    <w:rsid w:val="00866F87"/>
    <w:rsid w:val="00867383"/>
    <w:rsid w:val="008675A6"/>
    <w:rsid w:val="00867817"/>
    <w:rsid w:val="008678C7"/>
    <w:rsid w:val="00867CB3"/>
    <w:rsid w:val="00867DCB"/>
    <w:rsid w:val="00870038"/>
    <w:rsid w:val="008705F7"/>
    <w:rsid w:val="00870758"/>
    <w:rsid w:val="00870D39"/>
    <w:rsid w:val="00871106"/>
    <w:rsid w:val="00871162"/>
    <w:rsid w:val="00871209"/>
    <w:rsid w:val="0087130D"/>
    <w:rsid w:val="00871451"/>
    <w:rsid w:val="00871466"/>
    <w:rsid w:val="00871B12"/>
    <w:rsid w:val="00871CBD"/>
    <w:rsid w:val="00872554"/>
    <w:rsid w:val="00872562"/>
    <w:rsid w:val="00872860"/>
    <w:rsid w:val="0087332B"/>
    <w:rsid w:val="0087354C"/>
    <w:rsid w:val="0087376C"/>
    <w:rsid w:val="00873AF6"/>
    <w:rsid w:val="008741BB"/>
    <w:rsid w:val="00874283"/>
    <w:rsid w:val="008742AB"/>
    <w:rsid w:val="00874775"/>
    <w:rsid w:val="00874871"/>
    <w:rsid w:val="00874AA7"/>
    <w:rsid w:val="00874D34"/>
    <w:rsid w:val="00874E9D"/>
    <w:rsid w:val="00874EB9"/>
    <w:rsid w:val="00874EE0"/>
    <w:rsid w:val="00874F8D"/>
    <w:rsid w:val="0087502A"/>
    <w:rsid w:val="00875146"/>
    <w:rsid w:val="008752EF"/>
    <w:rsid w:val="008752FC"/>
    <w:rsid w:val="0087531F"/>
    <w:rsid w:val="008757F9"/>
    <w:rsid w:val="00875845"/>
    <w:rsid w:val="00875A0B"/>
    <w:rsid w:val="00875A6D"/>
    <w:rsid w:val="008761BD"/>
    <w:rsid w:val="008763AB"/>
    <w:rsid w:val="00876744"/>
    <w:rsid w:val="008767AD"/>
    <w:rsid w:val="00876938"/>
    <w:rsid w:val="0087696E"/>
    <w:rsid w:val="008769B6"/>
    <w:rsid w:val="00876A3E"/>
    <w:rsid w:val="00876A44"/>
    <w:rsid w:val="00876A6D"/>
    <w:rsid w:val="00876AA5"/>
    <w:rsid w:val="00876AE8"/>
    <w:rsid w:val="00876E46"/>
    <w:rsid w:val="00877359"/>
    <w:rsid w:val="00877695"/>
    <w:rsid w:val="00877756"/>
    <w:rsid w:val="008777F6"/>
    <w:rsid w:val="0087786D"/>
    <w:rsid w:val="00877E09"/>
    <w:rsid w:val="00880288"/>
    <w:rsid w:val="008802C5"/>
    <w:rsid w:val="008805A7"/>
    <w:rsid w:val="008806E1"/>
    <w:rsid w:val="008808AB"/>
    <w:rsid w:val="008808CA"/>
    <w:rsid w:val="00880AC7"/>
    <w:rsid w:val="00880BC7"/>
    <w:rsid w:val="00880F8E"/>
    <w:rsid w:val="00881059"/>
    <w:rsid w:val="00881235"/>
    <w:rsid w:val="00881362"/>
    <w:rsid w:val="008814A8"/>
    <w:rsid w:val="008815C0"/>
    <w:rsid w:val="008816AA"/>
    <w:rsid w:val="00881750"/>
    <w:rsid w:val="00881B0E"/>
    <w:rsid w:val="00881C25"/>
    <w:rsid w:val="008820CD"/>
    <w:rsid w:val="008820CF"/>
    <w:rsid w:val="00882571"/>
    <w:rsid w:val="008827A9"/>
    <w:rsid w:val="00882906"/>
    <w:rsid w:val="008829E3"/>
    <w:rsid w:val="00882B39"/>
    <w:rsid w:val="008836AD"/>
    <w:rsid w:val="008836F0"/>
    <w:rsid w:val="00883DA0"/>
    <w:rsid w:val="0088400F"/>
    <w:rsid w:val="008840C0"/>
    <w:rsid w:val="008848DF"/>
    <w:rsid w:val="00884B1F"/>
    <w:rsid w:val="00884C79"/>
    <w:rsid w:val="00884D23"/>
    <w:rsid w:val="00884FDB"/>
    <w:rsid w:val="008850C4"/>
    <w:rsid w:val="008850FA"/>
    <w:rsid w:val="0088511F"/>
    <w:rsid w:val="00885202"/>
    <w:rsid w:val="008852BC"/>
    <w:rsid w:val="00885552"/>
    <w:rsid w:val="008855A6"/>
    <w:rsid w:val="008858DB"/>
    <w:rsid w:val="00885C22"/>
    <w:rsid w:val="008860DF"/>
    <w:rsid w:val="00886104"/>
    <w:rsid w:val="00886419"/>
    <w:rsid w:val="00886A10"/>
    <w:rsid w:val="00886A89"/>
    <w:rsid w:val="00886E7C"/>
    <w:rsid w:val="00886FF1"/>
    <w:rsid w:val="00887016"/>
    <w:rsid w:val="00887032"/>
    <w:rsid w:val="008871E2"/>
    <w:rsid w:val="00887325"/>
    <w:rsid w:val="0088742E"/>
    <w:rsid w:val="00887701"/>
    <w:rsid w:val="00887786"/>
    <w:rsid w:val="008878BA"/>
    <w:rsid w:val="00890393"/>
    <w:rsid w:val="008909A6"/>
    <w:rsid w:val="00890B2D"/>
    <w:rsid w:val="00890E7D"/>
    <w:rsid w:val="00890FF8"/>
    <w:rsid w:val="0089115A"/>
    <w:rsid w:val="00891299"/>
    <w:rsid w:val="00891326"/>
    <w:rsid w:val="00891424"/>
    <w:rsid w:val="00891558"/>
    <w:rsid w:val="0089167C"/>
    <w:rsid w:val="008918E2"/>
    <w:rsid w:val="00891CEC"/>
    <w:rsid w:val="00891DCF"/>
    <w:rsid w:val="00891E15"/>
    <w:rsid w:val="00892086"/>
    <w:rsid w:val="008920CD"/>
    <w:rsid w:val="00892242"/>
    <w:rsid w:val="008924E4"/>
    <w:rsid w:val="00892587"/>
    <w:rsid w:val="008926B2"/>
    <w:rsid w:val="00892CAD"/>
    <w:rsid w:val="0089314D"/>
    <w:rsid w:val="008933BD"/>
    <w:rsid w:val="008933E1"/>
    <w:rsid w:val="008934D4"/>
    <w:rsid w:val="0089355F"/>
    <w:rsid w:val="008936ED"/>
    <w:rsid w:val="00893A85"/>
    <w:rsid w:val="00893B3A"/>
    <w:rsid w:val="008940C5"/>
    <w:rsid w:val="00894242"/>
    <w:rsid w:val="00894662"/>
    <w:rsid w:val="00894B94"/>
    <w:rsid w:val="00894BD8"/>
    <w:rsid w:val="00894C88"/>
    <w:rsid w:val="00895118"/>
    <w:rsid w:val="008952D6"/>
    <w:rsid w:val="008956F0"/>
    <w:rsid w:val="00895763"/>
    <w:rsid w:val="00895854"/>
    <w:rsid w:val="00895891"/>
    <w:rsid w:val="00895C7C"/>
    <w:rsid w:val="00895F0C"/>
    <w:rsid w:val="00895F80"/>
    <w:rsid w:val="008960E3"/>
    <w:rsid w:val="00896216"/>
    <w:rsid w:val="008962CB"/>
    <w:rsid w:val="0089634A"/>
    <w:rsid w:val="008966F1"/>
    <w:rsid w:val="00896777"/>
    <w:rsid w:val="00896DF3"/>
    <w:rsid w:val="008971ED"/>
    <w:rsid w:val="00897380"/>
    <w:rsid w:val="00897505"/>
    <w:rsid w:val="00897771"/>
    <w:rsid w:val="0089798B"/>
    <w:rsid w:val="00897C28"/>
    <w:rsid w:val="00897D9A"/>
    <w:rsid w:val="00897F44"/>
    <w:rsid w:val="008A0038"/>
    <w:rsid w:val="008A04E6"/>
    <w:rsid w:val="008A0690"/>
    <w:rsid w:val="008A06BB"/>
    <w:rsid w:val="008A0998"/>
    <w:rsid w:val="008A0CE6"/>
    <w:rsid w:val="008A0DA4"/>
    <w:rsid w:val="008A0FF6"/>
    <w:rsid w:val="008A10CA"/>
    <w:rsid w:val="008A1134"/>
    <w:rsid w:val="008A14E0"/>
    <w:rsid w:val="008A16D5"/>
    <w:rsid w:val="008A180A"/>
    <w:rsid w:val="008A1B0E"/>
    <w:rsid w:val="008A1B57"/>
    <w:rsid w:val="008A1B7B"/>
    <w:rsid w:val="008A1F99"/>
    <w:rsid w:val="008A20EE"/>
    <w:rsid w:val="008A22DE"/>
    <w:rsid w:val="008A23A0"/>
    <w:rsid w:val="008A2541"/>
    <w:rsid w:val="008A2A25"/>
    <w:rsid w:val="008A2B95"/>
    <w:rsid w:val="008A2BA2"/>
    <w:rsid w:val="008A2D3E"/>
    <w:rsid w:val="008A2DBB"/>
    <w:rsid w:val="008A2E47"/>
    <w:rsid w:val="008A2F7E"/>
    <w:rsid w:val="008A336F"/>
    <w:rsid w:val="008A3520"/>
    <w:rsid w:val="008A3527"/>
    <w:rsid w:val="008A3693"/>
    <w:rsid w:val="008A3B53"/>
    <w:rsid w:val="008A425B"/>
    <w:rsid w:val="008A4603"/>
    <w:rsid w:val="008A47AA"/>
    <w:rsid w:val="008A4911"/>
    <w:rsid w:val="008A4BB8"/>
    <w:rsid w:val="008A4BC2"/>
    <w:rsid w:val="008A4D78"/>
    <w:rsid w:val="008A4DB0"/>
    <w:rsid w:val="008A4DDC"/>
    <w:rsid w:val="008A526A"/>
    <w:rsid w:val="008A5418"/>
    <w:rsid w:val="008A5697"/>
    <w:rsid w:val="008A569D"/>
    <w:rsid w:val="008A586F"/>
    <w:rsid w:val="008A5956"/>
    <w:rsid w:val="008A5B2D"/>
    <w:rsid w:val="008A5E87"/>
    <w:rsid w:val="008A6184"/>
    <w:rsid w:val="008A63B3"/>
    <w:rsid w:val="008A6446"/>
    <w:rsid w:val="008A6C60"/>
    <w:rsid w:val="008A6D9C"/>
    <w:rsid w:val="008A7970"/>
    <w:rsid w:val="008A7999"/>
    <w:rsid w:val="008A79FE"/>
    <w:rsid w:val="008A7ACB"/>
    <w:rsid w:val="008A7B5F"/>
    <w:rsid w:val="008A7E7B"/>
    <w:rsid w:val="008A7FC3"/>
    <w:rsid w:val="008B052D"/>
    <w:rsid w:val="008B0931"/>
    <w:rsid w:val="008B0B13"/>
    <w:rsid w:val="008B0C11"/>
    <w:rsid w:val="008B11CA"/>
    <w:rsid w:val="008B12C5"/>
    <w:rsid w:val="008B13E0"/>
    <w:rsid w:val="008B164E"/>
    <w:rsid w:val="008B1B97"/>
    <w:rsid w:val="008B1E93"/>
    <w:rsid w:val="008B20B2"/>
    <w:rsid w:val="008B26AB"/>
    <w:rsid w:val="008B26E5"/>
    <w:rsid w:val="008B278C"/>
    <w:rsid w:val="008B2861"/>
    <w:rsid w:val="008B2E35"/>
    <w:rsid w:val="008B32CB"/>
    <w:rsid w:val="008B3403"/>
    <w:rsid w:val="008B341E"/>
    <w:rsid w:val="008B3455"/>
    <w:rsid w:val="008B36E6"/>
    <w:rsid w:val="008B3806"/>
    <w:rsid w:val="008B3BED"/>
    <w:rsid w:val="008B3DB5"/>
    <w:rsid w:val="008B41D4"/>
    <w:rsid w:val="008B43F9"/>
    <w:rsid w:val="008B4460"/>
    <w:rsid w:val="008B47FA"/>
    <w:rsid w:val="008B4B7F"/>
    <w:rsid w:val="008B4B92"/>
    <w:rsid w:val="008B4C06"/>
    <w:rsid w:val="008B4C2D"/>
    <w:rsid w:val="008B5100"/>
    <w:rsid w:val="008B53C0"/>
    <w:rsid w:val="008B5447"/>
    <w:rsid w:val="008B57F1"/>
    <w:rsid w:val="008B60FA"/>
    <w:rsid w:val="008B6118"/>
    <w:rsid w:val="008B628C"/>
    <w:rsid w:val="008B6605"/>
    <w:rsid w:val="008B6653"/>
    <w:rsid w:val="008B6862"/>
    <w:rsid w:val="008B7221"/>
    <w:rsid w:val="008B72C5"/>
    <w:rsid w:val="008B73F6"/>
    <w:rsid w:val="008B776B"/>
    <w:rsid w:val="008B7BD8"/>
    <w:rsid w:val="008B7E09"/>
    <w:rsid w:val="008B7ED2"/>
    <w:rsid w:val="008B7F0C"/>
    <w:rsid w:val="008B7F8E"/>
    <w:rsid w:val="008C004C"/>
    <w:rsid w:val="008C01CC"/>
    <w:rsid w:val="008C0534"/>
    <w:rsid w:val="008C072F"/>
    <w:rsid w:val="008C083F"/>
    <w:rsid w:val="008C0898"/>
    <w:rsid w:val="008C09CE"/>
    <w:rsid w:val="008C09F0"/>
    <w:rsid w:val="008C0FC9"/>
    <w:rsid w:val="008C155C"/>
    <w:rsid w:val="008C1723"/>
    <w:rsid w:val="008C1A98"/>
    <w:rsid w:val="008C20FA"/>
    <w:rsid w:val="008C227E"/>
    <w:rsid w:val="008C2324"/>
    <w:rsid w:val="008C2347"/>
    <w:rsid w:val="008C2562"/>
    <w:rsid w:val="008C2569"/>
    <w:rsid w:val="008C25E4"/>
    <w:rsid w:val="008C2A81"/>
    <w:rsid w:val="008C2B5F"/>
    <w:rsid w:val="008C2C75"/>
    <w:rsid w:val="008C301A"/>
    <w:rsid w:val="008C30AE"/>
    <w:rsid w:val="008C3199"/>
    <w:rsid w:val="008C3204"/>
    <w:rsid w:val="008C391A"/>
    <w:rsid w:val="008C3BA0"/>
    <w:rsid w:val="008C4083"/>
    <w:rsid w:val="008C4181"/>
    <w:rsid w:val="008C41E0"/>
    <w:rsid w:val="008C42FD"/>
    <w:rsid w:val="008C476B"/>
    <w:rsid w:val="008C47BE"/>
    <w:rsid w:val="008C4A28"/>
    <w:rsid w:val="008C4B0F"/>
    <w:rsid w:val="008C5168"/>
    <w:rsid w:val="008C5173"/>
    <w:rsid w:val="008C5192"/>
    <w:rsid w:val="008C58AE"/>
    <w:rsid w:val="008C599A"/>
    <w:rsid w:val="008C6061"/>
    <w:rsid w:val="008C609A"/>
    <w:rsid w:val="008C63E2"/>
    <w:rsid w:val="008C6A38"/>
    <w:rsid w:val="008C6AD3"/>
    <w:rsid w:val="008C6B20"/>
    <w:rsid w:val="008C6B4C"/>
    <w:rsid w:val="008C6BDA"/>
    <w:rsid w:val="008C6DC1"/>
    <w:rsid w:val="008C7072"/>
    <w:rsid w:val="008C7581"/>
    <w:rsid w:val="008C77CE"/>
    <w:rsid w:val="008C7E83"/>
    <w:rsid w:val="008D00D7"/>
    <w:rsid w:val="008D03E1"/>
    <w:rsid w:val="008D080C"/>
    <w:rsid w:val="008D0A8C"/>
    <w:rsid w:val="008D0CF1"/>
    <w:rsid w:val="008D0DF8"/>
    <w:rsid w:val="008D0E5C"/>
    <w:rsid w:val="008D1097"/>
    <w:rsid w:val="008D1159"/>
    <w:rsid w:val="008D1290"/>
    <w:rsid w:val="008D1885"/>
    <w:rsid w:val="008D1CA6"/>
    <w:rsid w:val="008D1EA3"/>
    <w:rsid w:val="008D203E"/>
    <w:rsid w:val="008D22E1"/>
    <w:rsid w:val="008D2715"/>
    <w:rsid w:val="008D2786"/>
    <w:rsid w:val="008D2B50"/>
    <w:rsid w:val="008D2E30"/>
    <w:rsid w:val="008D372A"/>
    <w:rsid w:val="008D3932"/>
    <w:rsid w:val="008D4260"/>
    <w:rsid w:val="008D4BCA"/>
    <w:rsid w:val="008D5902"/>
    <w:rsid w:val="008D5A91"/>
    <w:rsid w:val="008D5AC6"/>
    <w:rsid w:val="008D5CF1"/>
    <w:rsid w:val="008D61C3"/>
    <w:rsid w:val="008D6218"/>
    <w:rsid w:val="008D648C"/>
    <w:rsid w:val="008D6526"/>
    <w:rsid w:val="008D653C"/>
    <w:rsid w:val="008D6E37"/>
    <w:rsid w:val="008D70F3"/>
    <w:rsid w:val="008D71C5"/>
    <w:rsid w:val="008D7242"/>
    <w:rsid w:val="008D7364"/>
    <w:rsid w:val="008D75B8"/>
    <w:rsid w:val="008D7C50"/>
    <w:rsid w:val="008D7C7D"/>
    <w:rsid w:val="008D7F22"/>
    <w:rsid w:val="008E0158"/>
    <w:rsid w:val="008E019C"/>
    <w:rsid w:val="008E0219"/>
    <w:rsid w:val="008E0220"/>
    <w:rsid w:val="008E03BE"/>
    <w:rsid w:val="008E0C11"/>
    <w:rsid w:val="008E0EBF"/>
    <w:rsid w:val="008E10B3"/>
    <w:rsid w:val="008E19C3"/>
    <w:rsid w:val="008E1A94"/>
    <w:rsid w:val="008E1A97"/>
    <w:rsid w:val="008E1D0C"/>
    <w:rsid w:val="008E2024"/>
    <w:rsid w:val="008E20C6"/>
    <w:rsid w:val="008E2EDC"/>
    <w:rsid w:val="008E313D"/>
    <w:rsid w:val="008E318D"/>
    <w:rsid w:val="008E3391"/>
    <w:rsid w:val="008E38B7"/>
    <w:rsid w:val="008E3907"/>
    <w:rsid w:val="008E3B79"/>
    <w:rsid w:val="008E3E69"/>
    <w:rsid w:val="008E3ED7"/>
    <w:rsid w:val="008E4249"/>
    <w:rsid w:val="008E45A0"/>
    <w:rsid w:val="008E4B5B"/>
    <w:rsid w:val="008E51EB"/>
    <w:rsid w:val="008E54F7"/>
    <w:rsid w:val="008E5529"/>
    <w:rsid w:val="008E5593"/>
    <w:rsid w:val="008E5688"/>
    <w:rsid w:val="008E5B22"/>
    <w:rsid w:val="008E5C52"/>
    <w:rsid w:val="008E5CAB"/>
    <w:rsid w:val="008E5F88"/>
    <w:rsid w:val="008E612B"/>
    <w:rsid w:val="008E64A1"/>
    <w:rsid w:val="008E6651"/>
    <w:rsid w:val="008E681A"/>
    <w:rsid w:val="008E684B"/>
    <w:rsid w:val="008E6C6B"/>
    <w:rsid w:val="008E6FFB"/>
    <w:rsid w:val="008E7511"/>
    <w:rsid w:val="008E7764"/>
    <w:rsid w:val="008E79DF"/>
    <w:rsid w:val="008E7CDF"/>
    <w:rsid w:val="008E7E4E"/>
    <w:rsid w:val="008F00E5"/>
    <w:rsid w:val="008F01DA"/>
    <w:rsid w:val="008F043A"/>
    <w:rsid w:val="008F0515"/>
    <w:rsid w:val="008F067C"/>
    <w:rsid w:val="008F06FD"/>
    <w:rsid w:val="008F07DB"/>
    <w:rsid w:val="008F08B1"/>
    <w:rsid w:val="008F0A53"/>
    <w:rsid w:val="008F0B47"/>
    <w:rsid w:val="008F0EDF"/>
    <w:rsid w:val="008F0FD5"/>
    <w:rsid w:val="008F1069"/>
    <w:rsid w:val="008F124D"/>
    <w:rsid w:val="008F138E"/>
    <w:rsid w:val="008F1572"/>
    <w:rsid w:val="008F17AC"/>
    <w:rsid w:val="008F17FB"/>
    <w:rsid w:val="008F1B72"/>
    <w:rsid w:val="008F1BE4"/>
    <w:rsid w:val="008F1DC0"/>
    <w:rsid w:val="008F1F5A"/>
    <w:rsid w:val="008F20A6"/>
    <w:rsid w:val="008F2177"/>
    <w:rsid w:val="008F21A3"/>
    <w:rsid w:val="008F281B"/>
    <w:rsid w:val="008F29BB"/>
    <w:rsid w:val="008F2E40"/>
    <w:rsid w:val="008F31A7"/>
    <w:rsid w:val="008F32E7"/>
    <w:rsid w:val="008F330E"/>
    <w:rsid w:val="008F3481"/>
    <w:rsid w:val="008F36F1"/>
    <w:rsid w:val="008F3873"/>
    <w:rsid w:val="008F3B64"/>
    <w:rsid w:val="008F3C50"/>
    <w:rsid w:val="008F3CC3"/>
    <w:rsid w:val="008F3DEF"/>
    <w:rsid w:val="008F3E14"/>
    <w:rsid w:val="008F3E2B"/>
    <w:rsid w:val="008F475A"/>
    <w:rsid w:val="008F4A29"/>
    <w:rsid w:val="008F4F96"/>
    <w:rsid w:val="008F53B6"/>
    <w:rsid w:val="008F560F"/>
    <w:rsid w:val="008F56E8"/>
    <w:rsid w:val="008F58B3"/>
    <w:rsid w:val="008F5B26"/>
    <w:rsid w:val="008F63F5"/>
    <w:rsid w:val="008F64D8"/>
    <w:rsid w:val="008F6530"/>
    <w:rsid w:val="008F67FD"/>
    <w:rsid w:val="008F6908"/>
    <w:rsid w:val="008F6B0D"/>
    <w:rsid w:val="008F70FE"/>
    <w:rsid w:val="008F7349"/>
    <w:rsid w:val="008F7B54"/>
    <w:rsid w:val="008F7C6A"/>
    <w:rsid w:val="009000A1"/>
    <w:rsid w:val="00900191"/>
    <w:rsid w:val="00900335"/>
    <w:rsid w:val="00900D45"/>
    <w:rsid w:val="00900EE6"/>
    <w:rsid w:val="00900F2C"/>
    <w:rsid w:val="009011B0"/>
    <w:rsid w:val="009015FC"/>
    <w:rsid w:val="00901859"/>
    <w:rsid w:val="009018FB"/>
    <w:rsid w:val="009019C9"/>
    <w:rsid w:val="00901DDA"/>
    <w:rsid w:val="00901E0C"/>
    <w:rsid w:val="00901EF7"/>
    <w:rsid w:val="00902156"/>
    <w:rsid w:val="0090244F"/>
    <w:rsid w:val="009028D8"/>
    <w:rsid w:val="009029DA"/>
    <w:rsid w:val="00902F9B"/>
    <w:rsid w:val="00902FBE"/>
    <w:rsid w:val="009033A9"/>
    <w:rsid w:val="009033AF"/>
    <w:rsid w:val="00903477"/>
    <w:rsid w:val="009034FF"/>
    <w:rsid w:val="009035DD"/>
    <w:rsid w:val="0090434C"/>
    <w:rsid w:val="009046D2"/>
    <w:rsid w:val="009048BE"/>
    <w:rsid w:val="009049FA"/>
    <w:rsid w:val="00904B50"/>
    <w:rsid w:val="00904BCE"/>
    <w:rsid w:val="00904DDF"/>
    <w:rsid w:val="00904F2C"/>
    <w:rsid w:val="00904F57"/>
    <w:rsid w:val="00905496"/>
    <w:rsid w:val="00905754"/>
    <w:rsid w:val="009058AD"/>
    <w:rsid w:val="0090590B"/>
    <w:rsid w:val="00905BB9"/>
    <w:rsid w:val="00905F44"/>
    <w:rsid w:val="009064C4"/>
    <w:rsid w:val="00906C0D"/>
    <w:rsid w:val="00906D7C"/>
    <w:rsid w:val="00906F8B"/>
    <w:rsid w:val="0090708D"/>
    <w:rsid w:val="009072E7"/>
    <w:rsid w:val="009074A3"/>
    <w:rsid w:val="009076CA"/>
    <w:rsid w:val="0090786A"/>
    <w:rsid w:val="0090795D"/>
    <w:rsid w:val="00907A51"/>
    <w:rsid w:val="00907A9B"/>
    <w:rsid w:val="00907F99"/>
    <w:rsid w:val="00910065"/>
    <w:rsid w:val="00910508"/>
    <w:rsid w:val="00910761"/>
    <w:rsid w:val="00910E8A"/>
    <w:rsid w:val="0091101A"/>
    <w:rsid w:val="00911145"/>
    <w:rsid w:val="00911281"/>
    <w:rsid w:val="00911A3A"/>
    <w:rsid w:val="00911C41"/>
    <w:rsid w:val="00911D33"/>
    <w:rsid w:val="00911EB8"/>
    <w:rsid w:val="00911F45"/>
    <w:rsid w:val="00912227"/>
    <w:rsid w:val="00912702"/>
    <w:rsid w:val="00912BBB"/>
    <w:rsid w:val="00912C33"/>
    <w:rsid w:val="0091310D"/>
    <w:rsid w:val="00913166"/>
    <w:rsid w:val="009134B3"/>
    <w:rsid w:val="00913572"/>
    <w:rsid w:val="009139B1"/>
    <w:rsid w:val="00913AA3"/>
    <w:rsid w:val="00913BE2"/>
    <w:rsid w:val="00913C46"/>
    <w:rsid w:val="00913E3A"/>
    <w:rsid w:val="00914316"/>
    <w:rsid w:val="0091443A"/>
    <w:rsid w:val="009145DA"/>
    <w:rsid w:val="0091467D"/>
    <w:rsid w:val="009149B9"/>
    <w:rsid w:val="00914AC9"/>
    <w:rsid w:val="00914D25"/>
    <w:rsid w:val="009154DB"/>
    <w:rsid w:val="00915738"/>
    <w:rsid w:val="00915751"/>
    <w:rsid w:val="00915B79"/>
    <w:rsid w:val="00915CCA"/>
    <w:rsid w:val="00915D51"/>
    <w:rsid w:val="00915F24"/>
    <w:rsid w:val="009160D1"/>
    <w:rsid w:val="00916217"/>
    <w:rsid w:val="00916472"/>
    <w:rsid w:val="0091662E"/>
    <w:rsid w:val="00916AC0"/>
    <w:rsid w:val="00916F57"/>
    <w:rsid w:val="00917371"/>
    <w:rsid w:val="0091760F"/>
    <w:rsid w:val="00917895"/>
    <w:rsid w:val="00917992"/>
    <w:rsid w:val="0092014C"/>
    <w:rsid w:val="00920310"/>
    <w:rsid w:val="00920485"/>
    <w:rsid w:val="00920683"/>
    <w:rsid w:val="009208EA"/>
    <w:rsid w:val="0092099C"/>
    <w:rsid w:val="00920C3D"/>
    <w:rsid w:val="00920C9C"/>
    <w:rsid w:val="00920DBE"/>
    <w:rsid w:val="00921036"/>
    <w:rsid w:val="009210DB"/>
    <w:rsid w:val="00921144"/>
    <w:rsid w:val="009216D4"/>
    <w:rsid w:val="00921A93"/>
    <w:rsid w:val="00922271"/>
    <w:rsid w:val="00922489"/>
    <w:rsid w:val="009225C7"/>
    <w:rsid w:val="009226B4"/>
    <w:rsid w:val="00922952"/>
    <w:rsid w:val="00922A1D"/>
    <w:rsid w:val="00922C14"/>
    <w:rsid w:val="00922D39"/>
    <w:rsid w:val="00922EA0"/>
    <w:rsid w:val="00922EDD"/>
    <w:rsid w:val="00923070"/>
    <w:rsid w:val="00923252"/>
    <w:rsid w:val="00923595"/>
    <w:rsid w:val="0092372A"/>
    <w:rsid w:val="00923C4E"/>
    <w:rsid w:val="00923C8B"/>
    <w:rsid w:val="009243B7"/>
    <w:rsid w:val="0092502B"/>
    <w:rsid w:val="00925244"/>
    <w:rsid w:val="00925AF0"/>
    <w:rsid w:val="00925B12"/>
    <w:rsid w:val="00925C5A"/>
    <w:rsid w:val="00925D3C"/>
    <w:rsid w:val="00925EDA"/>
    <w:rsid w:val="00925FCC"/>
    <w:rsid w:val="0092610C"/>
    <w:rsid w:val="00926201"/>
    <w:rsid w:val="0092640D"/>
    <w:rsid w:val="009267AC"/>
    <w:rsid w:val="009267EB"/>
    <w:rsid w:val="00926969"/>
    <w:rsid w:val="00926D0E"/>
    <w:rsid w:val="00926FFE"/>
    <w:rsid w:val="009271D4"/>
    <w:rsid w:val="009273D0"/>
    <w:rsid w:val="009277F6"/>
    <w:rsid w:val="00927971"/>
    <w:rsid w:val="00927ABF"/>
    <w:rsid w:val="00927B0C"/>
    <w:rsid w:val="00927BDD"/>
    <w:rsid w:val="00927C3D"/>
    <w:rsid w:val="009302BC"/>
    <w:rsid w:val="009302C7"/>
    <w:rsid w:val="009308F6"/>
    <w:rsid w:val="00930F8D"/>
    <w:rsid w:val="00931064"/>
    <w:rsid w:val="009310BD"/>
    <w:rsid w:val="0093110A"/>
    <w:rsid w:val="009311B0"/>
    <w:rsid w:val="00931466"/>
    <w:rsid w:val="0093156D"/>
    <w:rsid w:val="00931B8B"/>
    <w:rsid w:val="009320FE"/>
    <w:rsid w:val="00932172"/>
    <w:rsid w:val="00932194"/>
    <w:rsid w:val="009322ED"/>
    <w:rsid w:val="00932301"/>
    <w:rsid w:val="009324A9"/>
    <w:rsid w:val="0093253E"/>
    <w:rsid w:val="00932570"/>
    <w:rsid w:val="00932619"/>
    <w:rsid w:val="009326DA"/>
    <w:rsid w:val="009329B5"/>
    <w:rsid w:val="009329C0"/>
    <w:rsid w:val="00932B68"/>
    <w:rsid w:val="00932FFD"/>
    <w:rsid w:val="00933250"/>
    <w:rsid w:val="00933310"/>
    <w:rsid w:val="00933396"/>
    <w:rsid w:val="009333F0"/>
    <w:rsid w:val="0093398E"/>
    <w:rsid w:val="00933C47"/>
    <w:rsid w:val="00933C92"/>
    <w:rsid w:val="00933DFE"/>
    <w:rsid w:val="009340D1"/>
    <w:rsid w:val="009342D0"/>
    <w:rsid w:val="009345C7"/>
    <w:rsid w:val="0093489B"/>
    <w:rsid w:val="00934A36"/>
    <w:rsid w:val="00934CBA"/>
    <w:rsid w:val="00934D44"/>
    <w:rsid w:val="00934D53"/>
    <w:rsid w:val="00934E3C"/>
    <w:rsid w:val="00935141"/>
    <w:rsid w:val="00935233"/>
    <w:rsid w:val="00935ABF"/>
    <w:rsid w:val="00935DE7"/>
    <w:rsid w:val="00936478"/>
    <w:rsid w:val="009364EA"/>
    <w:rsid w:val="00936540"/>
    <w:rsid w:val="00936C73"/>
    <w:rsid w:val="00936EA3"/>
    <w:rsid w:val="009371DC"/>
    <w:rsid w:val="009372FB"/>
    <w:rsid w:val="009373BA"/>
    <w:rsid w:val="009376B4"/>
    <w:rsid w:val="00937BB9"/>
    <w:rsid w:val="00940500"/>
    <w:rsid w:val="009406FF"/>
    <w:rsid w:val="00940C74"/>
    <w:rsid w:val="00940FB6"/>
    <w:rsid w:val="009414A1"/>
    <w:rsid w:val="009419E0"/>
    <w:rsid w:val="00941CA7"/>
    <w:rsid w:val="009421AE"/>
    <w:rsid w:val="0094237D"/>
    <w:rsid w:val="00942901"/>
    <w:rsid w:val="00942C44"/>
    <w:rsid w:val="00942FB8"/>
    <w:rsid w:val="009430B7"/>
    <w:rsid w:val="00943133"/>
    <w:rsid w:val="009435C0"/>
    <w:rsid w:val="00943E00"/>
    <w:rsid w:val="00943EA1"/>
    <w:rsid w:val="00943FC8"/>
    <w:rsid w:val="009440B3"/>
    <w:rsid w:val="009440B6"/>
    <w:rsid w:val="009444C7"/>
    <w:rsid w:val="00944B69"/>
    <w:rsid w:val="00944B96"/>
    <w:rsid w:val="00944E1D"/>
    <w:rsid w:val="00944ECE"/>
    <w:rsid w:val="00945061"/>
    <w:rsid w:val="00945711"/>
    <w:rsid w:val="00945866"/>
    <w:rsid w:val="00945A1D"/>
    <w:rsid w:val="00945A95"/>
    <w:rsid w:val="00945E6E"/>
    <w:rsid w:val="00945F1F"/>
    <w:rsid w:val="00946363"/>
    <w:rsid w:val="009464ED"/>
    <w:rsid w:val="00946937"/>
    <w:rsid w:val="00946A2E"/>
    <w:rsid w:val="00946A42"/>
    <w:rsid w:val="00946BB8"/>
    <w:rsid w:val="00946DB4"/>
    <w:rsid w:val="00946DB8"/>
    <w:rsid w:val="00947037"/>
    <w:rsid w:val="00947239"/>
    <w:rsid w:val="00947350"/>
    <w:rsid w:val="009476C8"/>
    <w:rsid w:val="0094787B"/>
    <w:rsid w:val="00947ACA"/>
    <w:rsid w:val="00947C2D"/>
    <w:rsid w:val="00947C83"/>
    <w:rsid w:val="00947CBB"/>
    <w:rsid w:val="00947CCF"/>
    <w:rsid w:val="00947D9E"/>
    <w:rsid w:val="00947F87"/>
    <w:rsid w:val="00950145"/>
    <w:rsid w:val="00950188"/>
    <w:rsid w:val="00950391"/>
    <w:rsid w:val="00950733"/>
    <w:rsid w:val="00950892"/>
    <w:rsid w:val="00950B85"/>
    <w:rsid w:val="00950FFB"/>
    <w:rsid w:val="00951105"/>
    <w:rsid w:val="00951A2D"/>
    <w:rsid w:val="00951A2E"/>
    <w:rsid w:val="00951A36"/>
    <w:rsid w:val="00951AA9"/>
    <w:rsid w:val="00951B26"/>
    <w:rsid w:val="00951D86"/>
    <w:rsid w:val="00951EF2"/>
    <w:rsid w:val="00951F09"/>
    <w:rsid w:val="0095213C"/>
    <w:rsid w:val="009522F0"/>
    <w:rsid w:val="009523F3"/>
    <w:rsid w:val="0095249D"/>
    <w:rsid w:val="00952581"/>
    <w:rsid w:val="00952A16"/>
    <w:rsid w:val="00952AB0"/>
    <w:rsid w:val="00952BA7"/>
    <w:rsid w:val="00952BBF"/>
    <w:rsid w:val="00953467"/>
    <w:rsid w:val="0095363F"/>
    <w:rsid w:val="009539EE"/>
    <w:rsid w:val="00953F17"/>
    <w:rsid w:val="00953F4B"/>
    <w:rsid w:val="009540CA"/>
    <w:rsid w:val="00954191"/>
    <w:rsid w:val="0095459E"/>
    <w:rsid w:val="009548BA"/>
    <w:rsid w:val="009549E4"/>
    <w:rsid w:val="00954C26"/>
    <w:rsid w:val="00954E02"/>
    <w:rsid w:val="00954F01"/>
    <w:rsid w:val="00954FDB"/>
    <w:rsid w:val="009551C5"/>
    <w:rsid w:val="00955240"/>
    <w:rsid w:val="009552E5"/>
    <w:rsid w:val="0095559C"/>
    <w:rsid w:val="00955ABB"/>
    <w:rsid w:val="00955F32"/>
    <w:rsid w:val="00955F3B"/>
    <w:rsid w:val="0095653C"/>
    <w:rsid w:val="009567D9"/>
    <w:rsid w:val="00956A7C"/>
    <w:rsid w:val="00956BA8"/>
    <w:rsid w:val="00957119"/>
    <w:rsid w:val="00957543"/>
    <w:rsid w:val="0095754B"/>
    <w:rsid w:val="00957BF1"/>
    <w:rsid w:val="00957C4D"/>
    <w:rsid w:val="00960038"/>
    <w:rsid w:val="0096059F"/>
    <w:rsid w:val="0096062D"/>
    <w:rsid w:val="00960745"/>
    <w:rsid w:val="00960A95"/>
    <w:rsid w:val="00960CFC"/>
    <w:rsid w:val="00960EF2"/>
    <w:rsid w:val="00960F74"/>
    <w:rsid w:val="009613AA"/>
    <w:rsid w:val="00961521"/>
    <w:rsid w:val="009617B3"/>
    <w:rsid w:val="00961A3B"/>
    <w:rsid w:val="00961AA4"/>
    <w:rsid w:val="00961E90"/>
    <w:rsid w:val="009621AC"/>
    <w:rsid w:val="0096222D"/>
    <w:rsid w:val="00962287"/>
    <w:rsid w:val="009622B3"/>
    <w:rsid w:val="00962457"/>
    <w:rsid w:val="0096253F"/>
    <w:rsid w:val="00962A26"/>
    <w:rsid w:val="00962A50"/>
    <w:rsid w:val="00962AAB"/>
    <w:rsid w:val="00962CD7"/>
    <w:rsid w:val="00963160"/>
    <w:rsid w:val="009631E3"/>
    <w:rsid w:val="009634C1"/>
    <w:rsid w:val="00963AB4"/>
    <w:rsid w:val="00963D63"/>
    <w:rsid w:val="00963E82"/>
    <w:rsid w:val="00964016"/>
    <w:rsid w:val="00964078"/>
    <w:rsid w:val="009640DB"/>
    <w:rsid w:val="0096416F"/>
    <w:rsid w:val="00964300"/>
    <w:rsid w:val="00964A17"/>
    <w:rsid w:val="00964D27"/>
    <w:rsid w:val="00964DAA"/>
    <w:rsid w:val="00964E50"/>
    <w:rsid w:val="0096569A"/>
    <w:rsid w:val="00965834"/>
    <w:rsid w:val="009659DD"/>
    <w:rsid w:val="00965A43"/>
    <w:rsid w:val="00965AF6"/>
    <w:rsid w:val="00965B40"/>
    <w:rsid w:val="009660A4"/>
    <w:rsid w:val="0096623C"/>
    <w:rsid w:val="00966329"/>
    <w:rsid w:val="00966613"/>
    <w:rsid w:val="00966BDA"/>
    <w:rsid w:val="00966E80"/>
    <w:rsid w:val="00966EA3"/>
    <w:rsid w:val="009671AE"/>
    <w:rsid w:val="0096738A"/>
    <w:rsid w:val="0096748F"/>
    <w:rsid w:val="009678E8"/>
    <w:rsid w:val="009678F1"/>
    <w:rsid w:val="00967D2D"/>
    <w:rsid w:val="00967F3F"/>
    <w:rsid w:val="009700DA"/>
    <w:rsid w:val="00970287"/>
    <w:rsid w:val="00970589"/>
    <w:rsid w:val="009705F1"/>
    <w:rsid w:val="0097093E"/>
    <w:rsid w:val="00970D5B"/>
    <w:rsid w:val="00970D5C"/>
    <w:rsid w:val="009710EB"/>
    <w:rsid w:val="0097134D"/>
    <w:rsid w:val="009716E8"/>
    <w:rsid w:val="009717E0"/>
    <w:rsid w:val="00971993"/>
    <w:rsid w:val="00971CBC"/>
    <w:rsid w:val="00971F48"/>
    <w:rsid w:val="0097216B"/>
    <w:rsid w:val="00972543"/>
    <w:rsid w:val="00972839"/>
    <w:rsid w:val="00972D14"/>
    <w:rsid w:val="00972FF9"/>
    <w:rsid w:val="00973194"/>
    <w:rsid w:val="00973586"/>
    <w:rsid w:val="0097393F"/>
    <w:rsid w:val="00973BA3"/>
    <w:rsid w:val="00973EF1"/>
    <w:rsid w:val="0097439E"/>
    <w:rsid w:val="00974760"/>
    <w:rsid w:val="0097490B"/>
    <w:rsid w:val="00974DFE"/>
    <w:rsid w:val="0097509E"/>
    <w:rsid w:val="009752F7"/>
    <w:rsid w:val="009755CD"/>
    <w:rsid w:val="0097564B"/>
    <w:rsid w:val="009757B5"/>
    <w:rsid w:val="0097599A"/>
    <w:rsid w:val="00975B73"/>
    <w:rsid w:val="00975DF7"/>
    <w:rsid w:val="00975E58"/>
    <w:rsid w:val="00976530"/>
    <w:rsid w:val="0097654B"/>
    <w:rsid w:val="009765AD"/>
    <w:rsid w:val="0097661A"/>
    <w:rsid w:val="00976B49"/>
    <w:rsid w:val="0097701F"/>
    <w:rsid w:val="009771F0"/>
    <w:rsid w:val="0097738B"/>
    <w:rsid w:val="00977433"/>
    <w:rsid w:val="009777B6"/>
    <w:rsid w:val="00977962"/>
    <w:rsid w:val="00977A7C"/>
    <w:rsid w:val="00977BD5"/>
    <w:rsid w:val="00977F8D"/>
    <w:rsid w:val="00977F9B"/>
    <w:rsid w:val="009800EE"/>
    <w:rsid w:val="0098054B"/>
    <w:rsid w:val="0098057D"/>
    <w:rsid w:val="009805A0"/>
    <w:rsid w:val="00980766"/>
    <w:rsid w:val="00980EE8"/>
    <w:rsid w:val="00980F38"/>
    <w:rsid w:val="0098113F"/>
    <w:rsid w:val="009811E1"/>
    <w:rsid w:val="00981551"/>
    <w:rsid w:val="009818A1"/>
    <w:rsid w:val="00981C07"/>
    <w:rsid w:val="00981DCF"/>
    <w:rsid w:val="0098210E"/>
    <w:rsid w:val="0098238A"/>
    <w:rsid w:val="0098242C"/>
    <w:rsid w:val="009829EB"/>
    <w:rsid w:val="00982A56"/>
    <w:rsid w:val="00982C71"/>
    <w:rsid w:val="00982D57"/>
    <w:rsid w:val="00983111"/>
    <w:rsid w:val="00983370"/>
    <w:rsid w:val="00983786"/>
    <w:rsid w:val="00983BCB"/>
    <w:rsid w:val="00983EE6"/>
    <w:rsid w:val="00983F23"/>
    <w:rsid w:val="00983FBD"/>
    <w:rsid w:val="0098457C"/>
    <w:rsid w:val="009846C6"/>
    <w:rsid w:val="0098488A"/>
    <w:rsid w:val="00984913"/>
    <w:rsid w:val="00984BFE"/>
    <w:rsid w:val="00984C7B"/>
    <w:rsid w:val="00984C88"/>
    <w:rsid w:val="00984EA9"/>
    <w:rsid w:val="00984F49"/>
    <w:rsid w:val="009851B6"/>
    <w:rsid w:val="009851C5"/>
    <w:rsid w:val="0098528E"/>
    <w:rsid w:val="009853B1"/>
    <w:rsid w:val="00985776"/>
    <w:rsid w:val="009857F5"/>
    <w:rsid w:val="009865A6"/>
    <w:rsid w:val="0098673F"/>
    <w:rsid w:val="0098698A"/>
    <w:rsid w:val="00986E48"/>
    <w:rsid w:val="00987109"/>
    <w:rsid w:val="009872BF"/>
    <w:rsid w:val="0098747D"/>
    <w:rsid w:val="00987673"/>
    <w:rsid w:val="0099010B"/>
    <w:rsid w:val="009901FD"/>
    <w:rsid w:val="0099076E"/>
    <w:rsid w:val="009907B7"/>
    <w:rsid w:val="00990809"/>
    <w:rsid w:val="00990852"/>
    <w:rsid w:val="00990876"/>
    <w:rsid w:val="00990B15"/>
    <w:rsid w:val="00990BA8"/>
    <w:rsid w:val="00990C98"/>
    <w:rsid w:val="0099110C"/>
    <w:rsid w:val="0099134D"/>
    <w:rsid w:val="0099157B"/>
    <w:rsid w:val="0099163C"/>
    <w:rsid w:val="00991669"/>
    <w:rsid w:val="009916ED"/>
    <w:rsid w:val="00991A49"/>
    <w:rsid w:val="00991CCE"/>
    <w:rsid w:val="00991F1F"/>
    <w:rsid w:val="00992524"/>
    <w:rsid w:val="00992840"/>
    <w:rsid w:val="00992983"/>
    <w:rsid w:val="00992CAA"/>
    <w:rsid w:val="00992E20"/>
    <w:rsid w:val="00992E44"/>
    <w:rsid w:val="00993882"/>
    <w:rsid w:val="00993AB2"/>
    <w:rsid w:val="00993B0E"/>
    <w:rsid w:val="00993E7A"/>
    <w:rsid w:val="00994390"/>
    <w:rsid w:val="00994543"/>
    <w:rsid w:val="009948C5"/>
    <w:rsid w:val="00994B13"/>
    <w:rsid w:val="00994B22"/>
    <w:rsid w:val="00994BC1"/>
    <w:rsid w:val="00994EA6"/>
    <w:rsid w:val="009953C7"/>
    <w:rsid w:val="009953D4"/>
    <w:rsid w:val="009955FA"/>
    <w:rsid w:val="0099574F"/>
    <w:rsid w:val="00995849"/>
    <w:rsid w:val="00995A6C"/>
    <w:rsid w:val="00995D9C"/>
    <w:rsid w:val="0099657D"/>
    <w:rsid w:val="009965FF"/>
    <w:rsid w:val="00996979"/>
    <w:rsid w:val="00996B31"/>
    <w:rsid w:val="00996B97"/>
    <w:rsid w:val="00996BEC"/>
    <w:rsid w:val="00996C9D"/>
    <w:rsid w:val="00996EFD"/>
    <w:rsid w:val="0099705A"/>
    <w:rsid w:val="009972E3"/>
    <w:rsid w:val="0099734D"/>
    <w:rsid w:val="009974A0"/>
    <w:rsid w:val="00997623"/>
    <w:rsid w:val="009977FE"/>
    <w:rsid w:val="009979C8"/>
    <w:rsid w:val="00997F1C"/>
    <w:rsid w:val="00997F52"/>
    <w:rsid w:val="00997F62"/>
    <w:rsid w:val="009A0224"/>
    <w:rsid w:val="009A02FE"/>
    <w:rsid w:val="009A0777"/>
    <w:rsid w:val="009A08AC"/>
    <w:rsid w:val="009A09C9"/>
    <w:rsid w:val="009A123A"/>
    <w:rsid w:val="009A1301"/>
    <w:rsid w:val="009A1810"/>
    <w:rsid w:val="009A1CA2"/>
    <w:rsid w:val="009A1F4B"/>
    <w:rsid w:val="009A233A"/>
    <w:rsid w:val="009A23ED"/>
    <w:rsid w:val="009A25A4"/>
    <w:rsid w:val="009A264C"/>
    <w:rsid w:val="009A2936"/>
    <w:rsid w:val="009A2D8F"/>
    <w:rsid w:val="009A2F1A"/>
    <w:rsid w:val="009A328E"/>
    <w:rsid w:val="009A32A7"/>
    <w:rsid w:val="009A390C"/>
    <w:rsid w:val="009A3CF7"/>
    <w:rsid w:val="009A3FC2"/>
    <w:rsid w:val="009A4388"/>
    <w:rsid w:val="009A4439"/>
    <w:rsid w:val="009A450B"/>
    <w:rsid w:val="009A4984"/>
    <w:rsid w:val="009A4C71"/>
    <w:rsid w:val="009A4E57"/>
    <w:rsid w:val="009A4F7F"/>
    <w:rsid w:val="009A5297"/>
    <w:rsid w:val="009A52E0"/>
    <w:rsid w:val="009A5357"/>
    <w:rsid w:val="009A5375"/>
    <w:rsid w:val="009A5D09"/>
    <w:rsid w:val="009A6079"/>
    <w:rsid w:val="009A613F"/>
    <w:rsid w:val="009A6805"/>
    <w:rsid w:val="009A682B"/>
    <w:rsid w:val="009A6C09"/>
    <w:rsid w:val="009A6DE4"/>
    <w:rsid w:val="009A74F3"/>
    <w:rsid w:val="009A7659"/>
    <w:rsid w:val="009A7961"/>
    <w:rsid w:val="009A7BAB"/>
    <w:rsid w:val="009A7D93"/>
    <w:rsid w:val="009B00DA"/>
    <w:rsid w:val="009B01B3"/>
    <w:rsid w:val="009B036D"/>
    <w:rsid w:val="009B03EF"/>
    <w:rsid w:val="009B09B0"/>
    <w:rsid w:val="009B09BE"/>
    <w:rsid w:val="009B1219"/>
    <w:rsid w:val="009B17AD"/>
    <w:rsid w:val="009B1949"/>
    <w:rsid w:val="009B1A8C"/>
    <w:rsid w:val="009B1C98"/>
    <w:rsid w:val="009B1CB8"/>
    <w:rsid w:val="009B1F9F"/>
    <w:rsid w:val="009B2158"/>
    <w:rsid w:val="009B228D"/>
    <w:rsid w:val="009B22B7"/>
    <w:rsid w:val="009B2731"/>
    <w:rsid w:val="009B28A6"/>
    <w:rsid w:val="009B2CD0"/>
    <w:rsid w:val="009B309E"/>
    <w:rsid w:val="009B311A"/>
    <w:rsid w:val="009B3591"/>
    <w:rsid w:val="009B371F"/>
    <w:rsid w:val="009B3A32"/>
    <w:rsid w:val="009B41E8"/>
    <w:rsid w:val="009B4772"/>
    <w:rsid w:val="009B4797"/>
    <w:rsid w:val="009B48E6"/>
    <w:rsid w:val="009B49F7"/>
    <w:rsid w:val="009B4A4F"/>
    <w:rsid w:val="009B5573"/>
    <w:rsid w:val="009B55C0"/>
    <w:rsid w:val="009B5645"/>
    <w:rsid w:val="009B56D0"/>
    <w:rsid w:val="009B5988"/>
    <w:rsid w:val="009B59D8"/>
    <w:rsid w:val="009B59F6"/>
    <w:rsid w:val="009B5AD2"/>
    <w:rsid w:val="009B5BDE"/>
    <w:rsid w:val="009B602F"/>
    <w:rsid w:val="009B61CC"/>
    <w:rsid w:val="009B6288"/>
    <w:rsid w:val="009B6406"/>
    <w:rsid w:val="009B6418"/>
    <w:rsid w:val="009B6818"/>
    <w:rsid w:val="009B6B6A"/>
    <w:rsid w:val="009B6C46"/>
    <w:rsid w:val="009B6E04"/>
    <w:rsid w:val="009B7192"/>
    <w:rsid w:val="009B755B"/>
    <w:rsid w:val="009B76FB"/>
    <w:rsid w:val="009B79E5"/>
    <w:rsid w:val="009B7C58"/>
    <w:rsid w:val="009B7F90"/>
    <w:rsid w:val="009C0186"/>
    <w:rsid w:val="009C023B"/>
    <w:rsid w:val="009C05AD"/>
    <w:rsid w:val="009C0778"/>
    <w:rsid w:val="009C08E4"/>
    <w:rsid w:val="009C0936"/>
    <w:rsid w:val="009C0AD7"/>
    <w:rsid w:val="009C0D0E"/>
    <w:rsid w:val="009C0D39"/>
    <w:rsid w:val="009C0E1A"/>
    <w:rsid w:val="009C0E49"/>
    <w:rsid w:val="009C10BA"/>
    <w:rsid w:val="009C12D6"/>
    <w:rsid w:val="009C13F3"/>
    <w:rsid w:val="009C14CA"/>
    <w:rsid w:val="009C1514"/>
    <w:rsid w:val="009C1C5A"/>
    <w:rsid w:val="009C1DA6"/>
    <w:rsid w:val="009C23F5"/>
    <w:rsid w:val="009C2597"/>
    <w:rsid w:val="009C27A3"/>
    <w:rsid w:val="009C3040"/>
    <w:rsid w:val="009C305E"/>
    <w:rsid w:val="009C31E4"/>
    <w:rsid w:val="009C3C0A"/>
    <w:rsid w:val="009C3C9C"/>
    <w:rsid w:val="009C3D51"/>
    <w:rsid w:val="009C4042"/>
    <w:rsid w:val="009C4155"/>
    <w:rsid w:val="009C478D"/>
    <w:rsid w:val="009C499C"/>
    <w:rsid w:val="009C4C81"/>
    <w:rsid w:val="009C4D40"/>
    <w:rsid w:val="009C4D49"/>
    <w:rsid w:val="009C4EE3"/>
    <w:rsid w:val="009C4FAC"/>
    <w:rsid w:val="009C508A"/>
    <w:rsid w:val="009C52D0"/>
    <w:rsid w:val="009C53C1"/>
    <w:rsid w:val="009C53ED"/>
    <w:rsid w:val="009C5593"/>
    <w:rsid w:val="009C5622"/>
    <w:rsid w:val="009C5992"/>
    <w:rsid w:val="009C5A80"/>
    <w:rsid w:val="009C5A9A"/>
    <w:rsid w:val="009C5C3E"/>
    <w:rsid w:val="009C5C46"/>
    <w:rsid w:val="009C5E9E"/>
    <w:rsid w:val="009C603B"/>
    <w:rsid w:val="009C6138"/>
    <w:rsid w:val="009C6280"/>
    <w:rsid w:val="009C6443"/>
    <w:rsid w:val="009C6579"/>
    <w:rsid w:val="009C6643"/>
    <w:rsid w:val="009C67F1"/>
    <w:rsid w:val="009C6B71"/>
    <w:rsid w:val="009C722F"/>
    <w:rsid w:val="009C72C5"/>
    <w:rsid w:val="009C7703"/>
    <w:rsid w:val="009C77BE"/>
    <w:rsid w:val="009C7D22"/>
    <w:rsid w:val="009C7F55"/>
    <w:rsid w:val="009D016D"/>
    <w:rsid w:val="009D052B"/>
    <w:rsid w:val="009D0B41"/>
    <w:rsid w:val="009D0CF7"/>
    <w:rsid w:val="009D1B40"/>
    <w:rsid w:val="009D20BA"/>
    <w:rsid w:val="009D210A"/>
    <w:rsid w:val="009D2120"/>
    <w:rsid w:val="009D21ED"/>
    <w:rsid w:val="009D227F"/>
    <w:rsid w:val="009D23C1"/>
    <w:rsid w:val="009D2688"/>
    <w:rsid w:val="009D2767"/>
    <w:rsid w:val="009D28D9"/>
    <w:rsid w:val="009D2B9C"/>
    <w:rsid w:val="009D2EB1"/>
    <w:rsid w:val="009D3005"/>
    <w:rsid w:val="009D30E4"/>
    <w:rsid w:val="009D315E"/>
    <w:rsid w:val="009D31C6"/>
    <w:rsid w:val="009D33E2"/>
    <w:rsid w:val="009D35D1"/>
    <w:rsid w:val="009D3834"/>
    <w:rsid w:val="009D39F6"/>
    <w:rsid w:val="009D3B28"/>
    <w:rsid w:val="009D3C74"/>
    <w:rsid w:val="009D3D6F"/>
    <w:rsid w:val="009D3D86"/>
    <w:rsid w:val="009D3E60"/>
    <w:rsid w:val="009D4108"/>
    <w:rsid w:val="009D4175"/>
    <w:rsid w:val="009D4448"/>
    <w:rsid w:val="009D4537"/>
    <w:rsid w:val="009D472F"/>
    <w:rsid w:val="009D4D54"/>
    <w:rsid w:val="009D4E98"/>
    <w:rsid w:val="009D5370"/>
    <w:rsid w:val="009D5403"/>
    <w:rsid w:val="009D54B6"/>
    <w:rsid w:val="009D597F"/>
    <w:rsid w:val="009D59FF"/>
    <w:rsid w:val="009D5D47"/>
    <w:rsid w:val="009D5E64"/>
    <w:rsid w:val="009D5EC0"/>
    <w:rsid w:val="009D5F4B"/>
    <w:rsid w:val="009D6A26"/>
    <w:rsid w:val="009D753D"/>
    <w:rsid w:val="009D77B9"/>
    <w:rsid w:val="009D77C1"/>
    <w:rsid w:val="009D7988"/>
    <w:rsid w:val="009D7B39"/>
    <w:rsid w:val="009D7CB2"/>
    <w:rsid w:val="009D7D95"/>
    <w:rsid w:val="009D7FC5"/>
    <w:rsid w:val="009E0411"/>
    <w:rsid w:val="009E058D"/>
    <w:rsid w:val="009E07FD"/>
    <w:rsid w:val="009E0EE6"/>
    <w:rsid w:val="009E112F"/>
    <w:rsid w:val="009E132C"/>
    <w:rsid w:val="009E151B"/>
    <w:rsid w:val="009E15BB"/>
    <w:rsid w:val="009E15DC"/>
    <w:rsid w:val="009E1B13"/>
    <w:rsid w:val="009E1FFE"/>
    <w:rsid w:val="009E20CF"/>
    <w:rsid w:val="009E252D"/>
    <w:rsid w:val="009E2890"/>
    <w:rsid w:val="009E2970"/>
    <w:rsid w:val="009E2A01"/>
    <w:rsid w:val="009E2A3F"/>
    <w:rsid w:val="009E2EFD"/>
    <w:rsid w:val="009E35D4"/>
    <w:rsid w:val="009E3894"/>
    <w:rsid w:val="009E394E"/>
    <w:rsid w:val="009E3C83"/>
    <w:rsid w:val="009E413B"/>
    <w:rsid w:val="009E41E3"/>
    <w:rsid w:val="009E4215"/>
    <w:rsid w:val="009E422E"/>
    <w:rsid w:val="009E4286"/>
    <w:rsid w:val="009E467C"/>
    <w:rsid w:val="009E4794"/>
    <w:rsid w:val="009E4BAA"/>
    <w:rsid w:val="009E4BC9"/>
    <w:rsid w:val="009E4C57"/>
    <w:rsid w:val="009E4E31"/>
    <w:rsid w:val="009E4FDC"/>
    <w:rsid w:val="009E53CB"/>
    <w:rsid w:val="009E5594"/>
    <w:rsid w:val="009E55BE"/>
    <w:rsid w:val="009E5E17"/>
    <w:rsid w:val="009E63D3"/>
    <w:rsid w:val="009E6751"/>
    <w:rsid w:val="009E684B"/>
    <w:rsid w:val="009E6948"/>
    <w:rsid w:val="009E6A9F"/>
    <w:rsid w:val="009E6B47"/>
    <w:rsid w:val="009E6D30"/>
    <w:rsid w:val="009E7030"/>
    <w:rsid w:val="009E71A8"/>
    <w:rsid w:val="009E79D3"/>
    <w:rsid w:val="009E7B9A"/>
    <w:rsid w:val="009E7CAC"/>
    <w:rsid w:val="009F015D"/>
    <w:rsid w:val="009F01D4"/>
    <w:rsid w:val="009F01F4"/>
    <w:rsid w:val="009F0468"/>
    <w:rsid w:val="009F084C"/>
    <w:rsid w:val="009F0894"/>
    <w:rsid w:val="009F0E83"/>
    <w:rsid w:val="009F0EA2"/>
    <w:rsid w:val="009F0EE2"/>
    <w:rsid w:val="009F0EE3"/>
    <w:rsid w:val="009F0F48"/>
    <w:rsid w:val="009F0F86"/>
    <w:rsid w:val="009F10EF"/>
    <w:rsid w:val="009F19DE"/>
    <w:rsid w:val="009F1A25"/>
    <w:rsid w:val="009F1F2A"/>
    <w:rsid w:val="009F2124"/>
    <w:rsid w:val="009F2213"/>
    <w:rsid w:val="009F23FB"/>
    <w:rsid w:val="009F284C"/>
    <w:rsid w:val="009F2E1B"/>
    <w:rsid w:val="009F3027"/>
    <w:rsid w:val="009F30D6"/>
    <w:rsid w:val="009F3166"/>
    <w:rsid w:val="009F35D5"/>
    <w:rsid w:val="009F372C"/>
    <w:rsid w:val="009F3966"/>
    <w:rsid w:val="009F3BF3"/>
    <w:rsid w:val="009F3E67"/>
    <w:rsid w:val="009F41CC"/>
    <w:rsid w:val="009F4617"/>
    <w:rsid w:val="009F4863"/>
    <w:rsid w:val="009F4A55"/>
    <w:rsid w:val="009F537E"/>
    <w:rsid w:val="009F5877"/>
    <w:rsid w:val="009F5B5B"/>
    <w:rsid w:val="009F6087"/>
    <w:rsid w:val="009F6140"/>
    <w:rsid w:val="009F6222"/>
    <w:rsid w:val="009F6332"/>
    <w:rsid w:val="009F6439"/>
    <w:rsid w:val="009F69F6"/>
    <w:rsid w:val="009F7436"/>
    <w:rsid w:val="009F7446"/>
    <w:rsid w:val="009F7823"/>
    <w:rsid w:val="009F79DA"/>
    <w:rsid w:val="00A00361"/>
    <w:rsid w:val="00A0036B"/>
    <w:rsid w:val="00A00847"/>
    <w:rsid w:val="00A008A9"/>
    <w:rsid w:val="00A00D83"/>
    <w:rsid w:val="00A00E7D"/>
    <w:rsid w:val="00A00EF0"/>
    <w:rsid w:val="00A0116D"/>
    <w:rsid w:val="00A0123B"/>
    <w:rsid w:val="00A0130C"/>
    <w:rsid w:val="00A0135B"/>
    <w:rsid w:val="00A01385"/>
    <w:rsid w:val="00A01426"/>
    <w:rsid w:val="00A0158F"/>
    <w:rsid w:val="00A01B23"/>
    <w:rsid w:val="00A01C1B"/>
    <w:rsid w:val="00A02543"/>
    <w:rsid w:val="00A02717"/>
    <w:rsid w:val="00A02785"/>
    <w:rsid w:val="00A027E5"/>
    <w:rsid w:val="00A02A40"/>
    <w:rsid w:val="00A02ABF"/>
    <w:rsid w:val="00A02BD4"/>
    <w:rsid w:val="00A02D04"/>
    <w:rsid w:val="00A02F31"/>
    <w:rsid w:val="00A033A4"/>
    <w:rsid w:val="00A03545"/>
    <w:rsid w:val="00A03D0F"/>
    <w:rsid w:val="00A04158"/>
    <w:rsid w:val="00A04257"/>
    <w:rsid w:val="00A04537"/>
    <w:rsid w:val="00A04589"/>
    <w:rsid w:val="00A04598"/>
    <w:rsid w:val="00A04870"/>
    <w:rsid w:val="00A04B13"/>
    <w:rsid w:val="00A04E9E"/>
    <w:rsid w:val="00A04FEC"/>
    <w:rsid w:val="00A054C9"/>
    <w:rsid w:val="00A054D2"/>
    <w:rsid w:val="00A057F5"/>
    <w:rsid w:val="00A05A4F"/>
    <w:rsid w:val="00A05AFE"/>
    <w:rsid w:val="00A05D32"/>
    <w:rsid w:val="00A05DCC"/>
    <w:rsid w:val="00A0605F"/>
    <w:rsid w:val="00A0613E"/>
    <w:rsid w:val="00A0626E"/>
    <w:rsid w:val="00A0632C"/>
    <w:rsid w:val="00A0637B"/>
    <w:rsid w:val="00A06C2E"/>
    <w:rsid w:val="00A070F3"/>
    <w:rsid w:val="00A07344"/>
    <w:rsid w:val="00A077D4"/>
    <w:rsid w:val="00A0798F"/>
    <w:rsid w:val="00A07D2A"/>
    <w:rsid w:val="00A07D52"/>
    <w:rsid w:val="00A07DEA"/>
    <w:rsid w:val="00A07DFD"/>
    <w:rsid w:val="00A1021D"/>
    <w:rsid w:val="00A105B6"/>
    <w:rsid w:val="00A10674"/>
    <w:rsid w:val="00A108EC"/>
    <w:rsid w:val="00A10940"/>
    <w:rsid w:val="00A10F0D"/>
    <w:rsid w:val="00A1101F"/>
    <w:rsid w:val="00A110B7"/>
    <w:rsid w:val="00A110DB"/>
    <w:rsid w:val="00A113AC"/>
    <w:rsid w:val="00A11574"/>
    <w:rsid w:val="00A11687"/>
    <w:rsid w:val="00A11FF9"/>
    <w:rsid w:val="00A11FFB"/>
    <w:rsid w:val="00A120CB"/>
    <w:rsid w:val="00A120D7"/>
    <w:rsid w:val="00A12156"/>
    <w:rsid w:val="00A121AE"/>
    <w:rsid w:val="00A1221E"/>
    <w:rsid w:val="00A12C5B"/>
    <w:rsid w:val="00A12EC3"/>
    <w:rsid w:val="00A1385B"/>
    <w:rsid w:val="00A13A6F"/>
    <w:rsid w:val="00A13C20"/>
    <w:rsid w:val="00A13F3E"/>
    <w:rsid w:val="00A14177"/>
    <w:rsid w:val="00A141CA"/>
    <w:rsid w:val="00A1466A"/>
    <w:rsid w:val="00A14E98"/>
    <w:rsid w:val="00A14F02"/>
    <w:rsid w:val="00A150E9"/>
    <w:rsid w:val="00A15151"/>
    <w:rsid w:val="00A15407"/>
    <w:rsid w:val="00A15564"/>
    <w:rsid w:val="00A15600"/>
    <w:rsid w:val="00A156C1"/>
    <w:rsid w:val="00A15A81"/>
    <w:rsid w:val="00A15C63"/>
    <w:rsid w:val="00A15D29"/>
    <w:rsid w:val="00A15FCB"/>
    <w:rsid w:val="00A1633E"/>
    <w:rsid w:val="00A16487"/>
    <w:rsid w:val="00A16875"/>
    <w:rsid w:val="00A16AEE"/>
    <w:rsid w:val="00A16B50"/>
    <w:rsid w:val="00A16F44"/>
    <w:rsid w:val="00A172A4"/>
    <w:rsid w:val="00A173E1"/>
    <w:rsid w:val="00A176E1"/>
    <w:rsid w:val="00A17C68"/>
    <w:rsid w:val="00A17E06"/>
    <w:rsid w:val="00A20079"/>
    <w:rsid w:val="00A20133"/>
    <w:rsid w:val="00A20526"/>
    <w:rsid w:val="00A206AF"/>
    <w:rsid w:val="00A206F0"/>
    <w:rsid w:val="00A20847"/>
    <w:rsid w:val="00A20D17"/>
    <w:rsid w:val="00A2180B"/>
    <w:rsid w:val="00A21BF6"/>
    <w:rsid w:val="00A21C03"/>
    <w:rsid w:val="00A22489"/>
    <w:rsid w:val="00A2249A"/>
    <w:rsid w:val="00A226F0"/>
    <w:rsid w:val="00A22A9B"/>
    <w:rsid w:val="00A2318B"/>
    <w:rsid w:val="00A231F8"/>
    <w:rsid w:val="00A23229"/>
    <w:rsid w:val="00A2326C"/>
    <w:rsid w:val="00A23319"/>
    <w:rsid w:val="00A23422"/>
    <w:rsid w:val="00A2393D"/>
    <w:rsid w:val="00A23B06"/>
    <w:rsid w:val="00A23D3B"/>
    <w:rsid w:val="00A23D47"/>
    <w:rsid w:val="00A24CE0"/>
    <w:rsid w:val="00A24FDC"/>
    <w:rsid w:val="00A2502A"/>
    <w:rsid w:val="00A2530C"/>
    <w:rsid w:val="00A25417"/>
    <w:rsid w:val="00A25523"/>
    <w:rsid w:val="00A255E0"/>
    <w:rsid w:val="00A25729"/>
    <w:rsid w:val="00A258DC"/>
    <w:rsid w:val="00A25940"/>
    <w:rsid w:val="00A25969"/>
    <w:rsid w:val="00A25A01"/>
    <w:rsid w:val="00A25A05"/>
    <w:rsid w:val="00A25C1B"/>
    <w:rsid w:val="00A25DA9"/>
    <w:rsid w:val="00A260A8"/>
    <w:rsid w:val="00A260D8"/>
    <w:rsid w:val="00A26228"/>
    <w:rsid w:val="00A2628E"/>
    <w:rsid w:val="00A2678A"/>
    <w:rsid w:val="00A26908"/>
    <w:rsid w:val="00A26CB8"/>
    <w:rsid w:val="00A26DED"/>
    <w:rsid w:val="00A26DF1"/>
    <w:rsid w:val="00A2733E"/>
    <w:rsid w:val="00A277D9"/>
    <w:rsid w:val="00A2794C"/>
    <w:rsid w:val="00A27A54"/>
    <w:rsid w:val="00A27A7B"/>
    <w:rsid w:val="00A27AB6"/>
    <w:rsid w:val="00A27EAF"/>
    <w:rsid w:val="00A30036"/>
    <w:rsid w:val="00A3006C"/>
    <w:rsid w:val="00A30088"/>
    <w:rsid w:val="00A30181"/>
    <w:rsid w:val="00A304AC"/>
    <w:rsid w:val="00A3083E"/>
    <w:rsid w:val="00A30862"/>
    <w:rsid w:val="00A30906"/>
    <w:rsid w:val="00A30C61"/>
    <w:rsid w:val="00A30F28"/>
    <w:rsid w:val="00A30F66"/>
    <w:rsid w:val="00A319ED"/>
    <w:rsid w:val="00A320A1"/>
    <w:rsid w:val="00A32300"/>
    <w:rsid w:val="00A32336"/>
    <w:rsid w:val="00A3258A"/>
    <w:rsid w:val="00A32792"/>
    <w:rsid w:val="00A329B8"/>
    <w:rsid w:val="00A32A3C"/>
    <w:rsid w:val="00A32CDE"/>
    <w:rsid w:val="00A335B6"/>
    <w:rsid w:val="00A338EB"/>
    <w:rsid w:val="00A33D9F"/>
    <w:rsid w:val="00A343BE"/>
    <w:rsid w:val="00A3498E"/>
    <w:rsid w:val="00A34995"/>
    <w:rsid w:val="00A34B1F"/>
    <w:rsid w:val="00A34BD8"/>
    <w:rsid w:val="00A34CEE"/>
    <w:rsid w:val="00A350BF"/>
    <w:rsid w:val="00A350E8"/>
    <w:rsid w:val="00A3533E"/>
    <w:rsid w:val="00A354BF"/>
    <w:rsid w:val="00A35524"/>
    <w:rsid w:val="00A3556F"/>
    <w:rsid w:val="00A359F5"/>
    <w:rsid w:val="00A35A4E"/>
    <w:rsid w:val="00A35DAC"/>
    <w:rsid w:val="00A35DEA"/>
    <w:rsid w:val="00A36368"/>
    <w:rsid w:val="00A363BF"/>
    <w:rsid w:val="00A3665C"/>
    <w:rsid w:val="00A3668D"/>
    <w:rsid w:val="00A366D9"/>
    <w:rsid w:val="00A36920"/>
    <w:rsid w:val="00A369DD"/>
    <w:rsid w:val="00A36A5A"/>
    <w:rsid w:val="00A36EF2"/>
    <w:rsid w:val="00A372BD"/>
    <w:rsid w:val="00A3797D"/>
    <w:rsid w:val="00A37AC3"/>
    <w:rsid w:val="00A37BBA"/>
    <w:rsid w:val="00A37DC4"/>
    <w:rsid w:val="00A37F89"/>
    <w:rsid w:val="00A40492"/>
    <w:rsid w:val="00A40548"/>
    <w:rsid w:val="00A40D61"/>
    <w:rsid w:val="00A4112E"/>
    <w:rsid w:val="00A413B6"/>
    <w:rsid w:val="00A4186F"/>
    <w:rsid w:val="00A41AAD"/>
    <w:rsid w:val="00A41F87"/>
    <w:rsid w:val="00A41FEA"/>
    <w:rsid w:val="00A4225C"/>
    <w:rsid w:val="00A42445"/>
    <w:rsid w:val="00A4246F"/>
    <w:rsid w:val="00A42715"/>
    <w:rsid w:val="00A429A1"/>
    <w:rsid w:val="00A42A9D"/>
    <w:rsid w:val="00A42E1E"/>
    <w:rsid w:val="00A4333D"/>
    <w:rsid w:val="00A433A7"/>
    <w:rsid w:val="00A43797"/>
    <w:rsid w:val="00A439B7"/>
    <w:rsid w:val="00A43B20"/>
    <w:rsid w:val="00A43BEF"/>
    <w:rsid w:val="00A4431A"/>
    <w:rsid w:val="00A443D3"/>
    <w:rsid w:val="00A446E8"/>
    <w:rsid w:val="00A448CE"/>
    <w:rsid w:val="00A44B71"/>
    <w:rsid w:val="00A44B99"/>
    <w:rsid w:val="00A45245"/>
    <w:rsid w:val="00A4524C"/>
    <w:rsid w:val="00A4546B"/>
    <w:rsid w:val="00A454BE"/>
    <w:rsid w:val="00A458F1"/>
    <w:rsid w:val="00A46188"/>
    <w:rsid w:val="00A4677C"/>
    <w:rsid w:val="00A46875"/>
    <w:rsid w:val="00A46FB3"/>
    <w:rsid w:val="00A470DB"/>
    <w:rsid w:val="00A471CE"/>
    <w:rsid w:val="00A47229"/>
    <w:rsid w:val="00A473AE"/>
    <w:rsid w:val="00A47552"/>
    <w:rsid w:val="00A478AA"/>
    <w:rsid w:val="00A47941"/>
    <w:rsid w:val="00A4799C"/>
    <w:rsid w:val="00A47C78"/>
    <w:rsid w:val="00A47D52"/>
    <w:rsid w:val="00A47E4C"/>
    <w:rsid w:val="00A47F3F"/>
    <w:rsid w:val="00A50699"/>
    <w:rsid w:val="00A5071D"/>
    <w:rsid w:val="00A507E7"/>
    <w:rsid w:val="00A50995"/>
    <w:rsid w:val="00A50AC5"/>
    <w:rsid w:val="00A50CDB"/>
    <w:rsid w:val="00A50D21"/>
    <w:rsid w:val="00A50DAE"/>
    <w:rsid w:val="00A50FAE"/>
    <w:rsid w:val="00A51093"/>
    <w:rsid w:val="00A511CE"/>
    <w:rsid w:val="00A511DB"/>
    <w:rsid w:val="00A5124D"/>
    <w:rsid w:val="00A512DE"/>
    <w:rsid w:val="00A51AE9"/>
    <w:rsid w:val="00A51B36"/>
    <w:rsid w:val="00A51B70"/>
    <w:rsid w:val="00A51EBD"/>
    <w:rsid w:val="00A51EEA"/>
    <w:rsid w:val="00A51F62"/>
    <w:rsid w:val="00A5246A"/>
    <w:rsid w:val="00A5285D"/>
    <w:rsid w:val="00A52B32"/>
    <w:rsid w:val="00A52E14"/>
    <w:rsid w:val="00A52E2C"/>
    <w:rsid w:val="00A53085"/>
    <w:rsid w:val="00A535BA"/>
    <w:rsid w:val="00A53D64"/>
    <w:rsid w:val="00A53E3E"/>
    <w:rsid w:val="00A53E4C"/>
    <w:rsid w:val="00A546E5"/>
    <w:rsid w:val="00A5484F"/>
    <w:rsid w:val="00A54C3A"/>
    <w:rsid w:val="00A54E3F"/>
    <w:rsid w:val="00A5559E"/>
    <w:rsid w:val="00A5566B"/>
    <w:rsid w:val="00A55728"/>
    <w:rsid w:val="00A557A5"/>
    <w:rsid w:val="00A55A05"/>
    <w:rsid w:val="00A55AD0"/>
    <w:rsid w:val="00A55BB8"/>
    <w:rsid w:val="00A55DA7"/>
    <w:rsid w:val="00A55E0B"/>
    <w:rsid w:val="00A56057"/>
    <w:rsid w:val="00A56124"/>
    <w:rsid w:val="00A5637A"/>
    <w:rsid w:val="00A56394"/>
    <w:rsid w:val="00A56A47"/>
    <w:rsid w:val="00A56B9D"/>
    <w:rsid w:val="00A56BCF"/>
    <w:rsid w:val="00A56CE7"/>
    <w:rsid w:val="00A57148"/>
    <w:rsid w:val="00A5734A"/>
    <w:rsid w:val="00A574AA"/>
    <w:rsid w:val="00A578BA"/>
    <w:rsid w:val="00A5793D"/>
    <w:rsid w:val="00A579CA"/>
    <w:rsid w:val="00A57B66"/>
    <w:rsid w:val="00A57BFF"/>
    <w:rsid w:val="00A57C1F"/>
    <w:rsid w:val="00A57FAF"/>
    <w:rsid w:val="00A608AF"/>
    <w:rsid w:val="00A60931"/>
    <w:rsid w:val="00A60A8D"/>
    <w:rsid w:val="00A613F1"/>
    <w:rsid w:val="00A615E5"/>
    <w:rsid w:val="00A61722"/>
    <w:rsid w:val="00A6198C"/>
    <w:rsid w:val="00A61B4D"/>
    <w:rsid w:val="00A61D1F"/>
    <w:rsid w:val="00A623CF"/>
    <w:rsid w:val="00A6279B"/>
    <w:rsid w:val="00A62839"/>
    <w:rsid w:val="00A6289E"/>
    <w:rsid w:val="00A629F0"/>
    <w:rsid w:val="00A62F24"/>
    <w:rsid w:val="00A63071"/>
    <w:rsid w:val="00A635E3"/>
    <w:rsid w:val="00A637FB"/>
    <w:rsid w:val="00A63890"/>
    <w:rsid w:val="00A63AAF"/>
    <w:rsid w:val="00A63D97"/>
    <w:rsid w:val="00A64D21"/>
    <w:rsid w:val="00A64F8A"/>
    <w:rsid w:val="00A6528E"/>
    <w:rsid w:val="00A6580D"/>
    <w:rsid w:val="00A65876"/>
    <w:rsid w:val="00A6611D"/>
    <w:rsid w:val="00A6612E"/>
    <w:rsid w:val="00A661CA"/>
    <w:rsid w:val="00A6635C"/>
    <w:rsid w:val="00A6661B"/>
    <w:rsid w:val="00A66A4D"/>
    <w:rsid w:val="00A67031"/>
    <w:rsid w:val="00A676A9"/>
    <w:rsid w:val="00A676AB"/>
    <w:rsid w:val="00A67CC5"/>
    <w:rsid w:val="00A67E34"/>
    <w:rsid w:val="00A703AB"/>
    <w:rsid w:val="00A70437"/>
    <w:rsid w:val="00A70537"/>
    <w:rsid w:val="00A70923"/>
    <w:rsid w:val="00A70CF6"/>
    <w:rsid w:val="00A71106"/>
    <w:rsid w:val="00A7120C"/>
    <w:rsid w:val="00A713CD"/>
    <w:rsid w:val="00A716AC"/>
    <w:rsid w:val="00A71C18"/>
    <w:rsid w:val="00A71CA7"/>
    <w:rsid w:val="00A7230F"/>
    <w:rsid w:val="00A72336"/>
    <w:rsid w:val="00A7297A"/>
    <w:rsid w:val="00A72A14"/>
    <w:rsid w:val="00A72E50"/>
    <w:rsid w:val="00A72F97"/>
    <w:rsid w:val="00A73309"/>
    <w:rsid w:val="00A7333E"/>
    <w:rsid w:val="00A736A2"/>
    <w:rsid w:val="00A737DD"/>
    <w:rsid w:val="00A73853"/>
    <w:rsid w:val="00A738A6"/>
    <w:rsid w:val="00A73A16"/>
    <w:rsid w:val="00A73D85"/>
    <w:rsid w:val="00A7414A"/>
    <w:rsid w:val="00A74577"/>
    <w:rsid w:val="00A7462E"/>
    <w:rsid w:val="00A7494C"/>
    <w:rsid w:val="00A74BF6"/>
    <w:rsid w:val="00A74FC4"/>
    <w:rsid w:val="00A75005"/>
    <w:rsid w:val="00A75078"/>
    <w:rsid w:val="00A75504"/>
    <w:rsid w:val="00A75550"/>
    <w:rsid w:val="00A75816"/>
    <w:rsid w:val="00A758AE"/>
    <w:rsid w:val="00A75B32"/>
    <w:rsid w:val="00A75EAD"/>
    <w:rsid w:val="00A75F73"/>
    <w:rsid w:val="00A7683B"/>
    <w:rsid w:val="00A76918"/>
    <w:rsid w:val="00A7692A"/>
    <w:rsid w:val="00A769FD"/>
    <w:rsid w:val="00A76A88"/>
    <w:rsid w:val="00A76B43"/>
    <w:rsid w:val="00A76DA8"/>
    <w:rsid w:val="00A772C4"/>
    <w:rsid w:val="00A775F3"/>
    <w:rsid w:val="00A77990"/>
    <w:rsid w:val="00A77BE8"/>
    <w:rsid w:val="00A77CCA"/>
    <w:rsid w:val="00A77F3F"/>
    <w:rsid w:val="00A77FF0"/>
    <w:rsid w:val="00A80252"/>
    <w:rsid w:val="00A802E3"/>
    <w:rsid w:val="00A8045B"/>
    <w:rsid w:val="00A80620"/>
    <w:rsid w:val="00A80734"/>
    <w:rsid w:val="00A80984"/>
    <w:rsid w:val="00A80CC5"/>
    <w:rsid w:val="00A80CE8"/>
    <w:rsid w:val="00A80D67"/>
    <w:rsid w:val="00A80DB1"/>
    <w:rsid w:val="00A80E51"/>
    <w:rsid w:val="00A80F87"/>
    <w:rsid w:val="00A810AE"/>
    <w:rsid w:val="00A812CB"/>
    <w:rsid w:val="00A814A5"/>
    <w:rsid w:val="00A81A59"/>
    <w:rsid w:val="00A81C9D"/>
    <w:rsid w:val="00A81FE7"/>
    <w:rsid w:val="00A825CB"/>
    <w:rsid w:val="00A829CA"/>
    <w:rsid w:val="00A82AEE"/>
    <w:rsid w:val="00A82D1A"/>
    <w:rsid w:val="00A82EA8"/>
    <w:rsid w:val="00A83146"/>
    <w:rsid w:val="00A83390"/>
    <w:rsid w:val="00A83585"/>
    <w:rsid w:val="00A83B16"/>
    <w:rsid w:val="00A83DD8"/>
    <w:rsid w:val="00A840C9"/>
    <w:rsid w:val="00A841A6"/>
    <w:rsid w:val="00A846A1"/>
    <w:rsid w:val="00A84802"/>
    <w:rsid w:val="00A8490E"/>
    <w:rsid w:val="00A84A74"/>
    <w:rsid w:val="00A84EB1"/>
    <w:rsid w:val="00A84F69"/>
    <w:rsid w:val="00A850A7"/>
    <w:rsid w:val="00A85178"/>
    <w:rsid w:val="00A85C1A"/>
    <w:rsid w:val="00A85E0D"/>
    <w:rsid w:val="00A85F27"/>
    <w:rsid w:val="00A85FD5"/>
    <w:rsid w:val="00A86029"/>
    <w:rsid w:val="00A864EC"/>
    <w:rsid w:val="00A864F4"/>
    <w:rsid w:val="00A86529"/>
    <w:rsid w:val="00A86564"/>
    <w:rsid w:val="00A867C1"/>
    <w:rsid w:val="00A868B8"/>
    <w:rsid w:val="00A868F4"/>
    <w:rsid w:val="00A86C80"/>
    <w:rsid w:val="00A86E3A"/>
    <w:rsid w:val="00A86ECE"/>
    <w:rsid w:val="00A86FA7"/>
    <w:rsid w:val="00A86FC8"/>
    <w:rsid w:val="00A86FEE"/>
    <w:rsid w:val="00A87063"/>
    <w:rsid w:val="00A872FF"/>
    <w:rsid w:val="00A8753C"/>
    <w:rsid w:val="00A8767E"/>
    <w:rsid w:val="00A87815"/>
    <w:rsid w:val="00A8792D"/>
    <w:rsid w:val="00A879D7"/>
    <w:rsid w:val="00A87B2A"/>
    <w:rsid w:val="00A87F37"/>
    <w:rsid w:val="00A90020"/>
    <w:rsid w:val="00A90069"/>
    <w:rsid w:val="00A9013C"/>
    <w:rsid w:val="00A9018B"/>
    <w:rsid w:val="00A902DA"/>
    <w:rsid w:val="00A90322"/>
    <w:rsid w:val="00A903E2"/>
    <w:rsid w:val="00A90736"/>
    <w:rsid w:val="00A9073C"/>
    <w:rsid w:val="00A90C0E"/>
    <w:rsid w:val="00A90D00"/>
    <w:rsid w:val="00A90EB8"/>
    <w:rsid w:val="00A911B5"/>
    <w:rsid w:val="00A91408"/>
    <w:rsid w:val="00A91BB9"/>
    <w:rsid w:val="00A91FAE"/>
    <w:rsid w:val="00A92011"/>
    <w:rsid w:val="00A92852"/>
    <w:rsid w:val="00A92B64"/>
    <w:rsid w:val="00A93591"/>
    <w:rsid w:val="00A93672"/>
    <w:rsid w:val="00A938BD"/>
    <w:rsid w:val="00A94032"/>
    <w:rsid w:val="00A940EC"/>
    <w:rsid w:val="00A942E1"/>
    <w:rsid w:val="00A9436D"/>
    <w:rsid w:val="00A94447"/>
    <w:rsid w:val="00A9453D"/>
    <w:rsid w:val="00A94542"/>
    <w:rsid w:val="00A946AF"/>
    <w:rsid w:val="00A94745"/>
    <w:rsid w:val="00A948BD"/>
    <w:rsid w:val="00A9491D"/>
    <w:rsid w:val="00A94BA2"/>
    <w:rsid w:val="00A94CAF"/>
    <w:rsid w:val="00A95098"/>
    <w:rsid w:val="00A9517F"/>
    <w:rsid w:val="00A952DD"/>
    <w:rsid w:val="00A953A8"/>
    <w:rsid w:val="00A95475"/>
    <w:rsid w:val="00A95681"/>
    <w:rsid w:val="00A957EE"/>
    <w:rsid w:val="00A9580B"/>
    <w:rsid w:val="00A95BD6"/>
    <w:rsid w:val="00A95D55"/>
    <w:rsid w:val="00A95EB5"/>
    <w:rsid w:val="00A95EF8"/>
    <w:rsid w:val="00A95F4C"/>
    <w:rsid w:val="00A9612F"/>
    <w:rsid w:val="00A961FF"/>
    <w:rsid w:val="00A969E5"/>
    <w:rsid w:val="00A9709B"/>
    <w:rsid w:val="00A972E4"/>
    <w:rsid w:val="00A97643"/>
    <w:rsid w:val="00A976DB"/>
    <w:rsid w:val="00A97D60"/>
    <w:rsid w:val="00A97E31"/>
    <w:rsid w:val="00A97FBF"/>
    <w:rsid w:val="00AA06C7"/>
    <w:rsid w:val="00AA0B87"/>
    <w:rsid w:val="00AA0BCA"/>
    <w:rsid w:val="00AA0DB8"/>
    <w:rsid w:val="00AA1111"/>
    <w:rsid w:val="00AA1157"/>
    <w:rsid w:val="00AA118B"/>
    <w:rsid w:val="00AA14E8"/>
    <w:rsid w:val="00AA1AC7"/>
    <w:rsid w:val="00AA1DA5"/>
    <w:rsid w:val="00AA1EA6"/>
    <w:rsid w:val="00AA231D"/>
    <w:rsid w:val="00AA2430"/>
    <w:rsid w:val="00AA295F"/>
    <w:rsid w:val="00AA2F0C"/>
    <w:rsid w:val="00AA3434"/>
    <w:rsid w:val="00AA3AF8"/>
    <w:rsid w:val="00AA400F"/>
    <w:rsid w:val="00AA41C1"/>
    <w:rsid w:val="00AA4279"/>
    <w:rsid w:val="00AA4433"/>
    <w:rsid w:val="00AA453A"/>
    <w:rsid w:val="00AA457D"/>
    <w:rsid w:val="00AA49EF"/>
    <w:rsid w:val="00AA4F37"/>
    <w:rsid w:val="00AA4F40"/>
    <w:rsid w:val="00AA5024"/>
    <w:rsid w:val="00AA52E6"/>
    <w:rsid w:val="00AA57AA"/>
    <w:rsid w:val="00AA5DDF"/>
    <w:rsid w:val="00AA633D"/>
    <w:rsid w:val="00AA66D7"/>
    <w:rsid w:val="00AA66FD"/>
    <w:rsid w:val="00AA683E"/>
    <w:rsid w:val="00AA6865"/>
    <w:rsid w:val="00AA69F1"/>
    <w:rsid w:val="00AA6AD5"/>
    <w:rsid w:val="00AA6B1F"/>
    <w:rsid w:val="00AA6B39"/>
    <w:rsid w:val="00AA6B8F"/>
    <w:rsid w:val="00AA6FF5"/>
    <w:rsid w:val="00AA70BF"/>
    <w:rsid w:val="00AA71D7"/>
    <w:rsid w:val="00AA76DB"/>
    <w:rsid w:val="00AA790D"/>
    <w:rsid w:val="00AA7AE0"/>
    <w:rsid w:val="00AA7B2A"/>
    <w:rsid w:val="00AA7F89"/>
    <w:rsid w:val="00AA7F93"/>
    <w:rsid w:val="00AB0239"/>
    <w:rsid w:val="00AB03DA"/>
    <w:rsid w:val="00AB05B8"/>
    <w:rsid w:val="00AB0660"/>
    <w:rsid w:val="00AB06A5"/>
    <w:rsid w:val="00AB0EBD"/>
    <w:rsid w:val="00AB0F45"/>
    <w:rsid w:val="00AB0F88"/>
    <w:rsid w:val="00AB11A9"/>
    <w:rsid w:val="00AB12BC"/>
    <w:rsid w:val="00AB1579"/>
    <w:rsid w:val="00AB16CB"/>
    <w:rsid w:val="00AB19EA"/>
    <w:rsid w:val="00AB1C01"/>
    <w:rsid w:val="00AB1DA6"/>
    <w:rsid w:val="00AB1E71"/>
    <w:rsid w:val="00AB2168"/>
    <w:rsid w:val="00AB2408"/>
    <w:rsid w:val="00AB28CE"/>
    <w:rsid w:val="00AB292D"/>
    <w:rsid w:val="00AB295D"/>
    <w:rsid w:val="00AB2AD0"/>
    <w:rsid w:val="00AB2B5E"/>
    <w:rsid w:val="00AB2B7E"/>
    <w:rsid w:val="00AB2CBE"/>
    <w:rsid w:val="00AB307A"/>
    <w:rsid w:val="00AB316D"/>
    <w:rsid w:val="00AB3265"/>
    <w:rsid w:val="00AB32AE"/>
    <w:rsid w:val="00AB3425"/>
    <w:rsid w:val="00AB3431"/>
    <w:rsid w:val="00AB354B"/>
    <w:rsid w:val="00AB3828"/>
    <w:rsid w:val="00AB3A40"/>
    <w:rsid w:val="00AB3F7F"/>
    <w:rsid w:val="00AB4C0A"/>
    <w:rsid w:val="00AB5194"/>
    <w:rsid w:val="00AB5228"/>
    <w:rsid w:val="00AB525C"/>
    <w:rsid w:val="00AB54FF"/>
    <w:rsid w:val="00AB56A4"/>
    <w:rsid w:val="00AB57C6"/>
    <w:rsid w:val="00AB5956"/>
    <w:rsid w:val="00AB59B6"/>
    <w:rsid w:val="00AB5BD2"/>
    <w:rsid w:val="00AB5ED0"/>
    <w:rsid w:val="00AB62B2"/>
    <w:rsid w:val="00AB680A"/>
    <w:rsid w:val="00AB6920"/>
    <w:rsid w:val="00AB6EBA"/>
    <w:rsid w:val="00AB7168"/>
    <w:rsid w:val="00AB770E"/>
    <w:rsid w:val="00AB78C5"/>
    <w:rsid w:val="00AB7BBA"/>
    <w:rsid w:val="00AB7D1D"/>
    <w:rsid w:val="00AC03F1"/>
    <w:rsid w:val="00AC052F"/>
    <w:rsid w:val="00AC053D"/>
    <w:rsid w:val="00AC0967"/>
    <w:rsid w:val="00AC0A2E"/>
    <w:rsid w:val="00AC0C18"/>
    <w:rsid w:val="00AC13A8"/>
    <w:rsid w:val="00AC1521"/>
    <w:rsid w:val="00AC1714"/>
    <w:rsid w:val="00AC1A73"/>
    <w:rsid w:val="00AC240F"/>
    <w:rsid w:val="00AC25E8"/>
    <w:rsid w:val="00AC3250"/>
    <w:rsid w:val="00AC3512"/>
    <w:rsid w:val="00AC3A20"/>
    <w:rsid w:val="00AC3A7B"/>
    <w:rsid w:val="00AC3C24"/>
    <w:rsid w:val="00AC3DE2"/>
    <w:rsid w:val="00AC3F09"/>
    <w:rsid w:val="00AC41C3"/>
    <w:rsid w:val="00AC44DD"/>
    <w:rsid w:val="00AC49FE"/>
    <w:rsid w:val="00AC4D28"/>
    <w:rsid w:val="00AC4D67"/>
    <w:rsid w:val="00AC4EC4"/>
    <w:rsid w:val="00AC51ED"/>
    <w:rsid w:val="00AC527A"/>
    <w:rsid w:val="00AC5641"/>
    <w:rsid w:val="00AC56CF"/>
    <w:rsid w:val="00AC5943"/>
    <w:rsid w:val="00AC5CA8"/>
    <w:rsid w:val="00AC5E38"/>
    <w:rsid w:val="00AC6160"/>
    <w:rsid w:val="00AC6278"/>
    <w:rsid w:val="00AC67F8"/>
    <w:rsid w:val="00AC6829"/>
    <w:rsid w:val="00AC68DD"/>
    <w:rsid w:val="00AC6AB7"/>
    <w:rsid w:val="00AC6E5A"/>
    <w:rsid w:val="00AC7072"/>
    <w:rsid w:val="00AC73C5"/>
    <w:rsid w:val="00AC75D9"/>
    <w:rsid w:val="00AC7B60"/>
    <w:rsid w:val="00AC7C56"/>
    <w:rsid w:val="00AC7D4F"/>
    <w:rsid w:val="00AC7EC4"/>
    <w:rsid w:val="00AD0661"/>
    <w:rsid w:val="00AD06BA"/>
    <w:rsid w:val="00AD0771"/>
    <w:rsid w:val="00AD07B4"/>
    <w:rsid w:val="00AD08BD"/>
    <w:rsid w:val="00AD0A4B"/>
    <w:rsid w:val="00AD0C25"/>
    <w:rsid w:val="00AD0E70"/>
    <w:rsid w:val="00AD1193"/>
    <w:rsid w:val="00AD13B8"/>
    <w:rsid w:val="00AD15F4"/>
    <w:rsid w:val="00AD1865"/>
    <w:rsid w:val="00AD1A46"/>
    <w:rsid w:val="00AD1C69"/>
    <w:rsid w:val="00AD1C90"/>
    <w:rsid w:val="00AD1C98"/>
    <w:rsid w:val="00AD1D4A"/>
    <w:rsid w:val="00AD1D9E"/>
    <w:rsid w:val="00AD1E22"/>
    <w:rsid w:val="00AD2111"/>
    <w:rsid w:val="00AD221E"/>
    <w:rsid w:val="00AD225C"/>
    <w:rsid w:val="00AD2562"/>
    <w:rsid w:val="00AD28E7"/>
    <w:rsid w:val="00AD2B2C"/>
    <w:rsid w:val="00AD2BF8"/>
    <w:rsid w:val="00AD2D7A"/>
    <w:rsid w:val="00AD2F0D"/>
    <w:rsid w:val="00AD3230"/>
    <w:rsid w:val="00AD3B0A"/>
    <w:rsid w:val="00AD3BAD"/>
    <w:rsid w:val="00AD3CAB"/>
    <w:rsid w:val="00AD409C"/>
    <w:rsid w:val="00AD435B"/>
    <w:rsid w:val="00AD4527"/>
    <w:rsid w:val="00AD46A2"/>
    <w:rsid w:val="00AD4A4A"/>
    <w:rsid w:val="00AD4A65"/>
    <w:rsid w:val="00AD4B25"/>
    <w:rsid w:val="00AD4D47"/>
    <w:rsid w:val="00AD4D96"/>
    <w:rsid w:val="00AD51F5"/>
    <w:rsid w:val="00AD5327"/>
    <w:rsid w:val="00AD5658"/>
    <w:rsid w:val="00AD5744"/>
    <w:rsid w:val="00AD5748"/>
    <w:rsid w:val="00AD58CF"/>
    <w:rsid w:val="00AD5A5F"/>
    <w:rsid w:val="00AD5B6E"/>
    <w:rsid w:val="00AD5CC1"/>
    <w:rsid w:val="00AD6280"/>
    <w:rsid w:val="00AD6330"/>
    <w:rsid w:val="00AD63CE"/>
    <w:rsid w:val="00AD64D9"/>
    <w:rsid w:val="00AD6535"/>
    <w:rsid w:val="00AD6724"/>
    <w:rsid w:val="00AD6761"/>
    <w:rsid w:val="00AD692D"/>
    <w:rsid w:val="00AD6945"/>
    <w:rsid w:val="00AD6A40"/>
    <w:rsid w:val="00AD6B62"/>
    <w:rsid w:val="00AD6C91"/>
    <w:rsid w:val="00AD7144"/>
    <w:rsid w:val="00AD75A2"/>
    <w:rsid w:val="00AD75E7"/>
    <w:rsid w:val="00AD7602"/>
    <w:rsid w:val="00AD768E"/>
    <w:rsid w:val="00AD7843"/>
    <w:rsid w:val="00AD795C"/>
    <w:rsid w:val="00AD7CCE"/>
    <w:rsid w:val="00AD7F1F"/>
    <w:rsid w:val="00AE0137"/>
    <w:rsid w:val="00AE108F"/>
    <w:rsid w:val="00AE1252"/>
    <w:rsid w:val="00AE1385"/>
    <w:rsid w:val="00AE1596"/>
    <w:rsid w:val="00AE15AC"/>
    <w:rsid w:val="00AE1B07"/>
    <w:rsid w:val="00AE1BFC"/>
    <w:rsid w:val="00AE1C52"/>
    <w:rsid w:val="00AE1E97"/>
    <w:rsid w:val="00AE1EE2"/>
    <w:rsid w:val="00AE1F9F"/>
    <w:rsid w:val="00AE230F"/>
    <w:rsid w:val="00AE23A0"/>
    <w:rsid w:val="00AE2635"/>
    <w:rsid w:val="00AE2681"/>
    <w:rsid w:val="00AE26C4"/>
    <w:rsid w:val="00AE28EC"/>
    <w:rsid w:val="00AE29DA"/>
    <w:rsid w:val="00AE2A84"/>
    <w:rsid w:val="00AE2B4E"/>
    <w:rsid w:val="00AE30C5"/>
    <w:rsid w:val="00AE3375"/>
    <w:rsid w:val="00AE3C51"/>
    <w:rsid w:val="00AE3C76"/>
    <w:rsid w:val="00AE3EC8"/>
    <w:rsid w:val="00AE3F23"/>
    <w:rsid w:val="00AE4135"/>
    <w:rsid w:val="00AE4617"/>
    <w:rsid w:val="00AE4AE0"/>
    <w:rsid w:val="00AE4B87"/>
    <w:rsid w:val="00AE4BFE"/>
    <w:rsid w:val="00AE4D3A"/>
    <w:rsid w:val="00AE5178"/>
    <w:rsid w:val="00AE5382"/>
    <w:rsid w:val="00AE5488"/>
    <w:rsid w:val="00AE568E"/>
    <w:rsid w:val="00AE5847"/>
    <w:rsid w:val="00AE5924"/>
    <w:rsid w:val="00AE5C6F"/>
    <w:rsid w:val="00AE60EC"/>
    <w:rsid w:val="00AE6270"/>
    <w:rsid w:val="00AE6995"/>
    <w:rsid w:val="00AE6C62"/>
    <w:rsid w:val="00AE6E8D"/>
    <w:rsid w:val="00AE6EDF"/>
    <w:rsid w:val="00AE731A"/>
    <w:rsid w:val="00AE77BC"/>
    <w:rsid w:val="00AF020F"/>
    <w:rsid w:val="00AF025F"/>
    <w:rsid w:val="00AF06A9"/>
    <w:rsid w:val="00AF0739"/>
    <w:rsid w:val="00AF0B28"/>
    <w:rsid w:val="00AF0D36"/>
    <w:rsid w:val="00AF0DD2"/>
    <w:rsid w:val="00AF0E4D"/>
    <w:rsid w:val="00AF1125"/>
    <w:rsid w:val="00AF1195"/>
    <w:rsid w:val="00AF130C"/>
    <w:rsid w:val="00AF19BC"/>
    <w:rsid w:val="00AF19D0"/>
    <w:rsid w:val="00AF1A0E"/>
    <w:rsid w:val="00AF1B2C"/>
    <w:rsid w:val="00AF1D02"/>
    <w:rsid w:val="00AF1FF3"/>
    <w:rsid w:val="00AF2637"/>
    <w:rsid w:val="00AF2787"/>
    <w:rsid w:val="00AF2B2E"/>
    <w:rsid w:val="00AF2CA5"/>
    <w:rsid w:val="00AF2ECF"/>
    <w:rsid w:val="00AF2EE4"/>
    <w:rsid w:val="00AF332B"/>
    <w:rsid w:val="00AF3689"/>
    <w:rsid w:val="00AF3893"/>
    <w:rsid w:val="00AF3B1E"/>
    <w:rsid w:val="00AF3FDB"/>
    <w:rsid w:val="00AF4083"/>
    <w:rsid w:val="00AF4583"/>
    <w:rsid w:val="00AF49BB"/>
    <w:rsid w:val="00AF49DE"/>
    <w:rsid w:val="00AF4B4E"/>
    <w:rsid w:val="00AF4FE2"/>
    <w:rsid w:val="00AF50AA"/>
    <w:rsid w:val="00AF53CF"/>
    <w:rsid w:val="00AF549C"/>
    <w:rsid w:val="00AF5540"/>
    <w:rsid w:val="00AF57E6"/>
    <w:rsid w:val="00AF5903"/>
    <w:rsid w:val="00AF5B5F"/>
    <w:rsid w:val="00AF5C9D"/>
    <w:rsid w:val="00AF5E84"/>
    <w:rsid w:val="00AF6309"/>
    <w:rsid w:val="00AF65C0"/>
    <w:rsid w:val="00AF68C4"/>
    <w:rsid w:val="00AF6C88"/>
    <w:rsid w:val="00AF6D02"/>
    <w:rsid w:val="00AF6D74"/>
    <w:rsid w:val="00AF7057"/>
    <w:rsid w:val="00AF707F"/>
    <w:rsid w:val="00AF73A8"/>
    <w:rsid w:val="00AF760D"/>
    <w:rsid w:val="00AF763A"/>
    <w:rsid w:val="00AF785F"/>
    <w:rsid w:val="00AF799E"/>
    <w:rsid w:val="00AF7CCA"/>
    <w:rsid w:val="00AF7D9B"/>
    <w:rsid w:val="00B002CE"/>
    <w:rsid w:val="00B0050F"/>
    <w:rsid w:val="00B006A2"/>
    <w:rsid w:val="00B0073D"/>
    <w:rsid w:val="00B0075E"/>
    <w:rsid w:val="00B00B9C"/>
    <w:rsid w:val="00B00BF8"/>
    <w:rsid w:val="00B00C25"/>
    <w:rsid w:val="00B00CA0"/>
    <w:rsid w:val="00B00E2C"/>
    <w:rsid w:val="00B0118C"/>
    <w:rsid w:val="00B0132F"/>
    <w:rsid w:val="00B013C8"/>
    <w:rsid w:val="00B01555"/>
    <w:rsid w:val="00B0166D"/>
    <w:rsid w:val="00B0177F"/>
    <w:rsid w:val="00B01CC3"/>
    <w:rsid w:val="00B01FB4"/>
    <w:rsid w:val="00B021C7"/>
    <w:rsid w:val="00B02235"/>
    <w:rsid w:val="00B025CC"/>
    <w:rsid w:val="00B02927"/>
    <w:rsid w:val="00B02E41"/>
    <w:rsid w:val="00B02E53"/>
    <w:rsid w:val="00B030D6"/>
    <w:rsid w:val="00B031CA"/>
    <w:rsid w:val="00B03216"/>
    <w:rsid w:val="00B034C2"/>
    <w:rsid w:val="00B035FF"/>
    <w:rsid w:val="00B0364C"/>
    <w:rsid w:val="00B0369C"/>
    <w:rsid w:val="00B038FD"/>
    <w:rsid w:val="00B03A4B"/>
    <w:rsid w:val="00B03AC5"/>
    <w:rsid w:val="00B03B9D"/>
    <w:rsid w:val="00B03D3E"/>
    <w:rsid w:val="00B044B1"/>
    <w:rsid w:val="00B044D0"/>
    <w:rsid w:val="00B04585"/>
    <w:rsid w:val="00B04747"/>
    <w:rsid w:val="00B04751"/>
    <w:rsid w:val="00B049DD"/>
    <w:rsid w:val="00B05260"/>
    <w:rsid w:val="00B05514"/>
    <w:rsid w:val="00B05634"/>
    <w:rsid w:val="00B05740"/>
    <w:rsid w:val="00B0609C"/>
    <w:rsid w:val="00B061C9"/>
    <w:rsid w:val="00B06809"/>
    <w:rsid w:val="00B06863"/>
    <w:rsid w:val="00B06C87"/>
    <w:rsid w:val="00B06EEB"/>
    <w:rsid w:val="00B07200"/>
    <w:rsid w:val="00B0741F"/>
    <w:rsid w:val="00B078D9"/>
    <w:rsid w:val="00B07D1D"/>
    <w:rsid w:val="00B07D2C"/>
    <w:rsid w:val="00B07F4E"/>
    <w:rsid w:val="00B07F9B"/>
    <w:rsid w:val="00B07FB3"/>
    <w:rsid w:val="00B103B7"/>
    <w:rsid w:val="00B10AF7"/>
    <w:rsid w:val="00B10CD2"/>
    <w:rsid w:val="00B11088"/>
    <w:rsid w:val="00B113F7"/>
    <w:rsid w:val="00B1144D"/>
    <w:rsid w:val="00B114FA"/>
    <w:rsid w:val="00B1186F"/>
    <w:rsid w:val="00B119A4"/>
    <w:rsid w:val="00B11D47"/>
    <w:rsid w:val="00B11F38"/>
    <w:rsid w:val="00B120DA"/>
    <w:rsid w:val="00B12607"/>
    <w:rsid w:val="00B1275C"/>
    <w:rsid w:val="00B12F6D"/>
    <w:rsid w:val="00B1308C"/>
    <w:rsid w:val="00B13090"/>
    <w:rsid w:val="00B13097"/>
    <w:rsid w:val="00B131F0"/>
    <w:rsid w:val="00B135D8"/>
    <w:rsid w:val="00B13688"/>
    <w:rsid w:val="00B1373A"/>
    <w:rsid w:val="00B13764"/>
    <w:rsid w:val="00B13CBF"/>
    <w:rsid w:val="00B13F6B"/>
    <w:rsid w:val="00B13FD0"/>
    <w:rsid w:val="00B1406E"/>
    <w:rsid w:val="00B1433C"/>
    <w:rsid w:val="00B1434E"/>
    <w:rsid w:val="00B14754"/>
    <w:rsid w:val="00B14C4C"/>
    <w:rsid w:val="00B14C53"/>
    <w:rsid w:val="00B14C6E"/>
    <w:rsid w:val="00B14F96"/>
    <w:rsid w:val="00B156FF"/>
    <w:rsid w:val="00B15944"/>
    <w:rsid w:val="00B15A11"/>
    <w:rsid w:val="00B15A41"/>
    <w:rsid w:val="00B15C64"/>
    <w:rsid w:val="00B1636A"/>
    <w:rsid w:val="00B16550"/>
    <w:rsid w:val="00B16554"/>
    <w:rsid w:val="00B16C7C"/>
    <w:rsid w:val="00B16D2F"/>
    <w:rsid w:val="00B16F7E"/>
    <w:rsid w:val="00B16FDB"/>
    <w:rsid w:val="00B172B2"/>
    <w:rsid w:val="00B173A4"/>
    <w:rsid w:val="00B1743C"/>
    <w:rsid w:val="00B17806"/>
    <w:rsid w:val="00B17DC1"/>
    <w:rsid w:val="00B17DC3"/>
    <w:rsid w:val="00B17EBF"/>
    <w:rsid w:val="00B2019D"/>
    <w:rsid w:val="00B2076A"/>
    <w:rsid w:val="00B20931"/>
    <w:rsid w:val="00B20D1A"/>
    <w:rsid w:val="00B21039"/>
    <w:rsid w:val="00B21098"/>
    <w:rsid w:val="00B2112E"/>
    <w:rsid w:val="00B21376"/>
    <w:rsid w:val="00B21458"/>
    <w:rsid w:val="00B2148F"/>
    <w:rsid w:val="00B21727"/>
    <w:rsid w:val="00B21D78"/>
    <w:rsid w:val="00B222B6"/>
    <w:rsid w:val="00B2237E"/>
    <w:rsid w:val="00B22463"/>
    <w:rsid w:val="00B22638"/>
    <w:rsid w:val="00B2273A"/>
    <w:rsid w:val="00B227AB"/>
    <w:rsid w:val="00B22810"/>
    <w:rsid w:val="00B22B8E"/>
    <w:rsid w:val="00B22DC8"/>
    <w:rsid w:val="00B22E76"/>
    <w:rsid w:val="00B22FA9"/>
    <w:rsid w:val="00B22FBB"/>
    <w:rsid w:val="00B23364"/>
    <w:rsid w:val="00B239F4"/>
    <w:rsid w:val="00B23D45"/>
    <w:rsid w:val="00B241BE"/>
    <w:rsid w:val="00B24412"/>
    <w:rsid w:val="00B24679"/>
    <w:rsid w:val="00B24742"/>
    <w:rsid w:val="00B2488C"/>
    <w:rsid w:val="00B24A4A"/>
    <w:rsid w:val="00B24AD2"/>
    <w:rsid w:val="00B24C77"/>
    <w:rsid w:val="00B24D1D"/>
    <w:rsid w:val="00B24DE4"/>
    <w:rsid w:val="00B24F8F"/>
    <w:rsid w:val="00B250A0"/>
    <w:rsid w:val="00B253D5"/>
    <w:rsid w:val="00B2555A"/>
    <w:rsid w:val="00B25952"/>
    <w:rsid w:val="00B25C45"/>
    <w:rsid w:val="00B25D4D"/>
    <w:rsid w:val="00B260A4"/>
    <w:rsid w:val="00B261D1"/>
    <w:rsid w:val="00B261DC"/>
    <w:rsid w:val="00B265E5"/>
    <w:rsid w:val="00B26837"/>
    <w:rsid w:val="00B268EB"/>
    <w:rsid w:val="00B269D4"/>
    <w:rsid w:val="00B27071"/>
    <w:rsid w:val="00B273D0"/>
    <w:rsid w:val="00B27440"/>
    <w:rsid w:val="00B275D7"/>
    <w:rsid w:val="00B27CB7"/>
    <w:rsid w:val="00B27CC1"/>
    <w:rsid w:val="00B27FB6"/>
    <w:rsid w:val="00B3087C"/>
    <w:rsid w:val="00B30973"/>
    <w:rsid w:val="00B30C20"/>
    <w:rsid w:val="00B30D5F"/>
    <w:rsid w:val="00B30F85"/>
    <w:rsid w:val="00B31212"/>
    <w:rsid w:val="00B31268"/>
    <w:rsid w:val="00B318F4"/>
    <w:rsid w:val="00B31D48"/>
    <w:rsid w:val="00B320B3"/>
    <w:rsid w:val="00B323F4"/>
    <w:rsid w:val="00B324A9"/>
    <w:rsid w:val="00B325A6"/>
    <w:rsid w:val="00B32A12"/>
    <w:rsid w:val="00B32E41"/>
    <w:rsid w:val="00B32F70"/>
    <w:rsid w:val="00B3302C"/>
    <w:rsid w:val="00B33507"/>
    <w:rsid w:val="00B33539"/>
    <w:rsid w:val="00B33AE3"/>
    <w:rsid w:val="00B33C59"/>
    <w:rsid w:val="00B33E68"/>
    <w:rsid w:val="00B33ECB"/>
    <w:rsid w:val="00B33FC6"/>
    <w:rsid w:val="00B340D0"/>
    <w:rsid w:val="00B34438"/>
    <w:rsid w:val="00B3443C"/>
    <w:rsid w:val="00B347ED"/>
    <w:rsid w:val="00B349C9"/>
    <w:rsid w:val="00B34B1F"/>
    <w:rsid w:val="00B34CEB"/>
    <w:rsid w:val="00B34DA7"/>
    <w:rsid w:val="00B34FC4"/>
    <w:rsid w:val="00B3524D"/>
    <w:rsid w:val="00B353A3"/>
    <w:rsid w:val="00B35C0E"/>
    <w:rsid w:val="00B35CDA"/>
    <w:rsid w:val="00B35FB4"/>
    <w:rsid w:val="00B361C2"/>
    <w:rsid w:val="00B3648F"/>
    <w:rsid w:val="00B3696D"/>
    <w:rsid w:val="00B36B1D"/>
    <w:rsid w:val="00B36B84"/>
    <w:rsid w:val="00B36D54"/>
    <w:rsid w:val="00B36D9F"/>
    <w:rsid w:val="00B36F22"/>
    <w:rsid w:val="00B3706C"/>
    <w:rsid w:val="00B37235"/>
    <w:rsid w:val="00B37651"/>
    <w:rsid w:val="00B37B9C"/>
    <w:rsid w:val="00B37E04"/>
    <w:rsid w:val="00B37EBF"/>
    <w:rsid w:val="00B406CE"/>
    <w:rsid w:val="00B407F9"/>
    <w:rsid w:val="00B40881"/>
    <w:rsid w:val="00B40A98"/>
    <w:rsid w:val="00B40DA2"/>
    <w:rsid w:val="00B40DE8"/>
    <w:rsid w:val="00B4101E"/>
    <w:rsid w:val="00B4132D"/>
    <w:rsid w:val="00B415E8"/>
    <w:rsid w:val="00B415FB"/>
    <w:rsid w:val="00B4179A"/>
    <w:rsid w:val="00B4191C"/>
    <w:rsid w:val="00B41F15"/>
    <w:rsid w:val="00B41F7E"/>
    <w:rsid w:val="00B42956"/>
    <w:rsid w:val="00B429D6"/>
    <w:rsid w:val="00B42A74"/>
    <w:rsid w:val="00B42BA8"/>
    <w:rsid w:val="00B42BEF"/>
    <w:rsid w:val="00B42DC9"/>
    <w:rsid w:val="00B432B3"/>
    <w:rsid w:val="00B434C8"/>
    <w:rsid w:val="00B43581"/>
    <w:rsid w:val="00B437A3"/>
    <w:rsid w:val="00B439A1"/>
    <w:rsid w:val="00B43AF0"/>
    <w:rsid w:val="00B43C54"/>
    <w:rsid w:val="00B43C9F"/>
    <w:rsid w:val="00B43F4B"/>
    <w:rsid w:val="00B44644"/>
    <w:rsid w:val="00B4484F"/>
    <w:rsid w:val="00B44869"/>
    <w:rsid w:val="00B44895"/>
    <w:rsid w:val="00B44B38"/>
    <w:rsid w:val="00B44BD0"/>
    <w:rsid w:val="00B44C8A"/>
    <w:rsid w:val="00B44EAB"/>
    <w:rsid w:val="00B44F6C"/>
    <w:rsid w:val="00B44F71"/>
    <w:rsid w:val="00B450BD"/>
    <w:rsid w:val="00B45590"/>
    <w:rsid w:val="00B45BB3"/>
    <w:rsid w:val="00B46B36"/>
    <w:rsid w:val="00B46D02"/>
    <w:rsid w:val="00B46D93"/>
    <w:rsid w:val="00B46DFB"/>
    <w:rsid w:val="00B47584"/>
    <w:rsid w:val="00B4783E"/>
    <w:rsid w:val="00B47C57"/>
    <w:rsid w:val="00B47F8D"/>
    <w:rsid w:val="00B47FC3"/>
    <w:rsid w:val="00B500CA"/>
    <w:rsid w:val="00B50131"/>
    <w:rsid w:val="00B5016B"/>
    <w:rsid w:val="00B5043B"/>
    <w:rsid w:val="00B504DD"/>
    <w:rsid w:val="00B50871"/>
    <w:rsid w:val="00B509AA"/>
    <w:rsid w:val="00B50B07"/>
    <w:rsid w:val="00B50C8B"/>
    <w:rsid w:val="00B50DFE"/>
    <w:rsid w:val="00B5122E"/>
    <w:rsid w:val="00B51284"/>
    <w:rsid w:val="00B512FA"/>
    <w:rsid w:val="00B51305"/>
    <w:rsid w:val="00B51380"/>
    <w:rsid w:val="00B5180E"/>
    <w:rsid w:val="00B51C30"/>
    <w:rsid w:val="00B51CCC"/>
    <w:rsid w:val="00B51D9F"/>
    <w:rsid w:val="00B51EC0"/>
    <w:rsid w:val="00B52224"/>
    <w:rsid w:val="00B523A6"/>
    <w:rsid w:val="00B524E2"/>
    <w:rsid w:val="00B526C6"/>
    <w:rsid w:val="00B52857"/>
    <w:rsid w:val="00B52886"/>
    <w:rsid w:val="00B528F8"/>
    <w:rsid w:val="00B52E5E"/>
    <w:rsid w:val="00B53151"/>
    <w:rsid w:val="00B531F2"/>
    <w:rsid w:val="00B5324B"/>
    <w:rsid w:val="00B53274"/>
    <w:rsid w:val="00B53304"/>
    <w:rsid w:val="00B533F1"/>
    <w:rsid w:val="00B535C8"/>
    <w:rsid w:val="00B53991"/>
    <w:rsid w:val="00B53A56"/>
    <w:rsid w:val="00B53AAF"/>
    <w:rsid w:val="00B53BB1"/>
    <w:rsid w:val="00B53E2A"/>
    <w:rsid w:val="00B53FBF"/>
    <w:rsid w:val="00B53FE1"/>
    <w:rsid w:val="00B5418D"/>
    <w:rsid w:val="00B542A8"/>
    <w:rsid w:val="00B543AA"/>
    <w:rsid w:val="00B5445D"/>
    <w:rsid w:val="00B54634"/>
    <w:rsid w:val="00B54912"/>
    <w:rsid w:val="00B55B5B"/>
    <w:rsid w:val="00B55C13"/>
    <w:rsid w:val="00B55C76"/>
    <w:rsid w:val="00B55F0D"/>
    <w:rsid w:val="00B56371"/>
    <w:rsid w:val="00B56399"/>
    <w:rsid w:val="00B56669"/>
    <w:rsid w:val="00B56671"/>
    <w:rsid w:val="00B566CD"/>
    <w:rsid w:val="00B56744"/>
    <w:rsid w:val="00B5689C"/>
    <w:rsid w:val="00B56D03"/>
    <w:rsid w:val="00B5701B"/>
    <w:rsid w:val="00B5724C"/>
    <w:rsid w:val="00B5725D"/>
    <w:rsid w:val="00B57345"/>
    <w:rsid w:val="00B573BC"/>
    <w:rsid w:val="00B577E4"/>
    <w:rsid w:val="00B578DF"/>
    <w:rsid w:val="00B5799B"/>
    <w:rsid w:val="00B60090"/>
    <w:rsid w:val="00B602E4"/>
    <w:rsid w:val="00B6039D"/>
    <w:rsid w:val="00B604FC"/>
    <w:rsid w:val="00B60600"/>
    <w:rsid w:val="00B6063D"/>
    <w:rsid w:val="00B60ADF"/>
    <w:rsid w:val="00B60DCA"/>
    <w:rsid w:val="00B60FFC"/>
    <w:rsid w:val="00B61477"/>
    <w:rsid w:val="00B6173D"/>
    <w:rsid w:val="00B61740"/>
    <w:rsid w:val="00B61BA2"/>
    <w:rsid w:val="00B61C0B"/>
    <w:rsid w:val="00B620FE"/>
    <w:rsid w:val="00B62611"/>
    <w:rsid w:val="00B62650"/>
    <w:rsid w:val="00B626C0"/>
    <w:rsid w:val="00B62706"/>
    <w:rsid w:val="00B62832"/>
    <w:rsid w:val="00B62871"/>
    <w:rsid w:val="00B6293A"/>
    <w:rsid w:val="00B62989"/>
    <w:rsid w:val="00B62EC2"/>
    <w:rsid w:val="00B62F72"/>
    <w:rsid w:val="00B6317C"/>
    <w:rsid w:val="00B632B9"/>
    <w:rsid w:val="00B6333D"/>
    <w:rsid w:val="00B635EA"/>
    <w:rsid w:val="00B63BF1"/>
    <w:rsid w:val="00B63D87"/>
    <w:rsid w:val="00B64242"/>
    <w:rsid w:val="00B644E6"/>
    <w:rsid w:val="00B64900"/>
    <w:rsid w:val="00B6494C"/>
    <w:rsid w:val="00B64A71"/>
    <w:rsid w:val="00B64BC4"/>
    <w:rsid w:val="00B64C54"/>
    <w:rsid w:val="00B64D18"/>
    <w:rsid w:val="00B64F00"/>
    <w:rsid w:val="00B651BE"/>
    <w:rsid w:val="00B652B8"/>
    <w:rsid w:val="00B65330"/>
    <w:rsid w:val="00B6543A"/>
    <w:rsid w:val="00B6562F"/>
    <w:rsid w:val="00B656B8"/>
    <w:rsid w:val="00B65900"/>
    <w:rsid w:val="00B65A5D"/>
    <w:rsid w:val="00B65A82"/>
    <w:rsid w:val="00B65CE0"/>
    <w:rsid w:val="00B6601A"/>
    <w:rsid w:val="00B662D3"/>
    <w:rsid w:val="00B663E9"/>
    <w:rsid w:val="00B664A9"/>
    <w:rsid w:val="00B66642"/>
    <w:rsid w:val="00B667F3"/>
    <w:rsid w:val="00B67219"/>
    <w:rsid w:val="00B67533"/>
    <w:rsid w:val="00B6757A"/>
    <w:rsid w:val="00B67902"/>
    <w:rsid w:val="00B67AC0"/>
    <w:rsid w:val="00B67ACB"/>
    <w:rsid w:val="00B70039"/>
    <w:rsid w:val="00B70093"/>
    <w:rsid w:val="00B701B5"/>
    <w:rsid w:val="00B70556"/>
    <w:rsid w:val="00B70758"/>
    <w:rsid w:val="00B70919"/>
    <w:rsid w:val="00B7093A"/>
    <w:rsid w:val="00B70DD1"/>
    <w:rsid w:val="00B70FA4"/>
    <w:rsid w:val="00B7137B"/>
    <w:rsid w:val="00B71435"/>
    <w:rsid w:val="00B714FF"/>
    <w:rsid w:val="00B715FB"/>
    <w:rsid w:val="00B71675"/>
    <w:rsid w:val="00B716D4"/>
    <w:rsid w:val="00B71786"/>
    <w:rsid w:val="00B717E1"/>
    <w:rsid w:val="00B71BC0"/>
    <w:rsid w:val="00B71DEB"/>
    <w:rsid w:val="00B71F6E"/>
    <w:rsid w:val="00B72544"/>
    <w:rsid w:val="00B72A5F"/>
    <w:rsid w:val="00B72B92"/>
    <w:rsid w:val="00B72BA2"/>
    <w:rsid w:val="00B72E40"/>
    <w:rsid w:val="00B7316F"/>
    <w:rsid w:val="00B73223"/>
    <w:rsid w:val="00B7356F"/>
    <w:rsid w:val="00B735CB"/>
    <w:rsid w:val="00B737B3"/>
    <w:rsid w:val="00B73B34"/>
    <w:rsid w:val="00B73CA8"/>
    <w:rsid w:val="00B73DD3"/>
    <w:rsid w:val="00B7415E"/>
    <w:rsid w:val="00B744E0"/>
    <w:rsid w:val="00B744FA"/>
    <w:rsid w:val="00B745C3"/>
    <w:rsid w:val="00B747AE"/>
    <w:rsid w:val="00B749CB"/>
    <w:rsid w:val="00B74A42"/>
    <w:rsid w:val="00B74D0E"/>
    <w:rsid w:val="00B74F85"/>
    <w:rsid w:val="00B7531D"/>
    <w:rsid w:val="00B7550E"/>
    <w:rsid w:val="00B7551A"/>
    <w:rsid w:val="00B75852"/>
    <w:rsid w:val="00B75A70"/>
    <w:rsid w:val="00B75B39"/>
    <w:rsid w:val="00B75F5D"/>
    <w:rsid w:val="00B75F77"/>
    <w:rsid w:val="00B76716"/>
    <w:rsid w:val="00B76896"/>
    <w:rsid w:val="00B76949"/>
    <w:rsid w:val="00B7794B"/>
    <w:rsid w:val="00B77AD0"/>
    <w:rsid w:val="00B77BF3"/>
    <w:rsid w:val="00B77BFF"/>
    <w:rsid w:val="00B77D18"/>
    <w:rsid w:val="00B802B8"/>
    <w:rsid w:val="00B80436"/>
    <w:rsid w:val="00B80443"/>
    <w:rsid w:val="00B805E8"/>
    <w:rsid w:val="00B8099F"/>
    <w:rsid w:val="00B80B7C"/>
    <w:rsid w:val="00B80C94"/>
    <w:rsid w:val="00B80CA4"/>
    <w:rsid w:val="00B80DC3"/>
    <w:rsid w:val="00B80DD0"/>
    <w:rsid w:val="00B80F8E"/>
    <w:rsid w:val="00B8101E"/>
    <w:rsid w:val="00B81163"/>
    <w:rsid w:val="00B812DB"/>
    <w:rsid w:val="00B8188A"/>
    <w:rsid w:val="00B81CCA"/>
    <w:rsid w:val="00B8227B"/>
    <w:rsid w:val="00B82303"/>
    <w:rsid w:val="00B8238B"/>
    <w:rsid w:val="00B8241D"/>
    <w:rsid w:val="00B8275E"/>
    <w:rsid w:val="00B827CF"/>
    <w:rsid w:val="00B829E1"/>
    <w:rsid w:val="00B82A55"/>
    <w:rsid w:val="00B82B89"/>
    <w:rsid w:val="00B82CA7"/>
    <w:rsid w:val="00B82DD2"/>
    <w:rsid w:val="00B82F16"/>
    <w:rsid w:val="00B83244"/>
    <w:rsid w:val="00B83579"/>
    <w:rsid w:val="00B8363E"/>
    <w:rsid w:val="00B83776"/>
    <w:rsid w:val="00B839E8"/>
    <w:rsid w:val="00B839F9"/>
    <w:rsid w:val="00B83A49"/>
    <w:rsid w:val="00B83C1F"/>
    <w:rsid w:val="00B8439A"/>
    <w:rsid w:val="00B84772"/>
    <w:rsid w:val="00B848F9"/>
    <w:rsid w:val="00B849BA"/>
    <w:rsid w:val="00B84B1E"/>
    <w:rsid w:val="00B84D52"/>
    <w:rsid w:val="00B84FD2"/>
    <w:rsid w:val="00B85044"/>
    <w:rsid w:val="00B851C5"/>
    <w:rsid w:val="00B85644"/>
    <w:rsid w:val="00B85B11"/>
    <w:rsid w:val="00B85E95"/>
    <w:rsid w:val="00B85F5D"/>
    <w:rsid w:val="00B862D2"/>
    <w:rsid w:val="00B862D4"/>
    <w:rsid w:val="00B86662"/>
    <w:rsid w:val="00B86B04"/>
    <w:rsid w:val="00B86B81"/>
    <w:rsid w:val="00B86F3D"/>
    <w:rsid w:val="00B8709C"/>
    <w:rsid w:val="00B87A74"/>
    <w:rsid w:val="00B87B45"/>
    <w:rsid w:val="00B904B1"/>
    <w:rsid w:val="00B90561"/>
    <w:rsid w:val="00B90888"/>
    <w:rsid w:val="00B908FA"/>
    <w:rsid w:val="00B90C7D"/>
    <w:rsid w:val="00B90D5D"/>
    <w:rsid w:val="00B90E18"/>
    <w:rsid w:val="00B90E31"/>
    <w:rsid w:val="00B90ED9"/>
    <w:rsid w:val="00B90FA5"/>
    <w:rsid w:val="00B91006"/>
    <w:rsid w:val="00B9118E"/>
    <w:rsid w:val="00B914DC"/>
    <w:rsid w:val="00B91525"/>
    <w:rsid w:val="00B916FF"/>
    <w:rsid w:val="00B91946"/>
    <w:rsid w:val="00B91B12"/>
    <w:rsid w:val="00B91C7C"/>
    <w:rsid w:val="00B920AE"/>
    <w:rsid w:val="00B920ED"/>
    <w:rsid w:val="00B92117"/>
    <w:rsid w:val="00B9271C"/>
    <w:rsid w:val="00B929A4"/>
    <w:rsid w:val="00B92A53"/>
    <w:rsid w:val="00B932E8"/>
    <w:rsid w:val="00B93583"/>
    <w:rsid w:val="00B937EB"/>
    <w:rsid w:val="00B938A7"/>
    <w:rsid w:val="00B93D64"/>
    <w:rsid w:val="00B9419A"/>
    <w:rsid w:val="00B94361"/>
    <w:rsid w:val="00B944E2"/>
    <w:rsid w:val="00B94515"/>
    <w:rsid w:val="00B94F0F"/>
    <w:rsid w:val="00B95656"/>
    <w:rsid w:val="00B96197"/>
    <w:rsid w:val="00B96356"/>
    <w:rsid w:val="00B97047"/>
    <w:rsid w:val="00B976F8"/>
    <w:rsid w:val="00B9799E"/>
    <w:rsid w:val="00B97DA7"/>
    <w:rsid w:val="00B97DD8"/>
    <w:rsid w:val="00B97E34"/>
    <w:rsid w:val="00BA0065"/>
    <w:rsid w:val="00BA044A"/>
    <w:rsid w:val="00BA059B"/>
    <w:rsid w:val="00BA0ACD"/>
    <w:rsid w:val="00BA0B0B"/>
    <w:rsid w:val="00BA0BE2"/>
    <w:rsid w:val="00BA0CDC"/>
    <w:rsid w:val="00BA0FE0"/>
    <w:rsid w:val="00BA132C"/>
    <w:rsid w:val="00BA142B"/>
    <w:rsid w:val="00BA19A1"/>
    <w:rsid w:val="00BA1A86"/>
    <w:rsid w:val="00BA2161"/>
    <w:rsid w:val="00BA23F2"/>
    <w:rsid w:val="00BA2487"/>
    <w:rsid w:val="00BA2645"/>
    <w:rsid w:val="00BA2B4D"/>
    <w:rsid w:val="00BA2C33"/>
    <w:rsid w:val="00BA2CD7"/>
    <w:rsid w:val="00BA2D3A"/>
    <w:rsid w:val="00BA3096"/>
    <w:rsid w:val="00BA3236"/>
    <w:rsid w:val="00BA341D"/>
    <w:rsid w:val="00BA35E0"/>
    <w:rsid w:val="00BA3CA6"/>
    <w:rsid w:val="00BA3FCD"/>
    <w:rsid w:val="00BA42BC"/>
    <w:rsid w:val="00BA44A9"/>
    <w:rsid w:val="00BA4646"/>
    <w:rsid w:val="00BA4887"/>
    <w:rsid w:val="00BA4E6B"/>
    <w:rsid w:val="00BA5093"/>
    <w:rsid w:val="00BA53C1"/>
    <w:rsid w:val="00BA54AE"/>
    <w:rsid w:val="00BA55B5"/>
    <w:rsid w:val="00BA5681"/>
    <w:rsid w:val="00BA5AC2"/>
    <w:rsid w:val="00BA5EF3"/>
    <w:rsid w:val="00BA5F6A"/>
    <w:rsid w:val="00BA5FD8"/>
    <w:rsid w:val="00BA613A"/>
    <w:rsid w:val="00BA6473"/>
    <w:rsid w:val="00BA6554"/>
    <w:rsid w:val="00BA6565"/>
    <w:rsid w:val="00BA6998"/>
    <w:rsid w:val="00BA6C17"/>
    <w:rsid w:val="00BA71FE"/>
    <w:rsid w:val="00BA7216"/>
    <w:rsid w:val="00BA77D2"/>
    <w:rsid w:val="00BA78AC"/>
    <w:rsid w:val="00BA7C60"/>
    <w:rsid w:val="00BA7C66"/>
    <w:rsid w:val="00BB00E6"/>
    <w:rsid w:val="00BB02A3"/>
    <w:rsid w:val="00BB02C3"/>
    <w:rsid w:val="00BB02F6"/>
    <w:rsid w:val="00BB0427"/>
    <w:rsid w:val="00BB0592"/>
    <w:rsid w:val="00BB0BFC"/>
    <w:rsid w:val="00BB0F61"/>
    <w:rsid w:val="00BB119B"/>
    <w:rsid w:val="00BB182F"/>
    <w:rsid w:val="00BB19C6"/>
    <w:rsid w:val="00BB19D0"/>
    <w:rsid w:val="00BB1A0C"/>
    <w:rsid w:val="00BB1AC9"/>
    <w:rsid w:val="00BB1C1C"/>
    <w:rsid w:val="00BB1E44"/>
    <w:rsid w:val="00BB1EDF"/>
    <w:rsid w:val="00BB2037"/>
    <w:rsid w:val="00BB248B"/>
    <w:rsid w:val="00BB3150"/>
    <w:rsid w:val="00BB3473"/>
    <w:rsid w:val="00BB35E6"/>
    <w:rsid w:val="00BB36E6"/>
    <w:rsid w:val="00BB3735"/>
    <w:rsid w:val="00BB3B2F"/>
    <w:rsid w:val="00BB3C86"/>
    <w:rsid w:val="00BB3D5B"/>
    <w:rsid w:val="00BB40D3"/>
    <w:rsid w:val="00BB438E"/>
    <w:rsid w:val="00BB446B"/>
    <w:rsid w:val="00BB4758"/>
    <w:rsid w:val="00BB4AE1"/>
    <w:rsid w:val="00BB4B43"/>
    <w:rsid w:val="00BB4C46"/>
    <w:rsid w:val="00BB4E21"/>
    <w:rsid w:val="00BB4E48"/>
    <w:rsid w:val="00BB4EA0"/>
    <w:rsid w:val="00BB504F"/>
    <w:rsid w:val="00BB53C0"/>
    <w:rsid w:val="00BB577F"/>
    <w:rsid w:val="00BB5ADD"/>
    <w:rsid w:val="00BB5AE9"/>
    <w:rsid w:val="00BB5DE0"/>
    <w:rsid w:val="00BB5E0D"/>
    <w:rsid w:val="00BB5FBC"/>
    <w:rsid w:val="00BB5FE3"/>
    <w:rsid w:val="00BB60A1"/>
    <w:rsid w:val="00BB60E8"/>
    <w:rsid w:val="00BB6185"/>
    <w:rsid w:val="00BB62B0"/>
    <w:rsid w:val="00BB64FC"/>
    <w:rsid w:val="00BB6972"/>
    <w:rsid w:val="00BB6B13"/>
    <w:rsid w:val="00BB6D92"/>
    <w:rsid w:val="00BB6DD5"/>
    <w:rsid w:val="00BB6E2B"/>
    <w:rsid w:val="00BB6FB9"/>
    <w:rsid w:val="00BB715D"/>
    <w:rsid w:val="00BB71C3"/>
    <w:rsid w:val="00BB73C8"/>
    <w:rsid w:val="00BB7772"/>
    <w:rsid w:val="00BB77EE"/>
    <w:rsid w:val="00BB794D"/>
    <w:rsid w:val="00BB7BD9"/>
    <w:rsid w:val="00BB7C8A"/>
    <w:rsid w:val="00BB7D35"/>
    <w:rsid w:val="00BB7E43"/>
    <w:rsid w:val="00BB7E92"/>
    <w:rsid w:val="00BB7EC3"/>
    <w:rsid w:val="00BC00AA"/>
    <w:rsid w:val="00BC00CA"/>
    <w:rsid w:val="00BC0104"/>
    <w:rsid w:val="00BC0223"/>
    <w:rsid w:val="00BC0534"/>
    <w:rsid w:val="00BC06F4"/>
    <w:rsid w:val="00BC090C"/>
    <w:rsid w:val="00BC0B4F"/>
    <w:rsid w:val="00BC0CE7"/>
    <w:rsid w:val="00BC0E2F"/>
    <w:rsid w:val="00BC0E47"/>
    <w:rsid w:val="00BC0F4E"/>
    <w:rsid w:val="00BC0F5E"/>
    <w:rsid w:val="00BC1385"/>
    <w:rsid w:val="00BC160A"/>
    <w:rsid w:val="00BC178C"/>
    <w:rsid w:val="00BC1889"/>
    <w:rsid w:val="00BC19D6"/>
    <w:rsid w:val="00BC19F9"/>
    <w:rsid w:val="00BC1AE8"/>
    <w:rsid w:val="00BC1B24"/>
    <w:rsid w:val="00BC1C8F"/>
    <w:rsid w:val="00BC1CD5"/>
    <w:rsid w:val="00BC2118"/>
    <w:rsid w:val="00BC2776"/>
    <w:rsid w:val="00BC27CA"/>
    <w:rsid w:val="00BC2855"/>
    <w:rsid w:val="00BC28B6"/>
    <w:rsid w:val="00BC2B7E"/>
    <w:rsid w:val="00BC2BC3"/>
    <w:rsid w:val="00BC2D71"/>
    <w:rsid w:val="00BC333C"/>
    <w:rsid w:val="00BC349E"/>
    <w:rsid w:val="00BC34B1"/>
    <w:rsid w:val="00BC3502"/>
    <w:rsid w:val="00BC354F"/>
    <w:rsid w:val="00BC35F8"/>
    <w:rsid w:val="00BC3735"/>
    <w:rsid w:val="00BC382D"/>
    <w:rsid w:val="00BC3848"/>
    <w:rsid w:val="00BC3A03"/>
    <w:rsid w:val="00BC3B40"/>
    <w:rsid w:val="00BC3F8D"/>
    <w:rsid w:val="00BC40B7"/>
    <w:rsid w:val="00BC439A"/>
    <w:rsid w:val="00BC44C0"/>
    <w:rsid w:val="00BC4635"/>
    <w:rsid w:val="00BC46DB"/>
    <w:rsid w:val="00BC47DC"/>
    <w:rsid w:val="00BC488D"/>
    <w:rsid w:val="00BC4A35"/>
    <w:rsid w:val="00BC4CEE"/>
    <w:rsid w:val="00BC4DA5"/>
    <w:rsid w:val="00BC5095"/>
    <w:rsid w:val="00BC5233"/>
    <w:rsid w:val="00BC55D4"/>
    <w:rsid w:val="00BC5889"/>
    <w:rsid w:val="00BC590E"/>
    <w:rsid w:val="00BC5D18"/>
    <w:rsid w:val="00BC629B"/>
    <w:rsid w:val="00BC65E3"/>
    <w:rsid w:val="00BC6940"/>
    <w:rsid w:val="00BC6965"/>
    <w:rsid w:val="00BC696C"/>
    <w:rsid w:val="00BC6CED"/>
    <w:rsid w:val="00BC7543"/>
    <w:rsid w:val="00BC7770"/>
    <w:rsid w:val="00BC77F7"/>
    <w:rsid w:val="00BC786F"/>
    <w:rsid w:val="00BC78EA"/>
    <w:rsid w:val="00BC7C11"/>
    <w:rsid w:val="00BC7F3F"/>
    <w:rsid w:val="00BD05E6"/>
    <w:rsid w:val="00BD0660"/>
    <w:rsid w:val="00BD080C"/>
    <w:rsid w:val="00BD084F"/>
    <w:rsid w:val="00BD0AAB"/>
    <w:rsid w:val="00BD0B7E"/>
    <w:rsid w:val="00BD0C53"/>
    <w:rsid w:val="00BD10EE"/>
    <w:rsid w:val="00BD1371"/>
    <w:rsid w:val="00BD151E"/>
    <w:rsid w:val="00BD1E2D"/>
    <w:rsid w:val="00BD1FC0"/>
    <w:rsid w:val="00BD24AF"/>
    <w:rsid w:val="00BD2864"/>
    <w:rsid w:val="00BD2AC7"/>
    <w:rsid w:val="00BD2B3E"/>
    <w:rsid w:val="00BD2D9D"/>
    <w:rsid w:val="00BD2E89"/>
    <w:rsid w:val="00BD2FB8"/>
    <w:rsid w:val="00BD30DA"/>
    <w:rsid w:val="00BD31A3"/>
    <w:rsid w:val="00BD32D8"/>
    <w:rsid w:val="00BD36C4"/>
    <w:rsid w:val="00BD37DE"/>
    <w:rsid w:val="00BD3A85"/>
    <w:rsid w:val="00BD3BC6"/>
    <w:rsid w:val="00BD3D76"/>
    <w:rsid w:val="00BD3F6A"/>
    <w:rsid w:val="00BD4306"/>
    <w:rsid w:val="00BD4540"/>
    <w:rsid w:val="00BD46A1"/>
    <w:rsid w:val="00BD47CA"/>
    <w:rsid w:val="00BD4BEB"/>
    <w:rsid w:val="00BD4C74"/>
    <w:rsid w:val="00BD5837"/>
    <w:rsid w:val="00BD5B23"/>
    <w:rsid w:val="00BD5CA8"/>
    <w:rsid w:val="00BD5F99"/>
    <w:rsid w:val="00BD5FAC"/>
    <w:rsid w:val="00BD609C"/>
    <w:rsid w:val="00BD60A5"/>
    <w:rsid w:val="00BD61D4"/>
    <w:rsid w:val="00BD6225"/>
    <w:rsid w:val="00BD64C1"/>
    <w:rsid w:val="00BD6927"/>
    <w:rsid w:val="00BD7758"/>
    <w:rsid w:val="00BD7954"/>
    <w:rsid w:val="00BD79B2"/>
    <w:rsid w:val="00BD7A65"/>
    <w:rsid w:val="00BD7F20"/>
    <w:rsid w:val="00BD7F64"/>
    <w:rsid w:val="00BE0033"/>
    <w:rsid w:val="00BE00A9"/>
    <w:rsid w:val="00BE0345"/>
    <w:rsid w:val="00BE070A"/>
    <w:rsid w:val="00BE07DE"/>
    <w:rsid w:val="00BE0AF9"/>
    <w:rsid w:val="00BE0C28"/>
    <w:rsid w:val="00BE0C48"/>
    <w:rsid w:val="00BE11EA"/>
    <w:rsid w:val="00BE13D4"/>
    <w:rsid w:val="00BE14DF"/>
    <w:rsid w:val="00BE16BA"/>
    <w:rsid w:val="00BE175C"/>
    <w:rsid w:val="00BE1808"/>
    <w:rsid w:val="00BE1AE9"/>
    <w:rsid w:val="00BE1BD1"/>
    <w:rsid w:val="00BE225C"/>
    <w:rsid w:val="00BE2295"/>
    <w:rsid w:val="00BE2566"/>
    <w:rsid w:val="00BE25BE"/>
    <w:rsid w:val="00BE2870"/>
    <w:rsid w:val="00BE2C2E"/>
    <w:rsid w:val="00BE2C5B"/>
    <w:rsid w:val="00BE2F73"/>
    <w:rsid w:val="00BE306B"/>
    <w:rsid w:val="00BE340A"/>
    <w:rsid w:val="00BE34EB"/>
    <w:rsid w:val="00BE3619"/>
    <w:rsid w:val="00BE37FC"/>
    <w:rsid w:val="00BE38F9"/>
    <w:rsid w:val="00BE3A6E"/>
    <w:rsid w:val="00BE41C8"/>
    <w:rsid w:val="00BE41FF"/>
    <w:rsid w:val="00BE45DA"/>
    <w:rsid w:val="00BE4717"/>
    <w:rsid w:val="00BE5081"/>
    <w:rsid w:val="00BE5549"/>
    <w:rsid w:val="00BE572C"/>
    <w:rsid w:val="00BE57C2"/>
    <w:rsid w:val="00BE5987"/>
    <w:rsid w:val="00BE5DA7"/>
    <w:rsid w:val="00BE5E68"/>
    <w:rsid w:val="00BE5FD0"/>
    <w:rsid w:val="00BE6155"/>
    <w:rsid w:val="00BE626A"/>
    <w:rsid w:val="00BE644A"/>
    <w:rsid w:val="00BE68CF"/>
    <w:rsid w:val="00BE6A8E"/>
    <w:rsid w:val="00BE6FDD"/>
    <w:rsid w:val="00BE734B"/>
    <w:rsid w:val="00BE74B4"/>
    <w:rsid w:val="00BE74FE"/>
    <w:rsid w:val="00BE7523"/>
    <w:rsid w:val="00BE7797"/>
    <w:rsid w:val="00BE77C0"/>
    <w:rsid w:val="00BE787F"/>
    <w:rsid w:val="00BE7ABF"/>
    <w:rsid w:val="00BE7B16"/>
    <w:rsid w:val="00BE7BB4"/>
    <w:rsid w:val="00BE7C6A"/>
    <w:rsid w:val="00BF018A"/>
    <w:rsid w:val="00BF02AF"/>
    <w:rsid w:val="00BF03CF"/>
    <w:rsid w:val="00BF03F6"/>
    <w:rsid w:val="00BF09BA"/>
    <w:rsid w:val="00BF0AE0"/>
    <w:rsid w:val="00BF0B63"/>
    <w:rsid w:val="00BF0E28"/>
    <w:rsid w:val="00BF0F97"/>
    <w:rsid w:val="00BF0FA8"/>
    <w:rsid w:val="00BF0FB4"/>
    <w:rsid w:val="00BF187C"/>
    <w:rsid w:val="00BF1997"/>
    <w:rsid w:val="00BF1A5D"/>
    <w:rsid w:val="00BF1D61"/>
    <w:rsid w:val="00BF1F68"/>
    <w:rsid w:val="00BF2181"/>
    <w:rsid w:val="00BF2660"/>
    <w:rsid w:val="00BF2780"/>
    <w:rsid w:val="00BF2914"/>
    <w:rsid w:val="00BF2B0B"/>
    <w:rsid w:val="00BF2BF1"/>
    <w:rsid w:val="00BF2C36"/>
    <w:rsid w:val="00BF2D0D"/>
    <w:rsid w:val="00BF2F92"/>
    <w:rsid w:val="00BF3426"/>
    <w:rsid w:val="00BF3650"/>
    <w:rsid w:val="00BF3B9D"/>
    <w:rsid w:val="00BF3D58"/>
    <w:rsid w:val="00BF46E1"/>
    <w:rsid w:val="00BF4758"/>
    <w:rsid w:val="00BF47A4"/>
    <w:rsid w:val="00BF4D45"/>
    <w:rsid w:val="00BF4F19"/>
    <w:rsid w:val="00BF53F1"/>
    <w:rsid w:val="00BF55DD"/>
    <w:rsid w:val="00BF563B"/>
    <w:rsid w:val="00BF5ACE"/>
    <w:rsid w:val="00BF5B37"/>
    <w:rsid w:val="00BF5C04"/>
    <w:rsid w:val="00BF5D0D"/>
    <w:rsid w:val="00BF5D1A"/>
    <w:rsid w:val="00BF6057"/>
    <w:rsid w:val="00BF60B0"/>
    <w:rsid w:val="00BF60E7"/>
    <w:rsid w:val="00BF6127"/>
    <w:rsid w:val="00BF612A"/>
    <w:rsid w:val="00BF6158"/>
    <w:rsid w:val="00BF621F"/>
    <w:rsid w:val="00BF64E5"/>
    <w:rsid w:val="00BF6AAD"/>
    <w:rsid w:val="00BF6B7D"/>
    <w:rsid w:val="00BF6F25"/>
    <w:rsid w:val="00BF7229"/>
    <w:rsid w:val="00BF7450"/>
    <w:rsid w:val="00BF7615"/>
    <w:rsid w:val="00BF7860"/>
    <w:rsid w:val="00BF7F67"/>
    <w:rsid w:val="00C0048A"/>
    <w:rsid w:val="00C004B6"/>
    <w:rsid w:val="00C005D4"/>
    <w:rsid w:val="00C00623"/>
    <w:rsid w:val="00C006AB"/>
    <w:rsid w:val="00C007CB"/>
    <w:rsid w:val="00C00832"/>
    <w:rsid w:val="00C00D0E"/>
    <w:rsid w:val="00C01105"/>
    <w:rsid w:val="00C0128B"/>
    <w:rsid w:val="00C0136D"/>
    <w:rsid w:val="00C0160F"/>
    <w:rsid w:val="00C01722"/>
    <w:rsid w:val="00C01A06"/>
    <w:rsid w:val="00C01B3C"/>
    <w:rsid w:val="00C02044"/>
    <w:rsid w:val="00C021BD"/>
    <w:rsid w:val="00C02284"/>
    <w:rsid w:val="00C02360"/>
    <w:rsid w:val="00C024EB"/>
    <w:rsid w:val="00C02744"/>
    <w:rsid w:val="00C02850"/>
    <w:rsid w:val="00C0286F"/>
    <w:rsid w:val="00C02A9A"/>
    <w:rsid w:val="00C02BA2"/>
    <w:rsid w:val="00C02DA6"/>
    <w:rsid w:val="00C02FB1"/>
    <w:rsid w:val="00C03245"/>
    <w:rsid w:val="00C032EC"/>
    <w:rsid w:val="00C03345"/>
    <w:rsid w:val="00C03638"/>
    <w:rsid w:val="00C0388F"/>
    <w:rsid w:val="00C038A7"/>
    <w:rsid w:val="00C03925"/>
    <w:rsid w:val="00C03A34"/>
    <w:rsid w:val="00C03BDB"/>
    <w:rsid w:val="00C03EB8"/>
    <w:rsid w:val="00C040B0"/>
    <w:rsid w:val="00C040B3"/>
    <w:rsid w:val="00C040CE"/>
    <w:rsid w:val="00C042EE"/>
    <w:rsid w:val="00C04328"/>
    <w:rsid w:val="00C04372"/>
    <w:rsid w:val="00C043C9"/>
    <w:rsid w:val="00C0445E"/>
    <w:rsid w:val="00C0453A"/>
    <w:rsid w:val="00C0453D"/>
    <w:rsid w:val="00C04649"/>
    <w:rsid w:val="00C04A96"/>
    <w:rsid w:val="00C04D09"/>
    <w:rsid w:val="00C04E27"/>
    <w:rsid w:val="00C051F5"/>
    <w:rsid w:val="00C05297"/>
    <w:rsid w:val="00C056DC"/>
    <w:rsid w:val="00C05934"/>
    <w:rsid w:val="00C0598C"/>
    <w:rsid w:val="00C05A6D"/>
    <w:rsid w:val="00C05AFD"/>
    <w:rsid w:val="00C05C54"/>
    <w:rsid w:val="00C0615F"/>
    <w:rsid w:val="00C061D4"/>
    <w:rsid w:val="00C0636B"/>
    <w:rsid w:val="00C0650A"/>
    <w:rsid w:val="00C065D1"/>
    <w:rsid w:val="00C06B72"/>
    <w:rsid w:val="00C06C2E"/>
    <w:rsid w:val="00C0716A"/>
    <w:rsid w:val="00C0717C"/>
    <w:rsid w:val="00C072A9"/>
    <w:rsid w:val="00C07643"/>
    <w:rsid w:val="00C078EE"/>
    <w:rsid w:val="00C079E9"/>
    <w:rsid w:val="00C07AEA"/>
    <w:rsid w:val="00C07BC4"/>
    <w:rsid w:val="00C07F71"/>
    <w:rsid w:val="00C10049"/>
    <w:rsid w:val="00C10069"/>
    <w:rsid w:val="00C10084"/>
    <w:rsid w:val="00C10127"/>
    <w:rsid w:val="00C10656"/>
    <w:rsid w:val="00C10C3D"/>
    <w:rsid w:val="00C10D79"/>
    <w:rsid w:val="00C11046"/>
    <w:rsid w:val="00C11408"/>
    <w:rsid w:val="00C1175F"/>
    <w:rsid w:val="00C117C8"/>
    <w:rsid w:val="00C117ED"/>
    <w:rsid w:val="00C11803"/>
    <w:rsid w:val="00C11996"/>
    <w:rsid w:val="00C11B4B"/>
    <w:rsid w:val="00C11C88"/>
    <w:rsid w:val="00C11E52"/>
    <w:rsid w:val="00C11FAE"/>
    <w:rsid w:val="00C125AB"/>
    <w:rsid w:val="00C12765"/>
    <w:rsid w:val="00C12AEB"/>
    <w:rsid w:val="00C12C39"/>
    <w:rsid w:val="00C12E2C"/>
    <w:rsid w:val="00C1303D"/>
    <w:rsid w:val="00C132B0"/>
    <w:rsid w:val="00C137F2"/>
    <w:rsid w:val="00C13889"/>
    <w:rsid w:val="00C138DF"/>
    <w:rsid w:val="00C138F3"/>
    <w:rsid w:val="00C13987"/>
    <w:rsid w:val="00C139D2"/>
    <w:rsid w:val="00C13AAE"/>
    <w:rsid w:val="00C13AEB"/>
    <w:rsid w:val="00C13E25"/>
    <w:rsid w:val="00C1403C"/>
    <w:rsid w:val="00C1453B"/>
    <w:rsid w:val="00C14B87"/>
    <w:rsid w:val="00C14DDA"/>
    <w:rsid w:val="00C14EE9"/>
    <w:rsid w:val="00C15102"/>
    <w:rsid w:val="00C15166"/>
    <w:rsid w:val="00C15418"/>
    <w:rsid w:val="00C1563E"/>
    <w:rsid w:val="00C156C7"/>
    <w:rsid w:val="00C156D6"/>
    <w:rsid w:val="00C1577D"/>
    <w:rsid w:val="00C15A55"/>
    <w:rsid w:val="00C15C66"/>
    <w:rsid w:val="00C15D9B"/>
    <w:rsid w:val="00C15D9F"/>
    <w:rsid w:val="00C15DAD"/>
    <w:rsid w:val="00C15DE6"/>
    <w:rsid w:val="00C15EA3"/>
    <w:rsid w:val="00C16312"/>
    <w:rsid w:val="00C16649"/>
    <w:rsid w:val="00C167FA"/>
    <w:rsid w:val="00C16B43"/>
    <w:rsid w:val="00C16C1B"/>
    <w:rsid w:val="00C16F35"/>
    <w:rsid w:val="00C17815"/>
    <w:rsid w:val="00C178E3"/>
    <w:rsid w:val="00C17BBF"/>
    <w:rsid w:val="00C17CF9"/>
    <w:rsid w:val="00C17EC1"/>
    <w:rsid w:val="00C20067"/>
    <w:rsid w:val="00C20161"/>
    <w:rsid w:val="00C20667"/>
    <w:rsid w:val="00C20A1A"/>
    <w:rsid w:val="00C20AF7"/>
    <w:rsid w:val="00C20B8D"/>
    <w:rsid w:val="00C20CBA"/>
    <w:rsid w:val="00C20E90"/>
    <w:rsid w:val="00C21269"/>
    <w:rsid w:val="00C21361"/>
    <w:rsid w:val="00C21454"/>
    <w:rsid w:val="00C21625"/>
    <w:rsid w:val="00C21671"/>
    <w:rsid w:val="00C21DDA"/>
    <w:rsid w:val="00C221BF"/>
    <w:rsid w:val="00C2234E"/>
    <w:rsid w:val="00C223FE"/>
    <w:rsid w:val="00C223FF"/>
    <w:rsid w:val="00C22628"/>
    <w:rsid w:val="00C22658"/>
    <w:rsid w:val="00C22AAF"/>
    <w:rsid w:val="00C22DB9"/>
    <w:rsid w:val="00C230B1"/>
    <w:rsid w:val="00C237D5"/>
    <w:rsid w:val="00C23850"/>
    <w:rsid w:val="00C23D3F"/>
    <w:rsid w:val="00C23F1F"/>
    <w:rsid w:val="00C245A3"/>
    <w:rsid w:val="00C247E2"/>
    <w:rsid w:val="00C24C5A"/>
    <w:rsid w:val="00C24F04"/>
    <w:rsid w:val="00C25019"/>
    <w:rsid w:val="00C25036"/>
    <w:rsid w:val="00C25806"/>
    <w:rsid w:val="00C25D26"/>
    <w:rsid w:val="00C26300"/>
    <w:rsid w:val="00C26436"/>
    <w:rsid w:val="00C265B0"/>
    <w:rsid w:val="00C26642"/>
    <w:rsid w:val="00C266C0"/>
    <w:rsid w:val="00C2674D"/>
    <w:rsid w:val="00C26A7E"/>
    <w:rsid w:val="00C26AE1"/>
    <w:rsid w:val="00C26B04"/>
    <w:rsid w:val="00C26BB8"/>
    <w:rsid w:val="00C26DDC"/>
    <w:rsid w:val="00C26DF7"/>
    <w:rsid w:val="00C26FE0"/>
    <w:rsid w:val="00C26FF5"/>
    <w:rsid w:val="00C27121"/>
    <w:rsid w:val="00C27365"/>
    <w:rsid w:val="00C27709"/>
    <w:rsid w:val="00C2783F"/>
    <w:rsid w:val="00C2784E"/>
    <w:rsid w:val="00C2788C"/>
    <w:rsid w:val="00C27A4D"/>
    <w:rsid w:val="00C27C70"/>
    <w:rsid w:val="00C27E05"/>
    <w:rsid w:val="00C300DE"/>
    <w:rsid w:val="00C3011B"/>
    <w:rsid w:val="00C3049A"/>
    <w:rsid w:val="00C30764"/>
    <w:rsid w:val="00C308F1"/>
    <w:rsid w:val="00C30B48"/>
    <w:rsid w:val="00C30D00"/>
    <w:rsid w:val="00C31219"/>
    <w:rsid w:val="00C31493"/>
    <w:rsid w:val="00C31582"/>
    <w:rsid w:val="00C316AC"/>
    <w:rsid w:val="00C31F2B"/>
    <w:rsid w:val="00C3203F"/>
    <w:rsid w:val="00C321AE"/>
    <w:rsid w:val="00C32376"/>
    <w:rsid w:val="00C32610"/>
    <w:rsid w:val="00C32752"/>
    <w:rsid w:val="00C3287C"/>
    <w:rsid w:val="00C3291F"/>
    <w:rsid w:val="00C32965"/>
    <w:rsid w:val="00C32C77"/>
    <w:rsid w:val="00C32DBB"/>
    <w:rsid w:val="00C32E52"/>
    <w:rsid w:val="00C32EA6"/>
    <w:rsid w:val="00C32FDF"/>
    <w:rsid w:val="00C332F8"/>
    <w:rsid w:val="00C33459"/>
    <w:rsid w:val="00C338E2"/>
    <w:rsid w:val="00C33C0E"/>
    <w:rsid w:val="00C34333"/>
    <w:rsid w:val="00C346B8"/>
    <w:rsid w:val="00C34708"/>
    <w:rsid w:val="00C34A8A"/>
    <w:rsid w:val="00C34C14"/>
    <w:rsid w:val="00C34CB2"/>
    <w:rsid w:val="00C34ED9"/>
    <w:rsid w:val="00C35008"/>
    <w:rsid w:val="00C35017"/>
    <w:rsid w:val="00C3506D"/>
    <w:rsid w:val="00C3514C"/>
    <w:rsid w:val="00C35228"/>
    <w:rsid w:val="00C35506"/>
    <w:rsid w:val="00C35554"/>
    <w:rsid w:val="00C355D1"/>
    <w:rsid w:val="00C35617"/>
    <w:rsid w:val="00C35638"/>
    <w:rsid w:val="00C35772"/>
    <w:rsid w:val="00C3589D"/>
    <w:rsid w:val="00C35A18"/>
    <w:rsid w:val="00C35E71"/>
    <w:rsid w:val="00C36367"/>
    <w:rsid w:val="00C365E8"/>
    <w:rsid w:val="00C36AB3"/>
    <w:rsid w:val="00C37021"/>
    <w:rsid w:val="00C3768F"/>
    <w:rsid w:val="00C3797B"/>
    <w:rsid w:val="00C3799B"/>
    <w:rsid w:val="00C37BD2"/>
    <w:rsid w:val="00C37D55"/>
    <w:rsid w:val="00C37D5F"/>
    <w:rsid w:val="00C404A1"/>
    <w:rsid w:val="00C405E7"/>
    <w:rsid w:val="00C408BF"/>
    <w:rsid w:val="00C408C0"/>
    <w:rsid w:val="00C40CA0"/>
    <w:rsid w:val="00C40D1A"/>
    <w:rsid w:val="00C40E11"/>
    <w:rsid w:val="00C40E9F"/>
    <w:rsid w:val="00C41091"/>
    <w:rsid w:val="00C41444"/>
    <w:rsid w:val="00C4150D"/>
    <w:rsid w:val="00C415E1"/>
    <w:rsid w:val="00C41B3D"/>
    <w:rsid w:val="00C41E2F"/>
    <w:rsid w:val="00C4213D"/>
    <w:rsid w:val="00C42147"/>
    <w:rsid w:val="00C423E7"/>
    <w:rsid w:val="00C42571"/>
    <w:rsid w:val="00C42699"/>
    <w:rsid w:val="00C4272C"/>
    <w:rsid w:val="00C42A51"/>
    <w:rsid w:val="00C42AB0"/>
    <w:rsid w:val="00C42DB8"/>
    <w:rsid w:val="00C42EAB"/>
    <w:rsid w:val="00C4326E"/>
    <w:rsid w:val="00C432AB"/>
    <w:rsid w:val="00C436C9"/>
    <w:rsid w:val="00C436EB"/>
    <w:rsid w:val="00C43BE5"/>
    <w:rsid w:val="00C43FE1"/>
    <w:rsid w:val="00C44212"/>
    <w:rsid w:val="00C444B2"/>
    <w:rsid w:val="00C445BA"/>
    <w:rsid w:val="00C44A69"/>
    <w:rsid w:val="00C4509E"/>
    <w:rsid w:val="00C45246"/>
    <w:rsid w:val="00C4535A"/>
    <w:rsid w:val="00C455A8"/>
    <w:rsid w:val="00C45B79"/>
    <w:rsid w:val="00C45D36"/>
    <w:rsid w:val="00C45DC5"/>
    <w:rsid w:val="00C45F62"/>
    <w:rsid w:val="00C4636A"/>
    <w:rsid w:val="00C467CC"/>
    <w:rsid w:val="00C468BD"/>
    <w:rsid w:val="00C469FB"/>
    <w:rsid w:val="00C46A66"/>
    <w:rsid w:val="00C46DFC"/>
    <w:rsid w:val="00C46E34"/>
    <w:rsid w:val="00C46F41"/>
    <w:rsid w:val="00C46F7C"/>
    <w:rsid w:val="00C4712A"/>
    <w:rsid w:val="00C471D2"/>
    <w:rsid w:val="00C4735F"/>
    <w:rsid w:val="00C47954"/>
    <w:rsid w:val="00C47AA3"/>
    <w:rsid w:val="00C47C9A"/>
    <w:rsid w:val="00C47DD9"/>
    <w:rsid w:val="00C500D9"/>
    <w:rsid w:val="00C50C2C"/>
    <w:rsid w:val="00C513E5"/>
    <w:rsid w:val="00C5144E"/>
    <w:rsid w:val="00C51586"/>
    <w:rsid w:val="00C515EC"/>
    <w:rsid w:val="00C51879"/>
    <w:rsid w:val="00C51933"/>
    <w:rsid w:val="00C51BF1"/>
    <w:rsid w:val="00C51CE9"/>
    <w:rsid w:val="00C51E20"/>
    <w:rsid w:val="00C51ED1"/>
    <w:rsid w:val="00C51EE7"/>
    <w:rsid w:val="00C52002"/>
    <w:rsid w:val="00C5213E"/>
    <w:rsid w:val="00C522AC"/>
    <w:rsid w:val="00C5232C"/>
    <w:rsid w:val="00C52880"/>
    <w:rsid w:val="00C52DA4"/>
    <w:rsid w:val="00C53030"/>
    <w:rsid w:val="00C5326D"/>
    <w:rsid w:val="00C5347F"/>
    <w:rsid w:val="00C53529"/>
    <w:rsid w:val="00C5387B"/>
    <w:rsid w:val="00C53A62"/>
    <w:rsid w:val="00C543A4"/>
    <w:rsid w:val="00C5447A"/>
    <w:rsid w:val="00C5449E"/>
    <w:rsid w:val="00C54544"/>
    <w:rsid w:val="00C5470C"/>
    <w:rsid w:val="00C547DD"/>
    <w:rsid w:val="00C549E8"/>
    <w:rsid w:val="00C54ED5"/>
    <w:rsid w:val="00C5505B"/>
    <w:rsid w:val="00C5528C"/>
    <w:rsid w:val="00C5530F"/>
    <w:rsid w:val="00C553B0"/>
    <w:rsid w:val="00C559EF"/>
    <w:rsid w:val="00C55DB8"/>
    <w:rsid w:val="00C55EDA"/>
    <w:rsid w:val="00C55F17"/>
    <w:rsid w:val="00C560B0"/>
    <w:rsid w:val="00C56532"/>
    <w:rsid w:val="00C56562"/>
    <w:rsid w:val="00C56B2F"/>
    <w:rsid w:val="00C56CE9"/>
    <w:rsid w:val="00C570E0"/>
    <w:rsid w:val="00C57112"/>
    <w:rsid w:val="00C572B4"/>
    <w:rsid w:val="00C5759F"/>
    <w:rsid w:val="00C57698"/>
    <w:rsid w:val="00C578E0"/>
    <w:rsid w:val="00C57DD6"/>
    <w:rsid w:val="00C57EFA"/>
    <w:rsid w:val="00C6001C"/>
    <w:rsid w:val="00C60325"/>
    <w:rsid w:val="00C605F1"/>
    <w:rsid w:val="00C60D0F"/>
    <w:rsid w:val="00C60DAD"/>
    <w:rsid w:val="00C61609"/>
    <w:rsid w:val="00C61693"/>
    <w:rsid w:val="00C61723"/>
    <w:rsid w:val="00C61AFC"/>
    <w:rsid w:val="00C61BB4"/>
    <w:rsid w:val="00C61C2A"/>
    <w:rsid w:val="00C61CEC"/>
    <w:rsid w:val="00C624B5"/>
    <w:rsid w:val="00C62543"/>
    <w:rsid w:val="00C63246"/>
    <w:rsid w:val="00C63957"/>
    <w:rsid w:val="00C6398D"/>
    <w:rsid w:val="00C63D34"/>
    <w:rsid w:val="00C63DDC"/>
    <w:rsid w:val="00C64034"/>
    <w:rsid w:val="00C640BB"/>
    <w:rsid w:val="00C6415B"/>
    <w:rsid w:val="00C6425B"/>
    <w:rsid w:val="00C6430D"/>
    <w:rsid w:val="00C643F5"/>
    <w:rsid w:val="00C64488"/>
    <w:rsid w:val="00C64489"/>
    <w:rsid w:val="00C64584"/>
    <w:rsid w:val="00C64616"/>
    <w:rsid w:val="00C647B4"/>
    <w:rsid w:val="00C64967"/>
    <w:rsid w:val="00C64C88"/>
    <w:rsid w:val="00C64D13"/>
    <w:rsid w:val="00C64D39"/>
    <w:rsid w:val="00C64EED"/>
    <w:rsid w:val="00C64FA9"/>
    <w:rsid w:val="00C65227"/>
    <w:rsid w:val="00C654B4"/>
    <w:rsid w:val="00C656E2"/>
    <w:rsid w:val="00C65C58"/>
    <w:rsid w:val="00C664A7"/>
    <w:rsid w:val="00C66608"/>
    <w:rsid w:val="00C6670A"/>
    <w:rsid w:val="00C668F2"/>
    <w:rsid w:val="00C66BEC"/>
    <w:rsid w:val="00C66E4A"/>
    <w:rsid w:val="00C670C0"/>
    <w:rsid w:val="00C67256"/>
    <w:rsid w:val="00C67F7E"/>
    <w:rsid w:val="00C704FB"/>
    <w:rsid w:val="00C705A4"/>
    <w:rsid w:val="00C7068C"/>
    <w:rsid w:val="00C70703"/>
    <w:rsid w:val="00C70745"/>
    <w:rsid w:val="00C708BD"/>
    <w:rsid w:val="00C709EC"/>
    <w:rsid w:val="00C70C5F"/>
    <w:rsid w:val="00C70D2B"/>
    <w:rsid w:val="00C70DD5"/>
    <w:rsid w:val="00C71601"/>
    <w:rsid w:val="00C71DBD"/>
    <w:rsid w:val="00C71EFA"/>
    <w:rsid w:val="00C721D2"/>
    <w:rsid w:val="00C722E3"/>
    <w:rsid w:val="00C7320B"/>
    <w:rsid w:val="00C7328D"/>
    <w:rsid w:val="00C73915"/>
    <w:rsid w:val="00C7392F"/>
    <w:rsid w:val="00C73976"/>
    <w:rsid w:val="00C73A31"/>
    <w:rsid w:val="00C73E6A"/>
    <w:rsid w:val="00C74562"/>
    <w:rsid w:val="00C7470A"/>
    <w:rsid w:val="00C74925"/>
    <w:rsid w:val="00C7495B"/>
    <w:rsid w:val="00C74ABD"/>
    <w:rsid w:val="00C75004"/>
    <w:rsid w:val="00C75236"/>
    <w:rsid w:val="00C752D9"/>
    <w:rsid w:val="00C7532E"/>
    <w:rsid w:val="00C75843"/>
    <w:rsid w:val="00C75924"/>
    <w:rsid w:val="00C76007"/>
    <w:rsid w:val="00C76400"/>
    <w:rsid w:val="00C765F1"/>
    <w:rsid w:val="00C76AD1"/>
    <w:rsid w:val="00C76BB2"/>
    <w:rsid w:val="00C76E2C"/>
    <w:rsid w:val="00C76EFA"/>
    <w:rsid w:val="00C76F66"/>
    <w:rsid w:val="00C77465"/>
    <w:rsid w:val="00C77895"/>
    <w:rsid w:val="00C77B55"/>
    <w:rsid w:val="00C77C46"/>
    <w:rsid w:val="00C77FC0"/>
    <w:rsid w:val="00C80155"/>
    <w:rsid w:val="00C803F6"/>
    <w:rsid w:val="00C80EF3"/>
    <w:rsid w:val="00C813AE"/>
    <w:rsid w:val="00C813DD"/>
    <w:rsid w:val="00C817B6"/>
    <w:rsid w:val="00C818DF"/>
    <w:rsid w:val="00C81908"/>
    <w:rsid w:val="00C81D27"/>
    <w:rsid w:val="00C81EFD"/>
    <w:rsid w:val="00C81F21"/>
    <w:rsid w:val="00C826BD"/>
    <w:rsid w:val="00C826E2"/>
    <w:rsid w:val="00C8291F"/>
    <w:rsid w:val="00C82937"/>
    <w:rsid w:val="00C82DD5"/>
    <w:rsid w:val="00C8315D"/>
    <w:rsid w:val="00C83480"/>
    <w:rsid w:val="00C83B1E"/>
    <w:rsid w:val="00C83BE4"/>
    <w:rsid w:val="00C83C6B"/>
    <w:rsid w:val="00C83F86"/>
    <w:rsid w:val="00C8400A"/>
    <w:rsid w:val="00C8415F"/>
    <w:rsid w:val="00C841F8"/>
    <w:rsid w:val="00C8491E"/>
    <w:rsid w:val="00C84C21"/>
    <w:rsid w:val="00C84C9E"/>
    <w:rsid w:val="00C84D70"/>
    <w:rsid w:val="00C84DDE"/>
    <w:rsid w:val="00C84FF3"/>
    <w:rsid w:val="00C85385"/>
    <w:rsid w:val="00C8581F"/>
    <w:rsid w:val="00C860BE"/>
    <w:rsid w:val="00C86300"/>
    <w:rsid w:val="00C86382"/>
    <w:rsid w:val="00C8668F"/>
    <w:rsid w:val="00C8680C"/>
    <w:rsid w:val="00C87448"/>
    <w:rsid w:val="00C87453"/>
    <w:rsid w:val="00C8750C"/>
    <w:rsid w:val="00C8753C"/>
    <w:rsid w:val="00C8759D"/>
    <w:rsid w:val="00C87979"/>
    <w:rsid w:val="00C87BAE"/>
    <w:rsid w:val="00C87C16"/>
    <w:rsid w:val="00C87E74"/>
    <w:rsid w:val="00C87EE4"/>
    <w:rsid w:val="00C87F90"/>
    <w:rsid w:val="00C90121"/>
    <w:rsid w:val="00C9026E"/>
    <w:rsid w:val="00C90332"/>
    <w:rsid w:val="00C9052A"/>
    <w:rsid w:val="00C9057D"/>
    <w:rsid w:val="00C906D7"/>
    <w:rsid w:val="00C90742"/>
    <w:rsid w:val="00C90865"/>
    <w:rsid w:val="00C90A48"/>
    <w:rsid w:val="00C90E5D"/>
    <w:rsid w:val="00C913C7"/>
    <w:rsid w:val="00C91568"/>
    <w:rsid w:val="00C917D6"/>
    <w:rsid w:val="00C919A0"/>
    <w:rsid w:val="00C91CD7"/>
    <w:rsid w:val="00C920B7"/>
    <w:rsid w:val="00C924EC"/>
    <w:rsid w:val="00C92786"/>
    <w:rsid w:val="00C92854"/>
    <w:rsid w:val="00C9287C"/>
    <w:rsid w:val="00C929FA"/>
    <w:rsid w:val="00C92A0A"/>
    <w:rsid w:val="00C92B40"/>
    <w:rsid w:val="00C92CE2"/>
    <w:rsid w:val="00C92FFC"/>
    <w:rsid w:val="00C93111"/>
    <w:rsid w:val="00C9324C"/>
    <w:rsid w:val="00C9327E"/>
    <w:rsid w:val="00C9361D"/>
    <w:rsid w:val="00C93A2A"/>
    <w:rsid w:val="00C93B93"/>
    <w:rsid w:val="00C93BEF"/>
    <w:rsid w:val="00C93BF6"/>
    <w:rsid w:val="00C93C42"/>
    <w:rsid w:val="00C93CE0"/>
    <w:rsid w:val="00C945BA"/>
    <w:rsid w:val="00C949EF"/>
    <w:rsid w:val="00C94ACB"/>
    <w:rsid w:val="00C94D1E"/>
    <w:rsid w:val="00C94DD4"/>
    <w:rsid w:val="00C94F5A"/>
    <w:rsid w:val="00C951FA"/>
    <w:rsid w:val="00C95253"/>
    <w:rsid w:val="00C95739"/>
    <w:rsid w:val="00C95C6D"/>
    <w:rsid w:val="00C95EA8"/>
    <w:rsid w:val="00C95EE1"/>
    <w:rsid w:val="00C95F94"/>
    <w:rsid w:val="00C960F2"/>
    <w:rsid w:val="00C9616A"/>
    <w:rsid w:val="00C96367"/>
    <w:rsid w:val="00C963FD"/>
    <w:rsid w:val="00C964D5"/>
    <w:rsid w:val="00C96505"/>
    <w:rsid w:val="00C96557"/>
    <w:rsid w:val="00C966AC"/>
    <w:rsid w:val="00C96852"/>
    <w:rsid w:val="00C9692F"/>
    <w:rsid w:val="00C96E96"/>
    <w:rsid w:val="00C97118"/>
    <w:rsid w:val="00C9734E"/>
    <w:rsid w:val="00C973B5"/>
    <w:rsid w:val="00C976E3"/>
    <w:rsid w:val="00C976E8"/>
    <w:rsid w:val="00C977B3"/>
    <w:rsid w:val="00C97BF9"/>
    <w:rsid w:val="00C97C66"/>
    <w:rsid w:val="00C97F79"/>
    <w:rsid w:val="00CA02C6"/>
    <w:rsid w:val="00CA03F0"/>
    <w:rsid w:val="00CA0486"/>
    <w:rsid w:val="00CA04C7"/>
    <w:rsid w:val="00CA0B26"/>
    <w:rsid w:val="00CA0DE6"/>
    <w:rsid w:val="00CA106C"/>
    <w:rsid w:val="00CA115B"/>
    <w:rsid w:val="00CA1343"/>
    <w:rsid w:val="00CA15B9"/>
    <w:rsid w:val="00CA1982"/>
    <w:rsid w:val="00CA1C34"/>
    <w:rsid w:val="00CA1F24"/>
    <w:rsid w:val="00CA1F28"/>
    <w:rsid w:val="00CA2037"/>
    <w:rsid w:val="00CA22BB"/>
    <w:rsid w:val="00CA2ABD"/>
    <w:rsid w:val="00CA2BE6"/>
    <w:rsid w:val="00CA2BFB"/>
    <w:rsid w:val="00CA2E4C"/>
    <w:rsid w:val="00CA3237"/>
    <w:rsid w:val="00CA32D0"/>
    <w:rsid w:val="00CA345E"/>
    <w:rsid w:val="00CA3A0E"/>
    <w:rsid w:val="00CA3A29"/>
    <w:rsid w:val="00CA3FD3"/>
    <w:rsid w:val="00CA4302"/>
    <w:rsid w:val="00CA46EE"/>
    <w:rsid w:val="00CA517F"/>
    <w:rsid w:val="00CA536F"/>
    <w:rsid w:val="00CA53CC"/>
    <w:rsid w:val="00CA57A6"/>
    <w:rsid w:val="00CA57E1"/>
    <w:rsid w:val="00CA593E"/>
    <w:rsid w:val="00CA5D23"/>
    <w:rsid w:val="00CA6003"/>
    <w:rsid w:val="00CA65F9"/>
    <w:rsid w:val="00CA6731"/>
    <w:rsid w:val="00CA6967"/>
    <w:rsid w:val="00CA69C7"/>
    <w:rsid w:val="00CA6AEC"/>
    <w:rsid w:val="00CA6EA0"/>
    <w:rsid w:val="00CA6EF6"/>
    <w:rsid w:val="00CA6F0A"/>
    <w:rsid w:val="00CA743D"/>
    <w:rsid w:val="00CA7506"/>
    <w:rsid w:val="00CA75BA"/>
    <w:rsid w:val="00CA7732"/>
    <w:rsid w:val="00CA79A7"/>
    <w:rsid w:val="00CA7FC7"/>
    <w:rsid w:val="00CB0065"/>
    <w:rsid w:val="00CB0126"/>
    <w:rsid w:val="00CB03D8"/>
    <w:rsid w:val="00CB06E0"/>
    <w:rsid w:val="00CB07CB"/>
    <w:rsid w:val="00CB0D27"/>
    <w:rsid w:val="00CB0F26"/>
    <w:rsid w:val="00CB0F56"/>
    <w:rsid w:val="00CB0F78"/>
    <w:rsid w:val="00CB168A"/>
    <w:rsid w:val="00CB1803"/>
    <w:rsid w:val="00CB183F"/>
    <w:rsid w:val="00CB1908"/>
    <w:rsid w:val="00CB1A4B"/>
    <w:rsid w:val="00CB20FD"/>
    <w:rsid w:val="00CB212D"/>
    <w:rsid w:val="00CB2820"/>
    <w:rsid w:val="00CB2948"/>
    <w:rsid w:val="00CB2B5C"/>
    <w:rsid w:val="00CB2E35"/>
    <w:rsid w:val="00CB2EBB"/>
    <w:rsid w:val="00CB322B"/>
    <w:rsid w:val="00CB3324"/>
    <w:rsid w:val="00CB38D1"/>
    <w:rsid w:val="00CB3930"/>
    <w:rsid w:val="00CB3967"/>
    <w:rsid w:val="00CB3D20"/>
    <w:rsid w:val="00CB3E90"/>
    <w:rsid w:val="00CB3F6C"/>
    <w:rsid w:val="00CB4193"/>
    <w:rsid w:val="00CB43FD"/>
    <w:rsid w:val="00CB44F3"/>
    <w:rsid w:val="00CB453D"/>
    <w:rsid w:val="00CB48E3"/>
    <w:rsid w:val="00CB491C"/>
    <w:rsid w:val="00CB4B82"/>
    <w:rsid w:val="00CB4DAF"/>
    <w:rsid w:val="00CB4EB8"/>
    <w:rsid w:val="00CB5221"/>
    <w:rsid w:val="00CB536E"/>
    <w:rsid w:val="00CB63F7"/>
    <w:rsid w:val="00CB64ED"/>
    <w:rsid w:val="00CB6676"/>
    <w:rsid w:val="00CB66F2"/>
    <w:rsid w:val="00CB68CC"/>
    <w:rsid w:val="00CB6B67"/>
    <w:rsid w:val="00CB6B6F"/>
    <w:rsid w:val="00CB6C64"/>
    <w:rsid w:val="00CB7112"/>
    <w:rsid w:val="00CB73AA"/>
    <w:rsid w:val="00CB7A20"/>
    <w:rsid w:val="00CB7AE7"/>
    <w:rsid w:val="00CB7B3F"/>
    <w:rsid w:val="00CC0404"/>
    <w:rsid w:val="00CC09F9"/>
    <w:rsid w:val="00CC0AC7"/>
    <w:rsid w:val="00CC0F66"/>
    <w:rsid w:val="00CC104A"/>
    <w:rsid w:val="00CC109B"/>
    <w:rsid w:val="00CC1264"/>
    <w:rsid w:val="00CC1BB3"/>
    <w:rsid w:val="00CC1F60"/>
    <w:rsid w:val="00CC2015"/>
    <w:rsid w:val="00CC23FD"/>
    <w:rsid w:val="00CC2791"/>
    <w:rsid w:val="00CC285C"/>
    <w:rsid w:val="00CC2A7D"/>
    <w:rsid w:val="00CC2BDF"/>
    <w:rsid w:val="00CC2D43"/>
    <w:rsid w:val="00CC2F1C"/>
    <w:rsid w:val="00CC31A7"/>
    <w:rsid w:val="00CC330A"/>
    <w:rsid w:val="00CC3464"/>
    <w:rsid w:val="00CC373A"/>
    <w:rsid w:val="00CC3C8E"/>
    <w:rsid w:val="00CC3E7C"/>
    <w:rsid w:val="00CC3EDB"/>
    <w:rsid w:val="00CC5699"/>
    <w:rsid w:val="00CC5797"/>
    <w:rsid w:val="00CC5962"/>
    <w:rsid w:val="00CC6058"/>
    <w:rsid w:val="00CC6106"/>
    <w:rsid w:val="00CC6124"/>
    <w:rsid w:val="00CC6179"/>
    <w:rsid w:val="00CC6694"/>
    <w:rsid w:val="00CC6817"/>
    <w:rsid w:val="00CC694D"/>
    <w:rsid w:val="00CC6AA4"/>
    <w:rsid w:val="00CC6E66"/>
    <w:rsid w:val="00CC70BA"/>
    <w:rsid w:val="00CC74B7"/>
    <w:rsid w:val="00CC75DA"/>
    <w:rsid w:val="00CC7D91"/>
    <w:rsid w:val="00CC7F57"/>
    <w:rsid w:val="00CD0128"/>
    <w:rsid w:val="00CD0299"/>
    <w:rsid w:val="00CD036E"/>
    <w:rsid w:val="00CD06B3"/>
    <w:rsid w:val="00CD074F"/>
    <w:rsid w:val="00CD077D"/>
    <w:rsid w:val="00CD081F"/>
    <w:rsid w:val="00CD09F0"/>
    <w:rsid w:val="00CD0A19"/>
    <w:rsid w:val="00CD0AC3"/>
    <w:rsid w:val="00CD0CE0"/>
    <w:rsid w:val="00CD10E2"/>
    <w:rsid w:val="00CD1654"/>
    <w:rsid w:val="00CD190E"/>
    <w:rsid w:val="00CD1A95"/>
    <w:rsid w:val="00CD1BFB"/>
    <w:rsid w:val="00CD1D59"/>
    <w:rsid w:val="00CD1DA1"/>
    <w:rsid w:val="00CD20A7"/>
    <w:rsid w:val="00CD2403"/>
    <w:rsid w:val="00CD2519"/>
    <w:rsid w:val="00CD25D3"/>
    <w:rsid w:val="00CD2869"/>
    <w:rsid w:val="00CD29EB"/>
    <w:rsid w:val="00CD2B98"/>
    <w:rsid w:val="00CD2C8E"/>
    <w:rsid w:val="00CD2D0D"/>
    <w:rsid w:val="00CD2DD1"/>
    <w:rsid w:val="00CD309E"/>
    <w:rsid w:val="00CD3207"/>
    <w:rsid w:val="00CD324F"/>
    <w:rsid w:val="00CD3380"/>
    <w:rsid w:val="00CD3587"/>
    <w:rsid w:val="00CD3853"/>
    <w:rsid w:val="00CD3B4F"/>
    <w:rsid w:val="00CD3E6C"/>
    <w:rsid w:val="00CD435E"/>
    <w:rsid w:val="00CD4573"/>
    <w:rsid w:val="00CD460B"/>
    <w:rsid w:val="00CD46FD"/>
    <w:rsid w:val="00CD4798"/>
    <w:rsid w:val="00CD48ED"/>
    <w:rsid w:val="00CD4C68"/>
    <w:rsid w:val="00CD4EAD"/>
    <w:rsid w:val="00CD51CE"/>
    <w:rsid w:val="00CD5420"/>
    <w:rsid w:val="00CD54E2"/>
    <w:rsid w:val="00CD5BD8"/>
    <w:rsid w:val="00CD5DC6"/>
    <w:rsid w:val="00CD6069"/>
    <w:rsid w:val="00CD61C4"/>
    <w:rsid w:val="00CD6286"/>
    <w:rsid w:val="00CD6468"/>
    <w:rsid w:val="00CD670B"/>
    <w:rsid w:val="00CD67BE"/>
    <w:rsid w:val="00CD67D3"/>
    <w:rsid w:val="00CD6BBC"/>
    <w:rsid w:val="00CD6D88"/>
    <w:rsid w:val="00CD6D8F"/>
    <w:rsid w:val="00CD6D96"/>
    <w:rsid w:val="00CD7099"/>
    <w:rsid w:val="00CD7269"/>
    <w:rsid w:val="00CD72B0"/>
    <w:rsid w:val="00CD786D"/>
    <w:rsid w:val="00CD7A0D"/>
    <w:rsid w:val="00CD7E69"/>
    <w:rsid w:val="00CD7FF5"/>
    <w:rsid w:val="00CE0737"/>
    <w:rsid w:val="00CE098F"/>
    <w:rsid w:val="00CE09BA"/>
    <w:rsid w:val="00CE0C64"/>
    <w:rsid w:val="00CE0DC6"/>
    <w:rsid w:val="00CE15B3"/>
    <w:rsid w:val="00CE1690"/>
    <w:rsid w:val="00CE1812"/>
    <w:rsid w:val="00CE1C42"/>
    <w:rsid w:val="00CE1DD1"/>
    <w:rsid w:val="00CE1E25"/>
    <w:rsid w:val="00CE1E3A"/>
    <w:rsid w:val="00CE1E48"/>
    <w:rsid w:val="00CE1E7D"/>
    <w:rsid w:val="00CE266E"/>
    <w:rsid w:val="00CE268F"/>
    <w:rsid w:val="00CE27B6"/>
    <w:rsid w:val="00CE2E7F"/>
    <w:rsid w:val="00CE2F66"/>
    <w:rsid w:val="00CE32F0"/>
    <w:rsid w:val="00CE33D9"/>
    <w:rsid w:val="00CE34C7"/>
    <w:rsid w:val="00CE3573"/>
    <w:rsid w:val="00CE375E"/>
    <w:rsid w:val="00CE38A0"/>
    <w:rsid w:val="00CE3A02"/>
    <w:rsid w:val="00CE3A3E"/>
    <w:rsid w:val="00CE3FA8"/>
    <w:rsid w:val="00CE4330"/>
    <w:rsid w:val="00CE44D3"/>
    <w:rsid w:val="00CE4B52"/>
    <w:rsid w:val="00CE4C73"/>
    <w:rsid w:val="00CE5721"/>
    <w:rsid w:val="00CE5FD8"/>
    <w:rsid w:val="00CE6090"/>
    <w:rsid w:val="00CE61D8"/>
    <w:rsid w:val="00CE6262"/>
    <w:rsid w:val="00CE6316"/>
    <w:rsid w:val="00CE6674"/>
    <w:rsid w:val="00CE675E"/>
    <w:rsid w:val="00CE6D64"/>
    <w:rsid w:val="00CE7359"/>
    <w:rsid w:val="00CE73D7"/>
    <w:rsid w:val="00CE75FF"/>
    <w:rsid w:val="00CE777C"/>
    <w:rsid w:val="00CE7915"/>
    <w:rsid w:val="00CE7923"/>
    <w:rsid w:val="00CE7C63"/>
    <w:rsid w:val="00CE7E2D"/>
    <w:rsid w:val="00CE7EA7"/>
    <w:rsid w:val="00CE7FE3"/>
    <w:rsid w:val="00CF003D"/>
    <w:rsid w:val="00CF0388"/>
    <w:rsid w:val="00CF03C2"/>
    <w:rsid w:val="00CF05C4"/>
    <w:rsid w:val="00CF0B18"/>
    <w:rsid w:val="00CF0B6D"/>
    <w:rsid w:val="00CF0B98"/>
    <w:rsid w:val="00CF10E9"/>
    <w:rsid w:val="00CF12E1"/>
    <w:rsid w:val="00CF1584"/>
    <w:rsid w:val="00CF172E"/>
    <w:rsid w:val="00CF1894"/>
    <w:rsid w:val="00CF1EF6"/>
    <w:rsid w:val="00CF20B3"/>
    <w:rsid w:val="00CF2335"/>
    <w:rsid w:val="00CF284B"/>
    <w:rsid w:val="00CF2C79"/>
    <w:rsid w:val="00CF2F67"/>
    <w:rsid w:val="00CF2F7F"/>
    <w:rsid w:val="00CF3117"/>
    <w:rsid w:val="00CF33C4"/>
    <w:rsid w:val="00CF3471"/>
    <w:rsid w:val="00CF37E5"/>
    <w:rsid w:val="00CF3A24"/>
    <w:rsid w:val="00CF3F9B"/>
    <w:rsid w:val="00CF3FB4"/>
    <w:rsid w:val="00CF40FF"/>
    <w:rsid w:val="00CF4112"/>
    <w:rsid w:val="00CF43D0"/>
    <w:rsid w:val="00CF4452"/>
    <w:rsid w:val="00CF4BF6"/>
    <w:rsid w:val="00CF4C68"/>
    <w:rsid w:val="00CF4CCE"/>
    <w:rsid w:val="00CF4DD6"/>
    <w:rsid w:val="00CF5185"/>
    <w:rsid w:val="00CF5321"/>
    <w:rsid w:val="00CF555F"/>
    <w:rsid w:val="00CF5D88"/>
    <w:rsid w:val="00CF607B"/>
    <w:rsid w:val="00CF6124"/>
    <w:rsid w:val="00CF6251"/>
    <w:rsid w:val="00CF6621"/>
    <w:rsid w:val="00CF6642"/>
    <w:rsid w:val="00CF6AA8"/>
    <w:rsid w:val="00CF6B1C"/>
    <w:rsid w:val="00CF6B5C"/>
    <w:rsid w:val="00CF6B93"/>
    <w:rsid w:val="00CF71A7"/>
    <w:rsid w:val="00CF733B"/>
    <w:rsid w:val="00CF7489"/>
    <w:rsid w:val="00CF74A8"/>
    <w:rsid w:val="00CF76C2"/>
    <w:rsid w:val="00CF77F9"/>
    <w:rsid w:val="00CF7852"/>
    <w:rsid w:val="00CF7947"/>
    <w:rsid w:val="00CF79A8"/>
    <w:rsid w:val="00CF7A42"/>
    <w:rsid w:val="00CF7AD2"/>
    <w:rsid w:val="00CF7AEE"/>
    <w:rsid w:val="00CF7CA5"/>
    <w:rsid w:val="00CF7FC9"/>
    <w:rsid w:val="00D00035"/>
    <w:rsid w:val="00D009C9"/>
    <w:rsid w:val="00D00C92"/>
    <w:rsid w:val="00D00CB2"/>
    <w:rsid w:val="00D00EBE"/>
    <w:rsid w:val="00D00F3C"/>
    <w:rsid w:val="00D00F60"/>
    <w:rsid w:val="00D0106F"/>
    <w:rsid w:val="00D015E5"/>
    <w:rsid w:val="00D01AC7"/>
    <w:rsid w:val="00D01D47"/>
    <w:rsid w:val="00D01EDC"/>
    <w:rsid w:val="00D0209F"/>
    <w:rsid w:val="00D02552"/>
    <w:rsid w:val="00D02704"/>
    <w:rsid w:val="00D02750"/>
    <w:rsid w:val="00D02786"/>
    <w:rsid w:val="00D028B9"/>
    <w:rsid w:val="00D0295E"/>
    <w:rsid w:val="00D02CA7"/>
    <w:rsid w:val="00D0304F"/>
    <w:rsid w:val="00D0311E"/>
    <w:rsid w:val="00D03534"/>
    <w:rsid w:val="00D03A58"/>
    <w:rsid w:val="00D03E62"/>
    <w:rsid w:val="00D03EF0"/>
    <w:rsid w:val="00D03F04"/>
    <w:rsid w:val="00D04259"/>
    <w:rsid w:val="00D046D9"/>
    <w:rsid w:val="00D0480A"/>
    <w:rsid w:val="00D0496D"/>
    <w:rsid w:val="00D049A6"/>
    <w:rsid w:val="00D04C03"/>
    <w:rsid w:val="00D04E5D"/>
    <w:rsid w:val="00D051B1"/>
    <w:rsid w:val="00D052CE"/>
    <w:rsid w:val="00D05549"/>
    <w:rsid w:val="00D0567D"/>
    <w:rsid w:val="00D05783"/>
    <w:rsid w:val="00D058BF"/>
    <w:rsid w:val="00D0598B"/>
    <w:rsid w:val="00D0599A"/>
    <w:rsid w:val="00D05B77"/>
    <w:rsid w:val="00D05B9D"/>
    <w:rsid w:val="00D05BF1"/>
    <w:rsid w:val="00D05EC0"/>
    <w:rsid w:val="00D05EE3"/>
    <w:rsid w:val="00D0613F"/>
    <w:rsid w:val="00D063B4"/>
    <w:rsid w:val="00D0641D"/>
    <w:rsid w:val="00D0644E"/>
    <w:rsid w:val="00D06606"/>
    <w:rsid w:val="00D066D0"/>
    <w:rsid w:val="00D067B2"/>
    <w:rsid w:val="00D06814"/>
    <w:rsid w:val="00D069E2"/>
    <w:rsid w:val="00D06AC9"/>
    <w:rsid w:val="00D06C2D"/>
    <w:rsid w:val="00D06D90"/>
    <w:rsid w:val="00D07695"/>
    <w:rsid w:val="00D07A72"/>
    <w:rsid w:val="00D07C6C"/>
    <w:rsid w:val="00D07C9B"/>
    <w:rsid w:val="00D07F30"/>
    <w:rsid w:val="00D10192"/>
    <w:rsid w:val="00D10749"/>
    <w:rsid w:val="00D1079B"/>
    <w:rsid w:val="00D10830"/>
    <w:rsid w:val="00D10865"/>
    <w:rsid w:val="00D109F9"/>
    <w:rsid w:val="00D10AB1"/>
    <w:rsid w:val="00D110D5"/>
    <w:rsid w:val="00D1119D"/>
    <w:rsid w:val="00D11600"/>
    <w:rsid w:val="00D1162D"/>
    <w:rsid w:val="00D11CD0"/>
    <w:rsid w:val="00D11D21"/>
    <w:rsid w:val="00D11F26"/>
    <w:rsid w:val="00D1229C"/>
    <w:rsid w:val="00D12821"/>
    <w:rsid w:val="00D132D7"/>
    <w:rsid w:val="00D13368"/>
    <w:rsid w:val="00D134AD"/>
    <w:rsid w:val="00D1364A"/>
    <w:rsid w:val="00D13C52"/>
    <w:rsid w:val="00D13E3D"/>
    <w:rsid w:val="00D14831"/>
    <w:rsid w:val="00D14ABD"/>
    <w:rsid w:val="00D14C0B"/>
    <w:rsid w:val="00D14E5A"/>
    <w:rsid w:val="00D14F1B"/>
    <w:rsid w:val="00D15150"/>
    <w:rsid w:val="00D152DE"/>
    <w:rsid w:val="00D1541E"/>
    <w:rsid w:val="00D159C7"/>
    <w:rsid w:val="00D15BF8"/>
    <w:rsid w:val="00D16140"/>
    <w:rsid w:val="00D16366"/>
    <w:rsid w:val="00D163F5"/>
    <w:rsid w:val="00D16609"/>
    <w:rsid w:val="00D167D8"/>
    <w:rsid w:val="00D16954"/>
    <w:rsid w:val="00D16AFD"/>
    <w:rsid w:val="00D16B82"/>
    <w:rsid w:val="00D16D05"/>
    <w:rsid w:val="00D16E9A"/>
    <w:rsid w:val="00D16EB5"/>
    <w:rsid w:val="00D1705A"/>
    <w:rsid w:val="00D170D5"/>
    <w:rsid w:val="00D1719F"/>
    <w:rsid w:val="00D17279"/>
    <w:rsid w:val="00D17922"/>
    <w:rsid w:val="00D17AAB"/>
    <w:rsid w:val="00D17B16"/>
    <w:rsid w:val="00D17DC8"/>
    <w:rsid w:val="00D17EEF"/>
    <w:rsid w:val="00D202E7"/>
    <w:rsid w:val="00D206C0"/>
    <w:rsid w:val="00D206C4"/>
    <w:rsid w:val="00D20992"/>
    <w:rsid w:val="00D20AB4"/>
    <w:rsid w:val="00D20BC0"/>
    <w:rsid w:val="00D20C31"/>
    <w:rsid w:val="00D215C8"/>
    <w:rsid w:val="00D21729"/>
    <w:rsid w:val="00D2175B"/>
    <w:rsid w:val="00D21974"/>
    <w:rsid w:val="00D21DF8"/>
    <w:rsid w:val="00D21F8A"/>
    <w:rsid w:val="00D2220E"/>
    <w:rsid w:val="00D22210"/>
    <w:rsid w:val="00D222D0"/>
    <w:rsid w:val="00D22490"/>
    <w:rsid w:val="00D224CD"/>
    <w:rsid w:val="00D22669"/>
    <w:rsid w:val="00D22721"/>
    <w:rsid w:val="00D22AF5"/>
    <w:rsid w:val="00D2309C"/>
    <w:rsid w:val="00D231A1"/>
    <w:rsid w:val="00D23617"/>
    <w:rsid w:val="00D236E2"/>
    <w:rsid w:val="00D2371D"/>
    <w:rsid w:val="00D238A4"/>
    <w:rsid w:val="00D23974"/>
    <w:rsid w:val="00D239C9"/>
    <w:rsid w:val="00D23A06"/>
    <w:rsid w:val="00D24083"/>
    <w:rsid w:val="00D24276"/>
    <w:rsid w:val="00D24591"/>
    <w:rsid w:val="00D24AB8"/>
    <w:rsid w:val="00D24B21"/>
    <w:rsid w:val="00D24B65"/>
    <w:rsid w:val="00D24D55"/>
    <w:rsid w:val="00D24F1F"/>
    <w:rsid w:val="00D24FFC"/>
    <w:rsid w:val="00D2528F"/>
    <w:rsid w:val="00D258A2"/>
    <w:rsid w:val="00D259E9"/>
    <w:rsid w:val="00D25AE9"/>
    <w:rsid w:val="00D25CDC"/>
    <w:rsid w:val="00D25CF3"/>
    <w:rsid w:val="00D25E90"/>
    <w:rsid w:val="00D25F14"/>
    <w:rsid w:val="00D2600B"/>
    <w:rsid w:val="00D2610D"/>
    <w:rsid w:val="00D2658C"/>
    <w:rsid w:val="00D26665"/>
    <w:rsid w:val="00D266D2"/>
    <w:rsid w:val="00D266FA"/>
    <w:rsid w:val="00D270AE"/>
    <w:rsid w:val="00D274B2"/>
    <w:rsid w:val="00D27579"/>
    <w:rsid w:val="00D276A3"/>
    <w:rsid w:val="00D27749"/>
    <w:rsid w:val="00D27804"/>
    <w:rsid w:val="00D2795E"/>
    <w:rsid w:val="00D27B13"/>
    <w:rsid w:val="00D27B33"/>
    <w:rsid w:val="00D27D22"/>
    <w:rsid w:val="00D27DAD"/>
    <w:rsid w:val="00D27E66"/>
    <w:rsid w:val="00D27ED4"/>
    <w:rsid w:val="00D3000B"/>
    <w:rsid w:val="00D302CA"/>
    <w:rsid w:val="00D30A24"/>
    <w:rsid w:val="00D30F06"/>
    <w:rsid w:val="00D310BF"/>
    <w:rsid w:val="00D3165B"/>
    <w:rsid w:val="00D316A8"/>
    <w:rsid w:val="00D3170F"/>
    <w:rsid w:val="00D31A8B"/>
    <w:rsid w:val="00D31B6E"/>
    <w:rsid w:val="00D32159"/>
    <w:rsid w:val="00D3229A"/>
    <w:rsid w:val="00D323D4"/>
    <w:rsid w:val="00D32667"/>
    <w:rsid w:val="00D326A1"/>
    <w:rsid w:val="00D32837"/>
    <w:rsid w:val="00D3295C"/>
    <w:rsid w:val="00D33311"/>
    <w:rsid w:val="00D33511"/>
    <w:rsid w:val="00D33887"/>
    <w:rsid w:val="00D338B5"/>
    <w:rsid w:val="00D338DA"/>
    <w:rsid w:val="00D3397B"/>
    <w:rsid w:val="00D33AEC"/>
    <w:rsid w:val="00D33F6A"/>
    <w:rsid w:val="00D34134"/>
    <w:rsid w:val="00D341EB"/>
    <w:rsid w:val="00D344C6"/>
    <w:rsid w:val="00D347BB"/>
    <w:rsid w:val="00D34ADF"/>
    <w:rsid w:val="00D34BE8"/>
    <w:rsid w:val="00D34EBA"/>
    <w:rsid w:val="00D34F15"/>
    <w:rsid w:val="00D34F77"/>
    <w:rsid w:val="00D35194"/>
    <w:rsid w:val="00D35289"/>
    <w:rsid w:val="00D35353"/>
    <w:rsid w:val="00D35360"/>
    <w:rsid w:val="00D355F6"/>
    <w:rsid w:val="00D3567D"/>
    <w:rsid w:val="00D35699"/>
    <w:rsid w:val="00D356F1"/>
    <w:rsid w:val="00D358E1"/>
    <w:rsid w:val="00D35CA5"/>
    <w:rsid w:val="00D361F6"/>
    <w:rsid w:val="00D36578"/>
    <w:rsid w:val="00D36677"/>
    <w:rsid w:val="00D367B5"/>
    <w:rsid w:val="00D36A29"/>
    <w:rsid w:val="00D36B35"/>
    <w:rsid w:val="00D36CDD"/>
    <w:rsid w:val="00D37031"/>
    <w:rsid w:val="00D37253"/>
    <w:rsid w:val="00D37885"/>
    <w:rsid w:val="00D379BA"/>
    <w:rsid w:val="00D37EC5"/>
    <w:rsid w:val="00D37FD2"/>
    <w:rsid w:val="00D40608"/>
    <w:rsid w:val="00D40699"/>
    <w:rsid w:val="00D408CA"/>
    <w:rsid w:val="00D40B27"/>
    <w:rsid w:val="00D40C64"/>
    <w:rsid w:val="00D40C67"/>
    <w:rsid w:val="00D41081"/>
    <w:rsid w:val="00D41517"/>
    <w:rsid w:val="00D4193C"/>
    <w:rsid w:val="00D41944"/>
    <w:rsid w:val="00D41A8C"/>
    <w:rsid w:val="00D422A4"/>
    <w:rsid w:val="00D427EE"/>
    <w:rsid w:val="00D4283B"/>
    <w:rsid w:val="00D42C7E"/>
    <w:rsid w:val="00D43060"/>
    <w:rsid w:val="00D4309F"/>
    <w:rsid w:val="00D4318D"/>
    <w:rsid w:val="00D43778"/>
    <w:rsid w:val="00D43A02"/>
    <w:rsid w:val="00D43A8A"/>
    <w:rsid w:val="00D43B23"/>
    <w:rsid w:val="00D43B8F"/>
    <w:rsid w:val="00D43F60"/>
    <w:rsid w:val="00D4404F"/>
    <w:rsid w:val="00D440AD"/>
    <w:rsid w:val="00D440FB"/>
    <w:rsid w:val="00D441D5"/>
    <w:rsid w:val="00D441ED"/>
    <w:rsid w:val="00D441FE"/>
    <w:rsid w:val="00D443F0"/>
    <w:rsid w:val="00D44621"/>
    <w:rsid w:val="00D447B8"/>
    <w:rsid w:val="00D447D7"/>
    <w:rsid w:val="00D449F9"/>
    <w:rsid w:val="00D44B03"/>
    <w:rsid w:val="00D44D67"/>
    <w:rsid w:val="00D450EA"/>
    <w:rsid w:val="00D45273"/>
    <w:rsid w:val="00D45313"/>
    <w:rsid w:val="00D454C2"/>
    <w:rsid w:val="00D45836"/>
    <w:rsid w:val="00D45D3A"/>
    <w:rsid w:val="00D45DC7"/>
    <w:rsid w:val="00D45E18"/>
    <w:rsid w:val="00D45E36"/>
    <w:rsid w:val="00D45F9F"/>
    <w:rsid w:val="00D46091"/>
    <w:rsid w:val="00D463EE"/>
    <w:rsid w:val="00D468A4"/>
    <w:rsid w:val="00D47049"/>
    <w:rsid w:val="00D47648"/>
    <w:rsid w:val="00D501B3"/>
    <w:rsid w:val="00D501BB"/>
    <w:rsid w:val="00D50273"/>
    <w:rsid w:val="00D502C3"/>
    <w:rsid w:val="00D5056F"/>
    <w:rsid w:val="00D5059D"/>
    <w:rsid w:val="00D50970"/>
    <w:rsid w:val="00D50D8D"/>
    <w:rsid w:val="00D50E49"/>
    <w:rsid w:val="00D510E5"/>
    <w:rsid w:val="00D510F9"/>
    <w:rsid w:val="00D51424"/>
    <w:rsid w:val="00D5179D"/>
    <w:rsid w:val="00D5187A"/>
    <w:rsid w:val="00D51A7F"/>
    <w:rsid w:val="00D51BE1"/>
    <w:rsid w:val="00D51C1C"/>
    <w:rsid w:val="00D51F32"/>
    <w:rsid w:val="00D52116"/>
    <w:rsid w:val="00D5237B"/>
    <w:rsid w:val="00D52883"/>
    <w:rsid w:val="00D529D5"/>
    <w:rsid w:val="00D52AA5"/>
    <w:rsid w:val="00D52E65"/>
    <w:rsid w:val="00D5313D"/>
    <w:rsid w:val="00D533C1"/>
    <w:rsid w:val="00D535BC"/>
    <w:rsid w:val="00D53717"/>
    <w:rsid w:val="00D53C40"/>
    <w:rsid w:val="00D53E78"/>
    <w:rsid w:val="00D5448C"/>
    <w:rsid w:val="00D54639"/>
    <w:rsid w:val="00D548AF"/>
    <w:rsid w:val="00D54CB5"/>
    <w:rsid w:val="00D54E21"/>
    <w:rsid w:val="00D55230"/>
    <w:rsid w:val="00D55416"/>
    <w:rsid w:val="00D55799"/>
    <w:rsid w:val="00D55BF7"/>
    <w:rsid w:val="00D55C54"/>
    <w:rsid w:val="00D55D7D"/>
    <w:rsid w:val="00D55EF7"/>
    <w:rsid w:val="00D5609E"/>
    <w:rsid w:val="00D56370"/>
    <w:rsid w:val="00D565DC"/>
    <w:rsid w:val="00D565F0"/>
    <w:rsid w:val="00D5664C"/>
    <w:rsid w:val="00D56D7F"/>
    <w:rsid w:val="00D56E1A"/>
    <w:rsid w:val="00D570E3"/>
    <w:rsid w:val="00D57293"/>
    <w:rsid w:val="00D575CC"/>
    <w:rsid w:val="00D57867"/>
    <w:rsid w:val="00D578D0"/>
    <w:rsid w:val="00D578DC"/>
    <w:rsid w:val="00D604BD"/>
    <w:rsid w:val="00D607B6"/>
    <w:rsid w:val="00D609D7"/>
    <w:rsid w:val="00D60C48"/>
    <w:rsid w:val="00D60C73"/>
    <w:rsid w:val="00D60E64"/>
    <w:rsid w:val="00D60FD5"/>
    <w:rsid w:val="00D611C9"/>
    <w:rsid w:val="00D6173A"/>
    <w:rsid w:val="00D61775"/>
    <w:rsid w:val="00D61957"/>
    <w:rsid w:val="00D622D0"/>
    <w:rsid w:val="00D626CF"/>
    <w:rsid w:val="00D62842"/>
    <w:rsid w:val="00D629AB"/>
    <w:rsid w:val="00D62B25"/>
    <w:rsid w:val="00D62CCB"/>
    <w:rsid w:val="00D62F37"/>
    <w:rsid w:val="00D63146"/>
    <w:rsid w:val="00D63296"/>
    <w:rsid w:val="00D63F1B"/>
    <w:rsid w:val="00D645FA"/>
    <w:rsid w:val="00D64648"/>
    <w:rsid w:val="00D64705"/>
    <w:rsid w:val="00D6471A"/>
    <w:rsid w:val="00D64746"/>
    <w:rsid w:val="00D648F3"/>
    <w:rsid w:val="00D64926"/>
    <w:rsid w:val="00D64B42"/>
    <w:rsid w:val="00D64B96"/>
    <w:rsid w:val="00D64C1A"/>
    <w:rsid w:val="00D64CB8"/>
    <w:rsid w:val="00D651BA"/>
    <w:rsid w:val="00D6522A"/>
    <w:rsid w:val="00D65250"/>
    <w:rsid w:val="00D655B2"/>
    <w:rsid w:val="00D65AD2"/>
    <w:rsid w:val="00D660AA"/>
    <w:rsid w:val="00D66151"/>
    <w:rsid w:val="00D6663C"/>
    <w:rsid w:val="00D66877"/>
    <w:rsid w:val="00D669B2"/>
    <w:rsid w:val="00D66AED"/>
    <w:rsid w:val="00D673DD"/>
    <w:rsid w:val="00D677A1"/>
    <w:rsid w:val="00D67A80"/>
    <w:rsid w:val="00D67BE0"/>
    <w:rsid w:val="00D67E15"/>
    <w:rsid w:val="00D67E25"/>
    <w:rsid w:val="00D700DA"/>
    <w:rsid w:val="00D70101"/>
    <w:rsid w:val="00D7021C"/>
    <w:rsid w:val="00D7048E"/>
    <w:rsid w:val="00D709DC"/>
    <w:rsid w:val="00D70A9C"/>
    <w:rsid w:val="00D70D4C"/>
    <w:rsid w:val="00D70E02"/>
    <w:rsid w:val="00D70E39"/>
    <w:rsid w:val="00D70E9B"/>
    <w:rsid w:val="00D71082"/>
    <w:rsid w:val="00D711D1"/>
    <w:rsid w:val="00D71237"/>
    <w:rsid w:val="00D71548"/>
    <w:rsid w:val="00D71A2B"/>
    <w:rsid w:val="00D71C2D"/>
    <w:rsid w:val="00D720B3"/>
    <w:rsid w:val="00D7228D"/>
    <w:rsid w:val="00D723A3"/>
    <w:rsid w:val="00D72713"/>
    <w:rsid w:val="00D72892"/>
    <w:rsid w:val="00D728C0"/>
    <w:rsid w:val="00D728FF"/>
    <w:rsid w:val="00D72BB8"/>
    <w:rsid w:val="00D72BE1"/>
    <w:rsid w:val="00D72C36"/>
    <w:rsid w:val="00D731A4"/>
    <w:rsid w:val="00D734AD"/>
    <w:rsid w:val="00D739DB"/>
    <w:rsid w:val="00D73A05"/>
    <w:rsid w:val="00D73D9A"/>
    <w:rsid w:val="00D73DAB"/>
    <w:rsid w:val="00D740E5"/>
    <w:rsid w:val="00D7451B"/>
    <w:rsid w:val="00D7481A"/>
    <w:rsid w:val="00D7484F"/>
    <w:rsid w:val="00D7497B"/>
    <w:rsid w:val="00D74E26"/>
    <w:rsid w:val="00D75492"/>
    <w:rsid w:val="00D75C0A"/>
    <w:rsid w:val="00D75D93"/>
    <w:rsid w:val="00D76116"/>
    <w:rsid w:val="00D761E3"/>
    <w:rsid w:val="00D76305"/>
    <w:rsid w:val="00D767E8"/>
    <w:rsid w:val="00D7682D"/>
    <w:rsid w:val="00D76925"/>
    <w:rsid w:val="00D76A7D"/>
    <w:rsid w:val="00D76C1C"/>
    <w:rsid w:val="00D76C2D"/>
    <w:rsid w:val="00D76DFB"/>
    <w:rsid w:val="00D76ED4"/>
    <w:rsid w:val="00D76FCF"/>
    <w:rsid w:val="00D77094"/>
    <w:rsid w:val="00D7761F"/>
    <w:rsid w:val="00D77AA1"/>
    <w:rsid w:val="00D77B6F"/>
    <w:rsid w:val="00D77B85"/>
    <w:rsid w:val="00D77BEB"/>
    <w:rsid w:val="00D77C79"/>
    <w:rsid w:val="00D77D38"/>
    <w:rsid w:val="00D80002"/>
    <w:rsid w:val="00D804F8"/>
    <w:rsid w:val="00D8056B"/>
    <w:rsid w:val="00D806C2"/>
    <w:rsid w:val="00D809A5"/>
    <w:rsid w:val="00D80A12"/>
    <w:rsid w:val="00D80BF0"/>
    <w:rsid w:val="00D8130C"/>
    <w:rsid w:val="00D81624"/>
    <w:rsid w:val="00D81893"/>
    <w:rsid w:val="00D818BB"/>
    <w:rsid w:val="00D81C4C"/>
    <w:rsid w:val="00D81D82"/>
    <w:rsid w:val="00D82094"/>
    <w:rsid w:val="00D82AC2"/>
    <w:rsid w:val="00D82AC7"/>
    <w:rsid w:val="00D82EE9"/>
    <w:rsid w:val="00D83019"/>
    <w:rsid w:val="00D8316D"/>
    <w:rsid w:val="00D83431"/>
    <w:rsid w:val="00D834AB"/>
    <w:rsid w:val="00D83B2A"/>
    <w:rsid w:val="00D83BA9"/>
    <w:rsid w:val="00D83DF8"/>
    <w:rsid w:val="00D83F9D"/>
    <w:rsid w:val="00D84275"/>
    <w:rsid w:val="00D8446E"/>
    <w:rsid w:val="00D844FB"/>
    <w:rsid w:val="00D84B60"/>
    <w:rsid w:val="00D84C02"/>
    <w:rsid w:val="00D84C70"/>
    <w:rsid w:val="00D8539F"/>
    <w:rsid w:val="00D85454"/>
    <w:rsid w:val="00D8592E"/>
    <w:rsid w:val="00D85CDB"/>
    <w:rsid w:val="00D86126"/>
    <w:rsid w:val="00D862E9"/>
    <w:rsid w:val="00D86316"/>
    <w:rsid w:val="00D86347"/>
    <w:rsid w:val="00D8647C"/>
    <w:rsid w:val="00D86507"/>
    <w:rsid w:val="00D86672"/>
    <w:rsid w:val="00D86975"/>
    <w:rsid w:val="00D86989"/>
    <w:rsid w:val="00D86B0F"/>
    <w:rsid w:val="00D86B24"/>
    <w:rsid w:val="00D86BB5"/>
    <w:rsid w:val="00D86E96"/>
    <w:rsid w:val="00D87471"/>
    <w:rsid w:val="00D877BA"/>
    <w:rsid w:val="00D8786C"/>
    <w:rsid w:val="00D87A76"/>
    <w:rsid w:val="00D87A88"/>
    <w:rsid w:val="00D87C0D"/>
    <w:rsid w:val="00D87CE7"/>
    <w:rsid w:val="00D87D16"/>
    <w:rsid w:val="00D87D66"/>
    <w:rsid w:val="00D87DEC"/>
    <w:rsid w:val="00D87E7F"/>
    <w:rsid w:val="00D87FDE"/>
    <w:rsid w:val="00D90148"/>
    <w:rsid w:val="00D901EB"/>
    <w:rsid w:val="00D90214"/>
    <w:rsid w:val="00D90362"/>
    <w:rsid w:val="00D9049F"/>
    <w:rsid w:val="00D905C6"/>
    <w:rsid w:val="00D90EBD"/>
    <w:rsid w:val="00D90F21"/>
    <w:rsid w:val="00D90FA0"/>
    <w:rsid w:val="00D91018"/>
    <w:rsid w:val="00D91123"/>
    <w:rsid w:val="00D91357"/>
    <w:rsid w:val="00D918E9"/>
    <w:rsid w:val="00D91960"/>
    <w:rsid w:val="00D91A24"/>
    <w:rsid w:val="00D91A9F"/>
    <w:rsid w:val="00D91AE6"/>
    <w:rsid w:val="00D91CB1"/>
    <w:rsid w:val="00D91CD8"/>
    <w:rsid w:val="00D91D2D"/>
    <w:rsid w:val="00D924C3"/>
    <w:rsid w:val="00D926CF"/>
    <w:rsid w:val="00D92BCB"/>
    <w:rsid w:val="00D92C36"/>
    <w:rsid w:val="00D92CBE"/>
    <w:rsid w:val="00D92E0A"/>
    <w:rsid w:val="00D92E31"/>
    <w:rsid w:val="00D92FBA"/>
    <w:rsid w:val="00D9307F"/>
    <w:rsid w:val="00D930D5"/>
    <w:rsid w:val="00D93236"/>
    <w:rsid w:val="00D9329A"/>
    <w:rsid w:val="00D93371"/>
    <w:rsid w:val="00D93ABE"/>
    <w:rsid w:val="00D93FDD"/>
    <w:rsid w:val="00D940BE"/>
    <w:rsid w:val="00D941D0"/>
    <w:rsid w:val="00D9455F"/>
    <w:rsid w:val="00D94650"/>
    <w:rsid w:val="00D946EE"/>
    <w:rsid w:val="00D9475B"/>
    <w:rsid w:val="00D947AE"/>
    <w:rsid w:val="00D94BAA"/>
    <w:rsid w:val="00D94C69"/>
    <w:rsid w:val="00D9516B"/>
    <w:rsid w:val="00D9530C"/>
    <w:rsid w:val="00D95781"/>
    <w:rsid w:val="00D9590B"/>
    <w:rsid w:val="00D95972"/>
    <w:rsid w:val="00D95981"/>
    <w:rsid w:val="00D9599B"/>
    <w:rsid w:val="00D95B27"/>
    <w:rsid w:val="00D960D0"/>
    <w:rsid w:val="00D965BD"/>
    <w:rsid w:val="00D96886"/>
    <w:rsid w:val="00D96AFF"/>
    <w:rsid w:val="00D96B8F"/>
    <w:rsid w:val="00D96D45"/>
    <w:rsid w:val="00D97048"/>
    <w:rsid w:val="00D971C6"/>
    <w:rsid w:val="00D97314"/>
    <w:rsid w:val="00D9751C"/>
    <w:rsid w:val="00D9791A"/>
    <w:rsid w:val="00D97960"/>
    <w:rsid w:val="00D97A49"/>
    <w:rsid w:val="00D97BA4"/>
    <w:rsid w:val="00D97C7B"/>
    <w:rsid w:val="00D97CEC"/>
    <w:rsid w:val="00D97DFC"/>
    <w:rsid w:val="00DA032A"/>
    <w:rsid w:val="00DA06AC"/>
    <w:rsid w:val="00DA08DA"/>
    <w:rsid w:val="00DA0977"/>
    <w:rsid w:val="00DA0E2F"/>
    <w:rsid w:val="00DA0ECA"/>
    <w:rsid w:val="00DA12AF"/>
    <w:rsid w:val="00DA1E0C"/>
    <w:rsid w:val="00DA1EAD"/>
    <w:rsid w:val="00DA2029"/>
    <w:rsid w:val="00DA2135"/>
    <w:rsid w:val="00DA219B"/>
    <w:rsid w:val="00DA229D"/>
    <w:rsid w:val="00DA23EB"/>
    <w:rsid w:val="00DA2636"/>
    <w:rsid w:val="00DA2838"/>
    <w:rsid w:val="00DA2A2D"/>
    <w:rsid w:val="00DA2A5B"/>
    <w:rsid w:val="00DA2C88"/>
    <w:rsid w:val="00DA2F70"/>
    <w:rsid w:val="00DA3078"/>
    <w:rsid w:val="00DA30CD"/>
    <w:rsid w:val="00DA3264"/>
    <w:rsid w:val="00DA3283"/>
    <w:rsid w:val="00DA32CB"/>
    <w:rsid w:val="00DA3448"/>
    <w:rsid w:val="00DA350D"/>
    <w:rsid w:val="00DA3529"/>
    <w:rsid w:val="00DA3765"/>
    <w:rsid w:val="00DA39F6"/>
    <w:rsid w:val="00DA3BDC"/>
    <w:rsid w:val="00DA3C33"/>
    <w:rsid w:val="00DA3ED4"/>
    <w:rsid w:val="00DA3F71"/>
    <w:rsid w:val="00DA4881"/>
    <w:rsid w:val="00DA4B4A"/>
    <w:rsid w:val="00DA4D3D"/>
    <w:rsid w:val="00DA4E87"/>
    <w:rsid w:val="00DA52F1"/>
    <w:rsid w:val="00DA57D3"/>
    <w:rsid w:val="00DA5C0F"/>
    <w:rsid w:val="00DA62C8"/>
    <w:rsid w:val="00DA62CA"/>
    <w:rsid w:val="00DA677A"/>
    <w:rsid w:val="00DA68BD"/>
    <w:rsid w:val="00DA6A18"/>
    <w:rsid w:val="00DA6A25"/>
    <w:rsid w:val="00DA6C72"/>
    <w:rsid w:val="00DA6CD6"/>
    <w:rsid w:val="00DA6F8E"/>
    <w:rsid w:val="00DA7125"/>
    <w:rsid w:val="00DA7846"/>
    <w:rsid w:val="00DA7B05"/>
    <w:rsid w:val="00DA7D19"/>
    <w:rsid w:val="00DA7E2B"/>
    <w:rsid w:val="00DB09B8"/>
    <w:rsid w:val="00DB0A02"/>
    <w:rsid w:val="00DB0A59"/>
    <w:rsid w:val="00DB1304"/>
    <w:rsid w:val="00DB1411"/>
    <w:rsid w:val="00DB15E5"/>
    <w:rsid w:val="00DB164E"/>
    <w:rsid w:val="00DB1D81"/>
    <w:rsid w:val="00DB2135"/>
    <w:rsid w:val="00DB229B"/>
    <w:rsid w:val="00DB238B"/>
    <w:rsid w:val="00DB24C1"/>
    <w:rsid w:val="00DB25BE"/>
    <w:rsid w:val="00DB2624"/>
    <w:rsid w:val="00DB28F3"/>
    <w:rsid w:val="00DB28FB"/>
    <w:rsid w:val="00DB2A2F"/>
    <w:rsid w:val="00DB2ABB"/>
    <w:rsid w:val="00DB2B20"/>
    <w:rsid w:val="00DB2B81"/>
    <w:rsid w:val="00DB2FD5"/>
    <w:rsid w:val="00DB3128"/>
    <w:rsid w:val="00DB36A3"/>
    <w:rsid w:val="00DB397D"/>
    <w:rsid w:val="00DB3AAC"/>
    <w:rsid w:val="00DB3EC8"/>
    <w:rsid w:val="00DB4102"/>
    <w:rsid w:val="00DB41C0"/>
    <w:rsid w:val="00DB41C1"/>
    <w:rsid w:val="00DB4276"/>
    <w:rsid w:val="00DB42A6"/>
    <w:rsid w:val="00DB4E90"/>
    <w:rsid w:val="00DB4F7C"/>
    <w:rsid w:val="00DB5003"/>
    <w:rsid w:val="00DB538B"/>
    <w:rsid w:val="00DB53CA"/>
    <w:rsid w:val="00DB5779"/>
    <w:rsid w:val="00DB5B31"/>
    <w:rsid w:val="00DB5B47"/>
    <w:rsid w:val="00DB5FF5"/>
    <w:rsid w:val="00DB6225"/>
    <w:rsid w:val="00DB651E"/>
    <w:rsid w:val="00DB6B58"/>
    <w:rsid w:val="00DB6C21"/>
    <w:rsid w:val="00DB6E75"/>
    <w:rsid w:val="00DB6FC3"/>
    <w:rsid w:val="00DB714C"/>
    <w:rsid w:val="00DB7476"/>
    <w:rsid w:val="00DB75DB"/>
    <w:rsid w:val="00DB7AE8"/>
    <w:rsid w:val="00DB7C0C"/>
    <w:rsid w:val="00DB7CB4"/>
    <w:rsid w:val="00DB7D27"/>
    <w:rsid w:val="00DC0A59"/>
    <w:rsid w:val="00DC0F82"/>
    <w:rsid w:val="00DC11D7"/>
    <w:rsid w:val="00DC1655"/>
    <w:rsid w:val="00DC1750"/>
    <w:rsid w:val="00DC1AAC"/>
    <w:rsid w:val="00DC1B9A"/>
    <w:rsid w:val="00DC1D8C"/>
    <w:rsid w:val="00DC1D92"/>
    <w:rsid w:val="00DC206A"/>
    <w:rsid w:val="00DC2120"/>
    <w:rsid w:val="00DC23D2"/>
    <w:rsid w:val="00DC264E"/>
    <w:rsid w:val="00DC3052"/>
    <w:rsid w:val="00DC355A"/>
    <w:rsid w:val="00DC3D8B"/>
    <w:rsid w:val="00DC3E2E"/>
    <w:rsid w:val="00DC4000"/>
    <w:rsid w:val="00DC407E"/>
    <w:rsid w:val="00DC4084"/>
    <w:rsid w:val="00DC425A"/>
    <w:rsid w:val="00DC45E9"/>
    <w:rsid w:val="00DC4D1A"/>
    <w:rsid w:val="00DC53C2"/>
    <w:rsid w:val="00DC5914"/>
    <w:rsid w:val="00DC5AEB"/>
    <w:rsid w:val="00DC5B79"/>
    <w:rsid w:val="00DC5D80"/>
    <w:rsid w:val="00DC5DA2"/>
    <w:rsid w:val="00DC6711"/>
    <w:rsid w:val="00DC6806"/>
    <w:rsid w:val="00DC6BB2"/>
    <w:rsid w:val="00DC6DE9"/>
    <w:rsid w:val="00DC71A4"/>
    <w:rsid w:val="00DC722A"/>
    <w:rsid w:val="00DC74DD"/>
    <w:rsid w:val="00DC7CE0"/>
    <w:rsid w:val="00DC7D42"/>
    <w:rsid w:val="00DD03A0"/>
    <w:rsid w:val="00DD06A3"/>
    <w:rsid w:val="00DD0827"/>
    <w:rsid w:val="00DD0B1B"/>
    <w:rsid w:val="00DD0E9B"/>
    <w:rsid w:val="00DD0F15"/>
    <w:rsid w:val="00DD0F20"/>
    <w:rsid w:val="00DD131B"/>
    <w:rsid w:val="00DD1405"/>
    <w:rsid w:val="00DD1476"/>
    <w:rsid w:val="00DD15C2"/>
    <w:rsid w:val="00DD18F2"/>
    <w:rsid w:val="00DD199C"/>
    <w:rsid w:val="00DD19C3"/>
    <w:rsid w:val="00DD1C2D"/>
    <w:rsid w:val="00DD202E"/>
    <w:rsid w:val="00DD2153"/>
    <w:rsid w:val="00DD2236"/>
    <w:rsid w:val="00DD273C"/>
    <w:rsid w:val="00DD296D"/>
    <w:rsid w:val="00DD2DD5"/>
    <w:rsid w:val="00DD2F3B"/>
    <w:rsid w:val="00DD300E"/>
    <w:rsid w:val="00DD3713"/>
    <w:rsid w:val="00DD375B"/>
    <w:rsid w:val="00DD3936"/>
    <w:rsid w:val="00DD393C"/>
    <w:rsid w:val="00DD3AFE"/>
    <w:rsid w:val="00DD3B37"/>
    <w:rsid w:val="00DD3B5B"/>
    <w:rsid w:val="00DD3C5F"/>
    <w:rsid w:val="00DD3CBD"/>
    <w:rsid w:val="00DD4236"/>
    <w:rsid w:val="00DD4326"/>
    <w:rsid w:val="00DD49BD"/>
    <w:rsid w:val="00DD50C8"/>
    <w:rsid w:val="00DD566A"/>
    <w:rsid w:val="00DD5D69"/>
    <w:rsid w:val="00DD5E5A"/>
    <w:rsid w:val="00DD6087"/>
    <w:rsid w:val="00DD619E"/>
    <w:rsid w:val="00DD663B"/>
    <w:rsid w:val="00DD6F70"/>
    <w:rsid w:val="00DD7312"/>
    <w:rsid w:val="00DD77EF"/>
    <w:rsid w:val="00DD7A5A"/>
    <w:rsid w:val="00DD7AB6"/>
    <w:rsid w:val="00DD7BE6"/>
    <w:rsid w:val="00DD7C47"/>
    <w:rsid w:val="00DE004A"/>
    <w:rsid w:val="00DE011E"/>
    <w:rsid w:val="00DE09EC"/>
    <w:rsid w:val="00DE0B66"/>
    <w:rsid w:val="00DE1093"/>
    <w:rsid w:val="00DE1435"/>
    <w:rsid w:val="00DE17FF"/>
    <w:rsid w:val="00DE1A52"/>
    <w:rsid w:val="00DE1BA0"/>
    <w:rsid w:val="00DE1D85"/>
    <w:rsid w:val="00DE1E4F"/>
    <w:rsid w:val="00DE1E97"/>
    <w:rsid w:val="00DE22E8"/>
    <w:rsid w:val="00DE2473"/>
    <w:rsid w:val="00DE2882"/>
    <w:rsid w:val="00DE2FFC"/>
    <w:rsid w:val="00DE31B5"/>
    <w:rsid w:val="00DE31C2"/>
    <w:rsid w:val="00DE34D7"/>
    <w:rsid w:val="00DE3765"/>
    <w:rsid w:val="00DE388D"/>
    <w:rsid w:val="00DE3CC1"/>
    <w:rsid w:val="00DE3DA6"/>
    <w:rsid w:val="00DE429A"/>
    <w:rsid w:val="00DE46F7"/>
    <w:rsid w:val="00DE4B91"/>
    <w:rsid w:val="00DE4C6E"/>
    <w:rsid w:val="00DE4D5D"/>
    <w:rsid w:val="00DE4D97"/>
    <w:rsid w:val="00DE54A0"/>
    <w:rsid w:val="00DE552B"/>
    <w:rsid w:val="00DE57D6"/>
    <w:rsid w:val="00DE5BAE"/>
    <w:rsid w:val="00DE5CE8"/>
    <w:rsid w:val="00DE5D3F"/>
    <w:rsid w:val="00DE60D2"/>
    <w:rsid w:val="00DE60F0"/>
    <w:rsid w:val="00DE624B"/>
    <w:rsid w:val="00DE6609"/>
    <w:rsid w:val="00DE66C2"/>
    <w:rsid w:val="00DE66C9"/>
    <w:rsid w:val="00DE6711"/>
    <w:rsid w:val="00DE6A97"/>
    <w:rsid w:val="00DE6C03"/>
    <w:rsid w:val="00DE6CB2"/>
    <w:rsid w:val="00DE6E4E"/>
    <w:rsid w:val="00DE6F8B"/>
    <w:rsid w:val="00DE7021"/>
    <w:rsid w:val="00DE7132"/>
    <w:rsid w:val="00DE7359"/>
    <w:rsid w:val="00DE73F8"/>
    <w:rsid w:val="00DE746B"/>
    <w:rsid w:val="00DE76B8"/>
    <w:rsid w:val="00DE76ED"/>
    <w:rsid w:val="00DE76F2"/>
    <w:rsid w:val="00DE77D7"/>
    <w:rsid w:val="00DE783A"/>
    <w:rsid w:val="00DE7B46"/>
    <w:rsid w:val="00DE7BA9"/>
    <w:rsid w:val="00DE7BBB"/>
    <w:rsid w:val="00DE7BD1"/>
    <w:rsid w:val="00DE7D27"/>
    <w:rsid w:val="00DE7FEE"/>
    <w:rsid w:val="00DF006E"/>
    <w:rsid w:val="00DF0148"/>
    <w:rsid w:val="00DF03EA"/>
    <w:rsid w:val="00DF062C"/>
    <w:rsid w:val="00DF075F"/>
    <w:rsid w:val="00DF0BA9"/>
    <w:rsid w:val="00DF0BBF"/>
    <w:rsid w:val="00DF0CB7"/>
    <w:rsid w:val="00DF0DB1"/>
    <w:rsid w:val="00DF1028"/>
    <w:rsid w:val="00DF1285"/>
    <w:rsid w:val="00DF171A"/>
    <w:rsid w:val="00DF1888"/>
    <w:rsid w:val="00DF1BD4"/>
    <w:rsid w:val="00DF1E10"/>
    <w:rsid w:val="00DF25AE"/>
    <w:rsid w:val="00DF28F7"/>
    <w:rsid w:val="00DF2CAC"/>
    <w:rsid w:val="00DF2F7D"/>
    <w:rsid w:val="00DF344F"/>
    <w:rsid w:val="00DF34D5"/>
    <w:rsid w:val="00DF3756"/>
    <w:rsid w:val="00DF3B5D"/>
    <w:rsid w:val="00DF4048"/>
    <w:rsid w:val="00DF41D8"/>
    <w:rsid w:val="00DF42AA"/>
    <w:rsid w:val="00DF458C"/>
    <w:rsid w:val="00DF4970"/>
    <w:rsid w:val="00DF4A7D"/>
    <w:rsid w:val="00DF4DF1"/>
    <w:rsid w:val="00DF4F0C"/>
    <w:rsid w:val="00DF5024"/>
    <w:rsid w:val="00DF57D4"/>
    <w:rsid w:val="00DF57D5"/>
    <w:rsid w:val="00DF5857"/>
    <w:rsid w:val="00DF59D3"/>
    <w:rsid w:val="00DF5A6A"/>
    <w:rsid w:val="00DF5C63"/>
    <w:rsid w:val="00DF5FA8"/>
    <w:rsid w:val="00DF63C3"/>
    <w:rsid w:val="00DF64A7"/>
    <w:rsid w:val="00DF651A"/>
    <w:rsid w:val="00DF6642"/>
    <w:rsid w:val="00DF6786"/>
    <w:rsid w:val="00DF6915"/>
    <w:rsid w:val="00DF6CC2"/>
    <w:rsid w:val="00DF6DAA"/>
    <w:rsid w:val="00DF74A5"/>
    <w:rsid w:val="00DF76B5"/>
    <w:rsid w:val="00DF7742"/>
    <w:rsid w:val="00DF788A"/>
    <w:rsid w:val="00DF796F"/>
    <w:rsid w:val="00DF7C9C"/>
    <w:rsid w:val="00DF7F2D"/>
    <w:rsid w:val="00E0024A"/>
    <w:rsid w:val="00E00645"/>
    <w:rsid w:val="00E00FC0"/>
    <w:rsid w:val="00E01146"/>
    <w:rsid w:val="00E01B84"/>
    <w:rsid w:val="00E01E9C"/>
    <w:rsid w:val="00E0212C"/>
    <w:rsid w:val="00E023AB"/>
    <w:rsid w:val="00E023CD"/>
    <w:rsid w:val="00E02721"/>
    <w:rsid w:val="00E028FB"/>
    <w:rsid w:val="00E02B34"/>
    <w:rsid w:val="00E02BC6"/>
    <w:rsid w:val="00E02CDC"/>
    <w:rsid w:val="00E02D6E"/>
    <w:rsid w:val="00E02E95"/>
    <w:rsid w:val="00E02EC1"/>
    <w:rsid w:val="00E02FA9"/>
    <w:rsid w:val="00E02FCA"/>
    <w:rsid w:val="00E02FEC"/>
    <w:rsid w:val="00E03260"/>
    <w:rsid w:val="00E0360B"/>
    <w:rsid w:val="00E03963"/>
    <w:rsid w:val="00E03B8C"/>
    <w:rsid w:val="00E03C64"/>
    <w:rsid w:val="00E03F3B"/>
    <w:rsid w:val="00E0483A"/>
    <w:rsid w:val="00E04865"/>
    <w:rsid w:val="00E04944"/>
    <w:rsid w:val="00E0494A"/>
    <w:rsid w:val="00E049BA"/>
    <w:rsid w:val="00E04A8B"/>
    <w:rsid w:val="00E04AEA"/>
    <w:rsid w:val="00E04C3C"/>
    <w:rsid w:val="00E04C5C"/>
    <w:rsid w:val="00E04D49"/>
    <w:rsid w:val="00E04D7E"/>
    <w:rsid w:val="00E04DD3"/>
    <w:rsid w:val="00E0518F"/>
    <w:rsid w:val="00E0547E"/>
    <w:rsid w:val="00E05675"/>
    <w:rsid w:val="00E05790"/>
    <w:rsid w:val="00E05ACC"/>
    <w:rsid w:val="00E05BB8"/>
    <w:rsid w:val="00E05BCC"/>
    <w:rsid w:val="00E05F29"/>
    <w:rsid w:val="00E06229"/>
    <w:rsid w:val="00E0641E"/>
    <w:rsid w:val="00E0690B"/>
    <w:rsid w:val="00E06D94"/>
    <w:rsid w:val="00E06DE7"/>
    <w:rsid w:val="00E06EF3"/>
    <w:rsid w:val="00E06F62"/>
    <w:rsid w:val="00E0710E"/>
    <w:rsid w:val="00E072A7"/>
    <w:rsid w:val="00E073B2"/>
    <w:rsid w:val="00E0759D"/>
    <w:rsid w:val="00E076BC"/>
    <w:rsid w:val="00E076F7"/>
    <w:rsid w:val="00E078E3"/>
    <w:rsid w:val="00E07C5F"/>
    <w:rsid w:val="00E07CBF"/>
    <w:rsid w:val="00E07D72"/>
    <w:rsid w:val="00E101B2"/>
    <w:rsid w:val="00E104A3"/>
    <w:rsid w:val="00E106F2"/>
    <w:rsid w:val="00E1076B"/>
    <w:rsid w:val="00E10BAA"/>
    <w:rsid w:val="00E10D6C"/>
    <w:rsid w:val="00E114B4"/>
    <w:rsid w:val="00E1189B"/>
    <w:rsid w:val="00E119FB"/>
    <w:rsid w:val="00E11B9A"/>
    <w:rsid w:val="00E11E64"/>
    <w:rsid w:val="00E11F6C"/>
    <w:rsid w:val="00E12270"/>
    <w:rsid w:val="00E12555"/>
    <w:rsid w:val="00E12999"/>
    <w:rsid w:val="00E12AC5"/>
    <w:rsid w:val="00E12D9E"/>
    <w:rsid w:val="00E12EAE"/>
    <w:rsid w:val="00E1305C"/>
    <w:rsid w:val="00E135BB"/>
    <w:rsid w:val="00E13A6B"/>
    <w:rsid w:val="00E13D45"/>
    <w:rsid w:val="00E14350"/>
    <w:rsid w:val="00E146E2"/>
    <w:rsid w:val="00E1478F"/>
    <w:rsid w:val="00E147AD"/>
    <w:rsid w:val="00E14997"/>
    <w:rsid w:val="00E14D1B"/>
    <w:rsid w:val="00E14E56"/>
    <w:rsid w:val="00E14F41"/>
    <w:rsid w:val="00E15654"/>
    <w:rsid w:val="00E156B8"/>
    <w:rsid w:val="00E15B82"/>
    <w:rsid w:val="00E15CB2"/>
    <w:rsid w:val="00E15EAD"/>
    <w:rsid w:val="00E1614B"/>
    <w:rsid w:val="00E16442"/>
    <w:rsid w:val="00E166F4"/>
    <w:rsid w:val="00E16914"/>
    <w:rsid w:val="00E170EE"/>
    <w:rsid w:val="00E171BB"/>
    <w:rsid w:val="00E1743F"/>
    <w:rsid w:val="00E179CB"/>
    <w:rsid w:val="00E17A2C"/>
    <w:rsid w:val="00E17DA0"/>
    <w:rsid w:val="00E204AE"/>
    <w:rsid w:val="00E2058B"/>
    <w:rsid w:val="00E205F0"/>
    <w:rsid w:val="00E209E8"/>
    <w:rsid w:val="00E20A83"/>
    <w:rsid w:val="00E20AFB"/>
    <w:rsid w:val="00E20B6D"/>
    <w:rsid w:val="00E20BA8"/>
    <w:rsid w:val="00E20DAA"/>
    <w:rsid w:val="00E20FA1"/>
    <w:rsid w:val="00E210E7"/>
    <w:rsid w:val="00E2116F"/>
    <w:rsid w:val="00E2119E"/>
    <w:rsid w:val="00E211B5"/>
    <w:rsid w:val="00E215CB"/>
    <w:rsid w:val="00E215F2"/>
    <w:rsid w:val="00E218B1"/>
    <w:rsid w:val="00E219BE"/>
    <w:rsid w:val="00E21D56"/>
    <w:rsid w:val="00E21D65"/>
    <w:rsid w:val="00E21E2A"/>
    <w:rsid w:val="00E21F3B"/>
    <w:rsid w:val="00E22034"/>
    <w:rsid w:val="00E22372"/>
    <w:rsid w:val="00E22386"/>
    <w:rsid w:val="00E224B2"/>
    <w:rsid w:val="00E22636"/>
    <w:rsid w:val="00E2266F"/>
    <w:rsid w:val="00E22675"/>
    <w:rsid w:val="00E229EE"/>
    <w:rsid w:val="00E22EDD"/>
    <w:rsid w:val="00E23136"/>
    <w:rsid w:val="00E233AF"/>
    <w:rsid w:val="00E233CD"/>
    <w:rsid w:val="00E234F9"/>
    <w:rsid w:val="00E2351F"/>
    <w:rsid w:val="00E238EB"/>
    <w:rsid w:val="00E23C1D"/>
    <w:rsid w:val="00E23C3B"/>
    <w:rsid w:val="00E23FF5"/>
    <w:rsid w:val="00E2423B"/>
    <w:rsid w:val="00E243C6"/>
    <w:rsid w:val="00E24695"/>
    <w:rsid w:val="00E249E8"/>
    <w:rsid w:val="00E24D28"/>
    <w:rsid w:val="00E24DF6"/>
    <w:rsid w:val="00E2503A"/>
    <w:rsid w:val="00E251F6"/>
    <w:rsid w:val="00E254EF"/>
    <w:rsid w:val="00E257FC"/>
    <w:rsid w:val="00E25928"/>
    <w:rsid w:val="00E25A2B"/>
    <w:rsid w:val="00E25C2F"/>
    <w:rsid w:val="00E2608A"/>
    <w:rsid w:val="00E2632C"/>
    <w:rsid w:val="00E263F4"/>
    <w:rsid w:val="00E26551"/>
    <w:rsid w:val="00E26562"/>
    <w:rsid w:val="00E26999"/>
    <w:rsid w:val="00E26B41"/>
    <w:rsid w:val="00E26C72"/>
    <w:rsid w:val="00E26DA7"/>
    <w:rsid w:val="00E26E38"/>
    <w:rsid w:val="00E26F68"/>
    <w:rsid w:val="00E27331"/>
    <w:rsid w:val="00E27584"/>
    <w:rsid w:val="00E2758D"/>
    <w:rsid w:val="00E278FA"/>
    <w:rsid w:val="00E27A32"/>
    <w:rsid w:val="00E27A57"/>
    <w:rsid w:val="00E27AB4"/>
    <w:rsid w:val="00E27AFA"/>
    <w:rsid w:val="00E27B19"/>
    <w:rsid w:val="00E27C0C"/>
    <w:rsid w:val="00E27CC5"/>
    <w:rsid w:val="00E27F21"/>
    <w:rsid w:val="00E3009A"/>
    <w:rsid w:val="00E30167"/>
    <w:rsid w:val="00E302DC"/>
    <w:rsid w:val="00E30791"/>
    <w:rsid w:val="00E30A5E"/>
    <w:rsid w:val="00E30CD5"/>
    <w:rsid w:val="00E310DA"/>
    <w:rsid w:val="00E312C4"/>
    <w:rsid w:val="00E31674"/>
    <w:rsid w:val="00E3177A"/>
    <w:rsid w:val="00E31B05"/>
    <w:rsid w:val="00E31EF2"/>
    <w:rsid w:val="00E325E5"/>
    <w:rsid w:val="00E32929"/>
    <w:rsid w:val="00E329C3"/>
    <w:rsid w:val="00E32A12"/>
    <w:rsid w:val="00E32D96"/>
    <w:rsid w:val="00E32E54"/>
    <w:rsid w:val="00E32F33"/>
    <w:rsid w:val="00E32F91"/>
    <w:rsid w:val="00E331D4"/>
    <w:rsid w:val="00E33B6C"/>
    <w:rsid w:val="00E33EE8"/>
    <w:rsid w:val="00E3423B"/>
    <w:rsid w:val="00E34363"/>
    <w:rsid w:val="00E343B6"/>
    <w:rsid w:val="00E3446D"/>
    <w:rsid w:val="00E34610"/>
    <w:rsid w:val="00E347A8"/>
    <w:rsid w:val="00E34D11"/>
    <w:rsid w:val="00E3515A"/>
    <w:rsid w:val="00E351A3"/>
    <w:rsid w:val="00E35346"/>
    <w:rsid w:val="00E353B5"/>
    <w:rsid w:val="00E356ED"/>
    <w:rsid w:val="00E35829"/>
    <w:rsid w:val="00E35ABA"/>
    <w:rsid w:val="00E35B61"/>
    <w:rsid w:val="00E35D24"/>
    <w:rsid w:val="00E36153"/>
    <w:rsid w:val="00E36218"/>
    <w:rsid w:val="00E36304"/>
    <w:rsid w:val="00E3637A"/>
    <w:rsid w:val="00E36679"/>
    <w:rsid w:val="00E368EA"/>
    <w:rsid w:val="00E36ACF"/>
    <w:rsid w:val="00E36D82"/>
    <w:rsid w:val="00E36EF9"/>
    <w:rsid w:val="00E36F44"/>
    <w:rsid w:val="00E371B2"/>
    <w:rsid w:val="00E37532"/>
    <w:rsid w:val="00E375DC"/>
    <w:rsid w:val="00E37869"/>
    <w:rsid w:val="00E37930"/>
    <w:rsid w:val="00E37B25"/>
    <w:rsid w:val="00E37E66"/>
    <w:rsid w:val="00E37FE9"/>
    <w:rsid w:val="00E40326"/>
    <w:rsid w:val="00E40364"/>
    <w:rsid w:val="00E4037D"/>
    <w:rsid w:val="00E4065A"/>
    <w:rsid w:val="00E40A3E"/>
    <w:rsid w:val="00E40A49"/>
    <w:rsid w:val="00E410B6"/>
    <w:rsid w:val="00E41276"/>
    <w:rsid w:val="00E412EF"/>
    <w:rsid w:val="00E417A6"/>
    <w:rsid w:val="00E4185E"/>
    <w:rsid w:val="00E41B43"/>
    <w:rsid w:val="00E41E0E"/>
    <w:rsid w:val="00E41FF0"/>
    <w:rsid w:val="00E420A4"/>
    <w:rsid w:val="00E420C6"/>
    <w:rsid w:val="00E42120"/>
    <w:rsid w:val="00E42132"/>
    <w:rsid w:val="00E42247"/>
    <w:rsid w:val="00E4247A"/>
    <w:rsid w:val="00E42717"/>
    <w:rsid w:val="00E427CD"/>
    <w:rsid w:val="00E42999"/>
    <w:rsid w:val="00E42BDD"/>
    <w:rsid w:val="00E42CBE"/>
    <w:rsid w:val="00E42D28"/>
    <w:rsid w:val="00E4303F"/>
    <w:rsid w:val="00E43217"/>
    <w:rsid w:val="00E4333A"/>
    <w:rsid w:val="00E43629"/>
    <w:rsid w:val="00E43682"/>
    <w:rsid w:val="00E4402A"/>
    <w:rsid w:val="00E44233"/>
    <w:rsid w:val="00E44428"/>
    <w:rsid w:val="00E4488D"/>
    <w:rsid w:val="00E448AD"/>
    <w:rsid w:val="00E44B35"/>
    <w:rsid w:val="00E44E97"/>
    <w:rsid w:val="00E450D2"/>
    <w:rsid w:val="00E4534A"/>
    <w:rsid w:val="00E46172"/>
    <w:rsid w:val="00E46263"/>
    <w:rsid w:val="00E46356"/>
    <w:rsid w:val="00E463D9"/>
    <w:rsid w:val="00E46512"/>
    <w:rsid w:val="00E467B0"/>
    <w:rsid w:val="00E46988"/>
    <w:rsid w:val="00E46A4C"/>
    <w:rsid w:val="00E46B66"/>
    <w:rsid w:val="00E46E03"/>
    <w:rsid w:val="00E46EF3"/>
    <w:rsid w:val="00E472A0"/>
    <w:rsid w:val="00E472BB"/>
    <w:rsid w:val="00E473C7"/>
    <w:rsid w:val="00E473FA"/>
    <w:rsid w:val="00E4745E"/>
    <w:rsid w:val="00E4751A"/>
    <w:rsid w:val="00E479B6"/>
    <w:rsid w:val="00E479F0"/>
    <w:rsid w:val="00E47AA1"/>
    <w:rsid w:val="00E47B9D"/>
    <w:rsid w:val="00E47C03"/>
    <w:rsid w:val="00E47C4C"/>
    <w:rsid w:val="00E47D59"/>
    <w:rsid w:val="00E500DB"/>
    <w:rsid w:val="00E504C4"/>
    <w:rsid w:val="00E505AB"/>
    <w:rsid w:val="00E507DE"/>
    <w:rsid w:val="00E50CC5"/>
    <w:rsid w:val="00E50CE9"/>
    <w:rsid w:val="00E50E0B"/>
    <w:rsid w:val="00E50EEF"/>
    <w:rsid w:val="00E510BB"/>
    <w:rsid w:val="00E51244"/>
    <w:rsid w:val="00E512B6"/>
    <w:rsid w:val="00E5153F"/>
    <w:rsid w:val="00E5155B"/>
    <w:rsid w:val="00E51A6E"/>
    <w:rsid w:val="00E51D40"/>
    <w:rsid w:val="00E51E00"/>
    <w:rsid w:val="00E52051"/>
    <w:rsid w:val="00E520D2"/>
    <w:rsid w:val="00E52340"/>
    <w:rsid w:val="00E52341"/>
    <w:rsid w:val="00E52543"/>
    <w:rsid w:val="00E52740"/>
    <w:rsid w:val="00E527A8"/>
    <w:rsid w:val="00E52E20"/>
    <w:rsid w:val="00E5312C"/>
    <w:rsid w:val="00E53233"/>
    <w:rsid w:val="00E53469"/>
    <w:rsid w:val="00E53492"/>
    <w:rsid w:val="00E53592"/>
    <w:rsid w:val="00E535AC"/>
    <w:rsid w:val="00E53906"/>
    <w:rsid w:val="00E53B8C"/>
    <w:rsid w:val="00E53C03"/>
    <w:rsid w:val="00E53F16"/>
    <w:rsid w:val="00E53F3E"/>
    <w:rsid w:val="00E53F86"/>
    <w:rsid w:val="00E5408A"/>
    <w:rsid w:val="00E5422A"/>
    <w:rsid w:val="00E5423C"/>
    <w:rsid w:val="00E542E4"/>
    <w:rsid w:val="00E544E5"/>
    <w:rsid w:val="00E54B0C"/>
    <w:rsid w:val="00E54CA8"/>
    <w:rsid w:val="00E551EF"/>
    <w:rsid w:val="00E55591"/>
    <w:rsid w:val="00E558EE"/>
    <w:rsid w:val="00E559FB"/>
    <w:rsid w:val="00E562BD"/>
    <w:rsid w:val="00E56314"/>
    <w:rsid w:val="00E56335"/>
    <w:rsid w:val="00E564F4"/>
    <w:rsid w:val="00E5656C"/>
    <w:rsid w:val="00E56983"/>
    <w:rsid w:val="00E56B5B"/>
    <w:rsid w:val="00E57351"/>
    <w:rsid w:val="00E5749E"/>
    <w:rsid w:val="00E576CC"/>
    <w:rsid w:val="00E6026B"/>
    <w:rsid w:val="00E602D5"/>
    <w:rsid w:val="00E602EE"/>
    <w:rsid w:val="00E6030D"/>
    <w:rsid w:val="00E6042F"/>
    <w:rsid w:val="00E60562"/>
    <w:rsid w:val="00E6059F"/>
    <w:rsid w:val="00E60741"/>
    <w:rsid w:val="00E60AB8"/>
    <w:rsid w:val="00E60AC7"/>
    <w:rsid w:val="00E61052"/>
    <w:rsid w:val="00E612B4"/>
    <w:rsid w:val="00E61513"/>
    <w:rsid w:val="00E61978"/>
    <w:rsid w:val="00E61B37"/>
    <w:rsid w:val="00E61E38"/>
    <w:rsid w:val="00E623B6"/>
    <w:rsid w:val="00E62684"/>
    <w:rsid w:val="00E62769"/>
    <w:rsid w:val="00E62975"/>
    <w:rsid w:val="00E62A70"/>
    <w:rsid w:val="00E62AD6"/>
    <w:rsid w:val="00E62C73"/>
    <w:rsid w:val="00E62E3A"/>
    <w:rsid w:val="00E63270"/>
    <w:rsid w:val="00E634D8"/>
    <w:rsid w:val="00E635E3"/>
    <w:rsid w:val="00E63A68"/>
    <w:rsid w:val="00E63E26"/>
    <w:rsid w:val="00E63FD5"/>
    <w:rsid w:val="00E6468D"/>
    <w:rsid w:val="00E64D2F"/>
    <w:rsid w:val="00E64E37"/>
    <w:rsid w:val="00E6534C"/>
    <w:rsid w:val="00E6535F"/>
    <w:rsid w:val="00E653DD"/>
    <w:rsid w:val="00E6548F"/>
    <w:rsid w:val="00E65A60"/>
    <w:rsid w:val="00E65C38"/>
    <w:rsid w:val="00E65C78"/>
    <w:rsid w:val="00E65E2E"/>
    <w:rsid w:val="00E65F3D"/>
    <w:rsid w:val="00E65F94"/>
    <w:rsid w:val="00E66046"/>
    <w:rsid w:val="00E663A3"/>
    <w:rsid w:val="00E6684A"/>
    <w:rsid w:val="00E66CCC"/>
    <w:rsid w:val="00E6798C"/>
    <w:rsid w:val="00E67C02"/>
    <w:rsid w:val="00E67D46"/>
    <w:rsid w:val="00E7005B"/>
    <w:rsid w:val="00E704E3"/>
    <w:rsid w:val="00E7050E"/>
    <w:rsid w:val="00E70772"/>
    <w:rsid w:val="00E709CE"/>
    <w:rsid w:val="00E70A5F"/>
    <w:rsid w:val="00E70AF1"/>
    <w:rsid w:val="00E70C3F"/>
    <w:rsid w:val="00E70FB6"/>
    <w:rsid w:val="00E71CCA"/>
    <w:rsid w:val="00E72213"/>
    <w:rsid w:val="00E723F7"/>
    <w:rsid w:val="00E72CE6"/>
    <w:rsid w:val="00E72DDE"/>
    <w:rsid w:val="00E73019"/>
    <w:rsid w:val="00E732E9"/>
    <w:rsid w:val="00E73E18"/>
    <w:rsid w:val="00E740B7"/>
    <w:rsid w:val="00E74427"/>
    <w:rsid w:val="00E746C9"/>
    <w:rsid w:val="00E74C9C"/>
    <w:rsid w:val="00E74D00"/>
    <w:rsid w:val="00E74F36"/>
    <w:rsid w:val="00E75247"/>
    <w:rsid w:val="00E75433"/>
    <w:rsid w:val="00E75749"/>
    <w:rsid w:val="00E757EF"/>
    <w:rsid w:val="00E75810"/>
    <w:rsid w:val="00E7586C"/>
    <w:rsid w:val="00E75893"/>
    <w:rsid w:val="00E758FC"/>
    <w:rsid w:val="00E75C11"/>
    <w:rsid w:val="00E75C16"/>
    <w:rsid w:val="00E75CE4"/>
    <w:rsid w:val="00E75F05"/>
    <w:rsid w:val="00E75FF4"/>
    <w:rsid w:val="00E7611F"/>
    <w:rsid w:val="00E762C9"/>
    <w:rsid w:val="00E76331"/>
    <w:rsid w:val="00E76664"/>
    <w:rsid w:val="00E766FC"/>
    <w:rsid w:val="00E76E6F"/>
    <w:rsid w:val="00E76EE1"/>
    <w:rsid w:val="00E76F3C"/>
    <w:rsid w:val="00E771FA"/>
    <w:rsid w:val="00E77467"/>
    <w:rsid w:val="00E77972"/>
    <w:rsid w:val="00E779BE"/>
    <w:rsid w:val="00E779C8"/>
    <w:rsid w:val="00E77B51"/>
    <w:rsid w:val="00E77C69"/>
    <w:rsid w:val="00E77CA3"/>
    <w:rsid w:val="00E80128"/>
    <w:rsid w:val="00E80388"/>
    <w:rsid w:val="00E803B6"/>
    <w:rsid w:val="00E8055B"/>
    <w:rsid w:val="00E806BA"/>
    <w:rsid w:val="00E80ADA"/>
    <w:rsid w:val="00E80B1E"/>
    <w:rsid w:val="00E80C02"/>
    <w:rsid w:val="00E80C5D"/>
    <w:rsid w:val="00E81215"/>
    <w:rsid w:val="00E81846"/>
    <w:rsid w:val="00E81ABD"/>
    <w:rsid w:val="00E81FAD"/>
    <w:rsid w:val="00E821E7"/>
    <w:rsid w:val="00E8245B"/>
    <w:rsid w:val="00E82469"/>
    <w:rsid w:val="00E82725"/>
    <w:rsid w:val="00E8276A"/>
    <w:rsid w:val="00E82BEC"/>
    <w:rsid w:val="00E82CDD"/>
    <w:rsid w:val="00E831ED"/>
    <w:rsid w:val="00E83610"/>
    <w:rsid w:val="00E837CC"/>
    <w:rsid w:val="00E83C64"/>
    <w:rsid w:val="00E83CC0"/>
    <w:rsid w:val="00E83EE1"/>
    <w:rsid w:val="00E84192"/>
    <w:rsid w:val="00E8432F"/>
    <w:rsid w:val="00E8450C"/>
    <w:rsid w:val="00E84BFE"/>
    <w:rsid w:val="00E84C06"/>
    <w:rsid w:val="00E84C67"/>
    <w:rsid w:val="00E85473"/>
    <w:rsid w:val="00E85497"/>
    <w:rsid w:val="00E854C2"/>
    <w:rsid w:val="00E85660"/>
    <w:rsid w:val="00E857BE"/>
    <w:rsid w:val="00E85852"/>
    <w:rsid w:val="00E8585A"/>
    <w:rsid w:val="00E859CC"/>
    <w:rsid w:val="00E85C14"/>
    <w:rsid w:val="00E85F6E"/>
    <w:rsid w:val="00E8610C"/>
    <w:rsid w:val="00E863E8"/>
    <w:rsid w:val="00E864DB"/>
    <w:rsid w:val="00E86BB3"/>
    <w:rsid w:val="00E86D54"/>
    <w:rsid w:val="00E8719F"/>
    <w:rsid w:val="00E873D9"/>
    <w:rsid w:val="00E879CE"/>
    <w:rsid w:val="00E901F4"/>
    <w:rsid w:val="00E90285"/>
    <w:rsid w:val="00E903EC"/>
    <w:rsid w:val="00E9062E"/>
    <w:rsid w:val="00E90B21"/>
    <w:rsid w:val="00E90DD7"/>
    <w:rsid w:val="00E91169"/>
    <w:rsid w:val="00E91586"/>
    <w:rsid w:val="00E915A3"/>
    <w:rsid w:val="00E91701"/>
    <w:rsid w:val="00E91A0A"/>
    <w:rsid w:val="00E91E3A"/>
    <w:rsid w:val="00E92069"/>
    <w:rsid w:val="00E92423"/>
    <w:rsid w:val="00E9268D"/>
    <w:rsid w:val="00E927EC"/>
    <w:rsid w:val="00E92992"/>
    <w:rsid w:val="00E929F6"/>
    <w:rsid w:val="00E92CA4"/>
    <w:rsid w:val="00E93042"/>
    <w:rsid w:val="00E9314E"/>
    <w:rsid w:val="00E937CE"/>
    <w:rsid w:val="00E93845"/>
    <w:rsid w:val="00E93A69"/>
    <w:rsid w:val="00E93E86"/>
    <w:rsid w:val="00E93EDC"/>
    <w:rsid w:val="00E93FC0"/>
    <w:rsid w:val="00E9422D"/>
    <w:rsid w:val="00E94321"/>
    <w:rsid w:val="00E9435B"/>
    <w:rsid w:val="00E947C4"/>
    <w:rsid w:val="00E94970"/>
    <w:rsid w:val="00E950DB"/>
    <w:rsid w:val="00E95497"/>
    <w:rsid w:val="00E95F83"/>
    <w:rsid w:val="00E9609A"/>
    <w:rsid w:val="00E96136"/>
    <w:rsid w:val="00E961D6"/>
    <w:rsid w:val="00E963A3"/>
    <w:rsid w:val="00E9655E"/>
    <w:rsid w:val="00E965F5"/>
    <w:rsid w:val="00E96627"/>
    <w:rsid w:val="00E9662F"/>
    <w:rsid w:val="00E9667F"/>
    <w:rsid w:val="00E96777"/>
    <w:rsid w:val="00E96B0E"/>
    <w:rsid w:val="00E96B32"/>
    <w:rsid w:val="00E96E6A"/>
    <w:rsid w:val="00E9723F"/>
    <w:rsid w:val="00E9742B"/>
    <w:rsid w:val="00E97A67"/>
    <w:rsid w:val="00EA0075"/>
    <w:rsid w:val="00EA0373"/>
    <w:rsid w:val="00EA0553"/>
    <w:rsid w:val="00EA058B"/>
    <w:rsid w:val="00EA06D1"/>
    <w:rsid w:val="00EA0995"/>
    <w:rsid w:val="00EA0B07"/>
    <w:rsid w:val="00EA0DC9"/>
    <w:rsid w:val="00EA0EA0"/>
    <w:rsid w:val="00EA1304"/>
    <w:rsid w:val="00EA13A5"/>
    <w:rsid w:val="00EA18E6"/>
    <w:rsid w:val="00EA1AFF"/>
    <w:rsid w:val="00EA23E3"/>
    <w:rsid w:val="00EA26F6"/>
    <w:rsid w:val="00EA2A32"/>
    <w:rsid w:val="00EA2BB5"/>
    <w:rsid w:val="00EA2EC2"/>
    <w:rsid w:val="00EA331E"/>
    <w:rsid w:val="00EA366C"/>
    <w:rsid w:val="00EA3964"/>
    <w:rsid w:val="00EA3A0E"/>
    <w:rsid w:val="00EA3B71"/>
    <w:rsid w:val="00EA3FD6"/>
    <w:rsid w:val="00EA4B8A"/>
    <w:rsid w:val="00EA4C70"/>
    <w:rsid w:val="00EA4EC1"/>
    <w:rsid w:val="00EA500A"/>
    <w:rsid w:val="00EA5215"/>
    <w:rsid w:val="00EA5AB0"/>
    <w:rsid w:val="00EA5E0B"/>
    <w:rsid w:val="00EA6505"/>
    <w:rsid w:val="00EA657E"/>
    <w:rsid w:val="00EA65AC"/>
    <w:rsid w:val="00EA66C5"/>
    <w:rsid w:val="00EA70E0"/>
    <w:rsid w:val="00EA72CE"/>
    <w:rsid w:val="00EA7589"/>
    <w:rsid w:val="00EA7619"/>
    <w:rsid w:val="00EA77D4"/>
    <w:rsid w:val="00EA78D3"/>
    <w:rsid w:val="00EA79AF"/>
    <w:rsid w:val="00EA7C6D"/>
    <w:rsid w:val="00EB0242"/>
    <w:rsid w:val="00EB0530"/>
    <w:rsid w:val="00EB074F"/>
    <w:rsid w:val="00EB0761"/>
    <w:rsid w:val="00EB08F0"/>
    <w:rsid w:val="00EB098D"/>
    <w:rsid w:val="00EB0A08"/>
    <w:rsid w:val="00EB0D1D"/>
    <w:rsid w:val="00EB0E0F"/>
    <w:rsid w:val="00EB0F54"/>
    <w:rsid w:val="00EB0FE7"/>
    <w:rsid w:val="00EB1110"/>
    <w:rsid w:val="00EB14DA"/>
    <w:rsid w:val="00EB165E"/>
    <w:rsid w:val="00EB17B3"/>
    <w:rsid w:val="00EB19CD"/>
    <w:rsid w:val="00EB1A49"/>
    <w:rsid w:val="00EB1CBB"/>
    <w:rsid w:val="00EB1D9A"/>
    <w:rsid w:val="00EB1F1F"/>
    <w:rsid w:val="00EB214B"/>
    <w:rsid w:val="00EB2231"/>
    <w:rsid w:val="00EB24ED"/>
    <w:rsid w:val="00EB2586"/>
    <w:rsid w:val="00EB267A"/>
    <w:rsid w:val="00EB2911"/>
    <w:rsid w:val="00EB2E8A"/>
    <w:rsid w:val="00EB2F21"/>
    <w:rsid w:val="00EB3226"/>
    <w:rsid w:val="00EB374B"/>
    <w:rsid w:val="00EB3794"/>
    <w:rsid w:val="00EB38F5"/>
    <w:rsid w:val="00EB393E"/>
    <w:rsid w:val="00EB3F08"/>
    <w:rsid w:val="00EB400F"/>
    <w:rsid w:val="00EB4416"/>
    <w:rsid w:val="00EB456B"/>
    <w:rsid w:val="00EB4739"/>
    <w:rsid w:val="00EB4963"/>
    <w:rsid w:val="00EB509A"/>
    <w:rsid w:val="00EB53A8"/>
    <w:rsid w:val="00EB5723"/>
    <w:rsid w:val="00EB5830"/>
    <w:rsid w:val="00EB6271"/>
    <w:rsid w:val="00EB62CD"/>
    <w:rsid w:val="00EB666D"/>
    <w:rsid w:val="00EB66A6"/>
    <w:rsid w:val="00EB68C5"/>
    <w:rsid w:val="00EB6A74"/>
    <w:rsid w:val="00EB6AAE"/>
    <w:rsid w:val="00EB6AF2"/>
    <w:rsid w:val="00EB6BFA"/>
    <w:rsid w:val="00EB7375"/>
    <w:rsid w:val="00EB78E6"/>
    <w:rsid w:val="00EB7A6A"/>
    <w:rsid w:val="00EB7D19"/>
    <w:rsid w:val="00EB7EC9"/>
    <w:rsid w:val="00EC002A"/>
    <w:rsid w:val="00EC0242"/>
    <w:rsid w:val="00EC0393"/>
    <w:rsid w:val="00EC0761"/>
    <w:rsid w:val="00EC079E"/>
    <w:rsid w:val="00EC07F0"/>
    <w:rsid w:val="00EC087E"/>
    <w:rsid w:val="00EC088D"/>
    <w:rsid w:val="00EC0963"/>
    <w:rsid w:val="00EC09CB"/>
    <w:rsid w:val="00EC0A55"/>
    <w:rsid w:val="00EC0E2F"/>
    <w:rsid w:val="00EC0EDC"/>
    <w:rsid w:val="00EC1246"/>
    <w:rsid w:val="00EC14AD"/>
    <w:rsid w:val="00EC14D9"/>
    <w:rsid w:val="00EC176C"/>
    <w:rsid w:val="00EC1775"/>
    <w:rsid w:val="00EC1AF9"/>
    <w:rsid w:val="00EC1B13"/>
    <w:rsid w:val="00EC2105"/>
    <w:rsid w:val="00EC2256"/>
    <w:rsid w:val="00EC23D0"/>
    <w:rsid w:val="00EC254E"/>
    <w:rsid w:val="00EC26A4"/>
    <w:rsid w:val="00EC27C9"/>
    <w:rsid w:val="00EC2A97"/>
    <w:rsid w:val="00EC3149"/>
    <w:rsid w:val="00EC33B4"/>
    <w:rsid w:val="00EC35BC"/>
    <w:rsid w:val="00EC3B53"/>
    <w:rsid w:val="00EC3B7C"/>
    <w:rsid w:val="00EC3CC8"/>
    <w:rsid w:val="00EC3CC9"/>
    <w:rsid w:val="00EC3D3D"/>
    <w:rsid w:val="00EC3DCE"/>
    <w:rsid w:val="00EC4313"/>
    <w:rsid w:val="00EC43EC"/>
    <w:rsid w:val="00EC44A9"/>
    <w:rsid w:val="00EC4545"/>
    <w:rsid w:val="00EC464A"/>
    <w:rsid w:val="00EC5332"/>
    <w:rsid w:val="00EC53C2"/>
    <w:rsid w:val="00EC53D4"/>
    <w:rsid w:val="00EC564C"/>
    <w:rsid w:val="00EC572C"/>
    <w:rsid w:val="00EC580F"/>
    <w:rsid w:val="00EC59DC"/>
    <w:rsid w:val="00EC5B12"/>
    <w:rsid w:val="00EC5B8A"/>
    <w:rsid w:val="00EC5BC6"/>
    <w:rsid w:val="00EC5E61"/>
    <w:rsid w:val="00EC661B"/>
    <w:rsid w:val="00EC667A"/>
    <w:rsid w:val="00EC6815"/>
    <w:rsid w:val="00EC681E"/>
    <w:rsid w:val="00EC6B15"/>
    <w:rsid w:val="00EC6E16"/>
    <w:rsid w:val="00EC6F06"/>
    <w:rsid w:val="00EC6FF1"/>
    <w:rsid w:val="00EC709E"/>
    <w:rsid w:val="00EC72B2"/>
    <w:rsid w:val="00EC7910"/>
    <w:rsid w:val="00EC79C5"/>
    <w:rsid w:val="00EC7B8B"/>
    <w:rsid w:val="00EC7D35"/>
    <w:rsid w:val="00ED0147"/>
    <w:rsid w:val="00ED027E"/>
    <w:rsid w:val="00ED047A"/>
    <w:rsid w:val="00ED04CF"/>
    <w:rsid w:val="00ED089C"/>
    <w:rsid w:val="00ED0962"/>
    <w:rsid w:val="00ED097B"/>
    <w:rsid w:val="00ED0C97"/>
    <w:rsid w:val="00ED0D83"/>
    <w:rsid w:val="00ED0EAC"/>
    <w:rsid w:val="00ED0F83"/>
    <w:rsid w:val="00ED115A"/>
    <w:rsid w:val="00ED136A"/>
    <w:rsid w:val="00ED1623"/>
    <w:rsid w:val="00ED185D"/>
    <w:rsid w:val="00ED1B03"/>
    <w:rsid w:val="00ED2193"/>
    <w:rsid w:val="00ED21BD"/>
    <w:rsid w:val="00ED229C"/>
    <w:rsid w:val="00ED2897"/>
    <w:rsid w:val="00ED29B3"/>
    <w:rsid w:val="00ED29D4"/>
    <w:rsid w:val="00ED2E70"/>
    <w:rsid w:val="00ED3028"/>
    <w:rsid w:val="00ED302A"/>
    <w:rsid w:val="00ED313B"/>
    <w:rsid w:val="00ED32AB"/>
    <w:rsid w:val="00ED3430"/>
    <w:rsid w:val="00ED3437"/>
    <w:rsid w:val="00ED3A98"/>
    <w:rsid w:val="00ED3DD8"/>
    <w:rsid w:val="00ED43F4"/>
    <w:rsid w:val="00ED4410"/>
    <w:rsid w:val="00ED4661"/>
    <w:rsid w:val="00ED4D7F"/>
    <w:rsid w:val="00ED4E00"/>
    <w:rsid w:val="00ED4EF4"/>
    <w:rsid w:val="00ED501C"/>
    <w:rsid w:val="00ED5033"/>
    <w:rsid w:val="00ED5160"/>
    <w:rsid w:val="00ED5440"/>
    <w:rsid w:val="00ED56A5"/>
    <w:rsid w:val="00ED5783"/>
    <w:rsid w:val="00ED5882"/>
    <w:rsid w:val="00ED5953"/>
    <w:rsid w:val="00ED5AB4"/>
    <w:rsid w:val="00ED5BBE"/>
    <w:rsid w:val="00ED5C0B"/>
    <w:rsid w:val="00ED5D01"/>
    <w:rsid w:val="00ED61A5"/>
    <w:rsid w:val="00ED625E"/>
    <w:rsid w:val="00ED62F5"/>
    <w:rsid w:val="00ED63A6"/>
    <w:rsid w:val="00ED64B2"/>
    <w:rsid w:val="00ED6A20"/>
    <w:rsid w:val="00ED6B57"/>
    <w:rsid w:val="00ED6E5F"/>
    <w:rsid w:val="00ED7177"/>
    <w:rsid w:val="00ED7391"/>
    <w:rsid w:val="00ED75B9"/>
    <w:rsid w:val="00ED760E"/>
    <w:rsid w:val="00ED76C2"/>
    <w:rsid w:val="00ED7A11"/>
    <w:rsid w:val="00ED7A9E"/>
    <w:rsid w:val="00ED7BF2"/>
    <w:rsid w:val="00ED7DD6"/>
    <w:rsid w:val="00ED7DDF"/>
    <w:rsid w:val="00EE0116"/>
    <w:rsid w:val="00EE01D8"/>
    <w:rsid w:val="00EE01E2"/>
    <w:rsid w:val="00EE0698"/>
    <w:rsid w:val="00EE0820"/>
    <w:rsid w:val="00EE104A"/>
    <w:rsid w:val="00EE120A"/>
    <w:rsid w:val="00EE1534"/>
    <w:rsid w:val="00EE1603"/>
    <w:rsid w:val="00EE163C"/>
    <w:rsid w:val="00EE1649"/>
    <w:rsid w:val="00EE197F"/>
    <w:rsid w:val="00EE1C9C"/>
    <w:rsid w:val="00EE1D4B"/>
    <w:rsid w:val="00EE1D72"/>
    <w:rsid w:val="00EE217D"/>
    <w:rsid w:val="00EE223A"/>
    <w:rsid w:val="00EE2623"/>
    <w:rsid w:val="00EE29C7"/>
    <w:rsid w:val="00EE2A84"/>
    <w:rsid w:val="00EE2B07"/>
    <w:rsid w:val="00EE2DCF"/>
    <w:rsid w:val="00EE3476"/>
    <w:rsid w:val="00EE3775"/>
    <w:rsid w:val="00EE38FC"/>
    <w:rsid w:val="00EE3CF8"/>
    <w:rsid w:val="00EE3D36"/>
    <w:rsid w:val="00EE4010"/>
    <w:rsid w:val="00EE41FA"/>
    <w:rsid w:val="00EE4778"/>
    <w:rsid w:val="00EE47A8"/>
    <w:rsid w:val="00EE49A3"/>
    <w:rsid w:val="00EE4A36"/>
    <w:rsid w:val="00EE4E49"/>
    <w:rsid w:val="00EE4F1D"/>
    <w:rsid w:val="00EE4F1F"/>
    <w:rsid w:val="00EE4F5A"/>
    <w:rsid w:val="00EE550F"/>
    <w:rsid w:val="00EE5C71"/>
    <w:rsid w:val="00EE5F87"/>
    <w:rsid w:val="00EE5FFB"/>
    <w:rsid w:val="00EE6029"/>
    <w:rsid w:val="00EE63C4"/>
    <w:rsid w:val="00EE6853"/>
    <w:rsid w:val="00EE6D4B"/>
    <w:rsid w:val="00EE6DA5"/>
    <w:rsid w:val="00EE6E4E"/>
    <w:rsid w:val="00EE70E5"/>
    <w:rsid w:val="00EE7112"/>
    <w:rsid w:val="00EE778D"/>
    <w:rsid w:val="00EE780E"/>
    <w:rsid w:val="00EE7AFE"/>
    <w:rsid w:val="00EF0136"/>
    <w:rsid w:val="00EF05F6"/>
    <w:rsid w:val="00EF0755"/>
    <w:rsid w:val="00EF0EB5"/>
    <w:rsid w:val="00EF0F6F"/>
    <w:rsid w:val="00EF120C"/>
    <w:rsid w:val="00EF1543"/>
    <w:rsid w:val="00EF1682"/>
    <w:rsid w:val="00EF1811"/>
    <w:rsid w:val="00EF223B"/>
    <w:rsid w:val="00EF240C"/>
    <w:rsid w:val="00EF257C"/>
    <w:rsid w:val="00EF25D4"/>
    <w:rsid w:val="00EF2A41"/>
    <w:rsid w:val="00EF2AE9"/>
    <w:rsid w:val="00EF2F25"/>
    <w:rsid w:val="00EF2FC8"/>
    <w:rsid w:val="00EF30E5"/>
    <w:rsid w:val="00EF30F8"/>
    <w:rsid w:val="00EF34EB"/>
    <w:rsid w:val="00EF3976"/>
    <w:rsid w:val="00EF3F4C"/>
    <w:rsid w:val="00EF444D"/>
    <w:rsid w:val="00EF4478"/>
    <w:rsid w:val="00EF452B"/>
    <w:rsid w:val="00EF46B3"/>
    <w:rsid w:val="00EF477D"/>
    <w:rsid w:val="00EF4837"/>
    <w:rsid w:val="00EF4847"/>
    <w:rsid w:val="00EF4A39"/>
    <w:rsid w:val="00EF4C2D"/>
    <w:rsid w:val="00EF4F13"/>
    <w:rsid w:val="00EF527B"/>
    <w:rsid w:val="00EF53B0"/>
    <w:rsid w:val="00EF546F"/>
    <w:rsid w:val="00EF5DE1"/>
    <w:rsid w:val="00EF5EDD"/>
    <w:rsid w:val="00EF6288"/>
    <w:rsid w:val="00EF64AE"/>
    <w:rsid w:val="00EF6A57"/>
    <w:rsid w:val="00EF6BB1"/>
    <w:rsid w:val="00EF6C43"/>
    <w:rsid w:val="00EF6DC4"/>
    <w:rsid w:val="00EF6F52"/>
    <w:rsid w:val="00EF7401"/>
    <w:rsid w:val="00EF76EF"/>
    <w:rsid w:val="00EF7A0C"/>
    <w:rsid w:val="00EF7AD4"/>
    <w:rsid w:val="00EF7AFF"/>
    <w:rsid w:val="00EF7CD4"/>
    <w:rsid w:val="00F00012"/>
    <w:rsid w:val="00F0046F"/>
    <w:rsid w:val="00F00560"/>
    <w:rsid w:val="00F00597"/>
    <w:rsid w:val="00F005A9"/>
    <w:rsid w:val="00F00686"/>
    <w:rsid w:val="00F00E35"/>
    <w:rsid w:val="00F00F12"/>
    <w:rsid w:val="00F01136"/>
    <w:rsid w:val="00F011BA"/>
    <w:rsid w:val="00F012FE"/>
    <w:rsid w:val="00F017B4"/>
    <w:rsid w:val="00F01BA3"/>
    <w:rsid w:val="00F01D52"/>
    <w:rsid w:val="00F01FB6"/>
    <w:rsid w:val="00F02120"/>
    <w:rsid w:val="00F025D0"/>
    <w:rsid w:val="00F02659"/>
    <w:rsid w:val="00F02B13"/>
    <w:rsid w:val="00F03062"/>
    <w:rsid w:val="00F03143"/>
    <w:rsid w:val="00F031DB"/>
    <w:rsid w:val="00F0349C"/>
    <w:rsid w:val="00F035C7"/>
    <w:rsid w:val="00F0363E"/>
    <w:rsid w:val="00F039EA"/>
    <w:rsid w:val="00F03DCE"/>
    <w:rsid w:val="00F03F1E"/>
    <w:rsid w:val="00F041C0"/>
    <w:rsid w:val="00F0430F"/>
    <w:rsid w:val="00F04509"/>
    <w:rsid w:val="00F04C3E"/>
    <w:rsid w:val="00F04E82"/>
    <w:rsid w:val="00F05846"/>
    <w:rsid w:val="00F05A6B"/>
    <w:rsid w:val="00F05A9B"/>
    <w:rsid w:val="00F05B4C"/>
    <w:rsid w:val="00F060AF"/>
    <w:rsid w:val="00F0639F"/>
    <w:rsid w:val="00F0641A"/>
    <w:rsid w:val="00F06492"/>
    <w:rsid w:val="00F06505"/>
    <w:rsid w:val="00F065F9"/>
    <w:rsid w:val="00F0667D"/>
    <w:rsid w:val="00F066BF"/>
    <w:rsid w:val="00F06763"/>
    <w:rsid w:val="00F06C0B"/>
    <w:rsid w:val="00F06F53"/>
    <w:rsid w:val="00F06FB6"/>
    <w:rsid w:val="00F071C2"/>
    <w:rsid w:val="00F071C6"/>
    <w:rsid w:val="00F07437"/>
    <w:rsid w:val="00F07439"/>
    <w:rsid w:val="00F07582"/>
    <w:rsid w:val="00F07609"/>
    <w:rsid w:val="00F0784B"/>
    <w:rsid w:val="00F079A2"/>
    <w:rsid w:val="00F07B05"/>
    <w:rsid w:val="00F07D1C"/>
    <w:rsid w:val="00F07D85"/>
    <w:rsid w:val="00F100C9"/>
    <w:rsid w:val="00F102FE"/>
    <w:rsid w:val="00F103CA"/>
    <w:rsid w:val="00F10624"/>
    <w:rsid w:val="00F10723"/>
    <w:rsid w:val="00F108B9"/>
    <w:rsid w:val="00F10934"/>
    <w:rsid w:val="00F109DC"/>
    <w:rsid w:val="00F10B02"/>
    <w:rsid w:val="00F10C23"/>
    <w:rsid w:val="00F10D60"/>
    <w:rsid w:val="00F10DEE"/>
    <w:rsid w:val="00F10FB5"/>
    <w:rsid w:val="00F1104C"/>
    <w:rsid w:val="00F11184"/>
    <w:rsid w:val="00F1129C"/>
    <w:rsid w:val="00F117BE"/>
    <w:rsid w:val="00F11900"/>
    <w:rsid w:val="00F119E7"/>
    <w:rsid w:val="00F11A2D"/>
    <w:rsid w:val="00F11A61"/>
    <w:rsid w:val="00F11ABC"/>
    <w:rsid w:val="00F11D6F"/>
    <w:rsid w:val="00F11F9F"/>
    <w:rsid w:val="00F1247F"/>
    <w:rsid w:val="00F1293E"/>
    <w:rsid w:val="00F12A29"/>
    <w:rsid w:val="00F12CB2"/>
    <w:rsid w:val="00F12CF7"/>
    <w:rsid w:val="00F12FC9"/>
    <w:rsid w:val="00F13192"/>
    <w:rsid w:val="00F13198"/>
    <w:rsid w:val="00F1329B"/>
    <w:rsid w:val="00F135A7"/>
    <w:rsid w:val="00F1375E"/>
    <w:rsid w:val="00F13820"/>
    <w:rsid w:val="00F13913"/>
    <w:rsid w:val="00F13CCE"/>
    <w:rsid w:val="00F13E3A"/>
    <w:rsid w:val="00F13E50"/>
    <w:rsid w:val="00F14014"/>
    <w:rsid w:val="00F14061"/>
    <w:rsid w:val="00F14263"/>
    <w:rsid w:val="00F1434B"/>
    <w:rsid w:val="00F14798"/>
    <w:rsid w:val="00F149B7"/>
    <w:rsid w:val="00F14AF9"/>
    <w:rsid w:val="00F14DAD"/>
    <w:rsid w:val="00F151F7"/>
    <w:rsid w:val="00F1552B"/>
    <w:rsid w:val="00F15627"/>
    <w:rsid w:val="00F156DE"/>
    <w:rsid w:val="00F15726"/>
    <w:rsid w:val="00F15D04"/>
    <w:rsid w:val="00F15E99"/>
    <w:rsid w:val="00F15EA5"/>
    <w:rsid w:val="00F15EF1"/>
    <w:rsid w:val="00F16234"/>
    <w:rsid w:val="00F16349"/>
    <w:rsid w:val="00F1647D"/>
    <w:rsid w:val="00F16E18"/>
    <w:rsid w:val="00F16E72"/>
    <w:rsid w:val="00F17723"/>
    <w:rsid w:val="00F17966"/>
    <w:rsid w:val="00F17AC0"/>
    <w:rsid w:val="00F17BE4"/>
    <w:rsid w:val="00F17DE6"/>
    <w:rsid w:val="00F17F1E"/>
    <w:rsid w:val="00F20041"/>
    <w:rsid w:val="00F20329"/>
    <w:rsid w:val="00F204B8"/>
    <w:rsid w:val="00F20543"/>
    <w:rsid w:val="00F20838"/>
    <w:rsid w:val="00F20933"/>
    <w:rsid w:val="00F209DC"/>
    <w:rsid w:val="00F20A79"/>
    <w:rsid w:val="00F20BE7"/>
    <w:rsid w:val="00F20E4E"/>
    <w:rsid w:val="00F2100C"/>
    <w:rsid w:val="00F21125"/>
    <w:rsid w:val="00F21336"/>
    <w:rsid w:val="00F214F2"/>
    <w:rsid w:val="00F21CAF"/>
    <w:rsid w:val="00F21CDF"/>
    <w:rsid w:val="00F2207D"/>
    <w:rsid w:val="00F222D8"/>
    <w:rsid w:val="00F2244D"/>
    <w:rsid w:val="00F226D9"/>
    <w:rsid w:val="00F22B01"/>
    <w:rsid w:val="00F22C60"/>
    <w:rsid w:val="00F22F44"/>
    <w:rsid w:val="00F22F63"/>
    <w:rsid w:val="00F22FE7"/>
    <w:rsid w:val="00F23065"/>
    <w:rsid w:val="00F232E2"/>
    <w:rsid w:val="00F2372E"/>
    <w:rsid w:val="00F2377B"/>
    <w:rsid w:val="00F23C97"/>
    <w:rsid w:val="00F2405F"/>
    <w:rsid w:val="00F2412C"/>
    <w:rsid w:val="00F24AD1"/>
    <w:rsid w:val="00F24C01"/>
    <w:rsid w:val="00F24E44"/>
    <w:rsid w:val="00F252DE"/>
    <w:rsid w:val="00F256E9"/>
    <w:rsid w:val="00F25841"/>
    <w:rsid w:val="00F25CD9"/>
    <w:rsid w:val="00F25EC9"/>
    <w:rsid w:val="00F26170"/>
    <w:rsid w:val="00F26490"/>
    <w:rsid w:val="00F26520"/>
    <w:rsid w:val="00F26525"/>
    <w:rsid w:val="00F26638"/>
    <w:rsid w:val="00F2686A"/>
    <w:rsid w:val="00F268A1"/>
    <w:rsid w:val="00F26C06"/>
    <w:rsid w:val="00F26C16"/>
    <w:rsid w:val="00F26D04"/>
    <w:rsid w:val="00F26D96"/>
    <w:rsid w:val="00F26DD1"/>
    <w:rsid w:val="00F26F05"/>
    <w:rsid w:val="00F27932"/>
    <w:rsid w:val="00F279C0"/>
    <w:rsid w:val="00F27C63"/>
    <w:rsid w:val="00F27D8C"/>
    <w:rsid w:val="00F27F30"/>
    <w:rsid w:val="00F3000D"/>
    <w:rsid w:val="00F300D0"/>
    <w:rsid w:val="00F3014A"/>
    <w:rsid w:val="00F303A9"/>
    <w:rsid w:val="00F30531"/>
    <w:rsid w:val="00F30CB1"/>
    <w:rsid w:val="00F30D10"/>
    <w:rsid w:val="00F30D1C"/>
    <w:rsid w:val="00F30D9E"/>
    <w:rsid w:val="00F31349"/>
    <w:rsid w:val="00F31374"/>
    <w:rsid w:val="00F316FB"/>
    <w:rsid w:val="00F31A40"/>
    <w:rsid w:val="00F31AD1"/>
    <w:rsid w:val="00F322F5"/>
    <w:rsid w:val="00F324B4"/>
    <w:rsid w:val="00F32714"/>
    <w:rsid w:val="00F3275B"/>
    <w:rsid w:val="00F328DA"/>
    <w:rsid w:val="00F32971"/>
    <w:rsid w:val="00F32AF1"/>
    <w:rsid w:val="00F32BC8"/>
    <w:rsid w:val="00F32D8B"/>
    <w:rsid w:val="00F32D8E"/>
    <w:rsid w:val="00F3305B"/>
    <w:rsid w:val="00F33447"/>
    <w:rsid w:val="00F33584"/>
    <w:rsid w:val="00F338B7"/>
    <w:rsid w:val="00F34046"/>
    <w:rsid w:val="00F340A3"/>
    <w:rsid w:val="00F345F7"/>
    <w:rsid w:val="00F349BA"/>
    <w:rsid w:val="00F34C53"/>
    <w:rsid w:val="00F34C59"/>
    <w:rsid w:val="00F34CC9"/>
    <w:rsid w:val="00F34D5D"/>
    <w:rsid w:val="00F34E7B"/>
    <w:rsid w:val="00F34F1D"/>
    <w:rsid w:val="00F350C3"/>
    <w:rsid w:val="00F35191"/>
    <w:rsid w:val="00F35223"/>
    <w:rsid w:val="00F3525E"/>
    <w:rsid w:val="00F35490"/>
    <w:rsid w:val="00F35537"/>
    <w:rsid w:val="00F35861"/>
    <w:rsid w:val="00F3589E"/>
    <w:rsid w:val="00F359AA"/>
    <w:rsid w:val="00F35C43"/>
    <w:rsid w:val="00F35C89"/>
    <w:rsid w:val="00F35DAF"/>
    <w:rsid w:val="00F35F28"/>
    <w:rsid w:val="00F35FE2"/>
    <w:rsid w:val="00F36023"/>
    <w:rsid w:val="00F360F4"/>
    <w:rsid w:val="00F3616F"/>
    <w:rsid w:val="00F364E3"/>
    <w:rsid w:val="00F368A8"/>
    <w:rsid w:val="00F36AF1"/>
    <w:rsid w:val="00F36C87"/>
    <w:rsid w:val="00F36D07"/>
    <w:rsid w:val="00F36D27"/>
    <w:rsid w:val="00F36D45"/>
    <w:rsid w:val="00F36D6A"/>
    <w:rsid w:val="00F36F73"/>
    <w:rsid w:val="00F371AD"/>
    <w:rsid w:val="00F3764C"/>
    <w:rsid w:val="00F378A9"/>
    <w:rsid w:val="00F37B82"/>
    <w:rsid w:val="00F37C0D"/>
    <w:rsid w:val="00F37ED4"/>
    <w:rsid w:val="00F40760"/>
    <w:rsid w:val="00F409C7"/>
    <w:rsid w:val="00F40B0B"/>
    <w:rsid w:val="00F40F70"/>
    <w:rsid w:val="00F413BA"/>
    <w:rsid w:val="00F41ABD"/>
    <w:rsid w:val="00F41B77"/>
    <w:rsid w:val="00F41D25"/>
    <w:rsid w:val="00F423CD"/>
    <w:rsid w:val="00F425EC"/>
    <w:rsid w:val="00F425FD"/>
    <w:rsid w:val="00F43092"/>
    <w:rsid w:val="00F431AD"/>
    <w:rsid w:val="00F431D2"/>
    <w:rsid w:val="00F431D6"/>
    <w:rsid w:val="00F43656"/>
    <w:rsid w:val="00F437AF"/>
    <w:rsid w:val="00F439DD"/>
    <w:rsid w:val="00F43C0E"/>
    <w:rsid w:val="00F43C7B"/>
    <w:rsid w:val="00F43CC7"/>
    <w:rsid w:val="00F43D68"/>
    <w:rsid w:val="00F43E72"/>
    <w:rsid w:val="00F4404B"/>
    <w:rsid w:val="00F4406B"/>
    <w:rsid w:val="00F443ED"/>
    <w:rsid w:val="00F44429"/>
    <w:rsid w:val="00F445BE"/>
    <w:rsid w:val="00F44B53"/>
    <w:rsid w:val="00F44C24"/>
    <w:rsid w:val="00F44CB5"/>
    <w:rsid w:val="00F45108"/>
    <w:rsid w:val="00F45A43"/>
    <w:rsid w:val="00F45AC3"/>
    <w:rsid w:val="00F45C0F"/>
    <w:rsid w:val="00F45D23"/>
    <w:rsid w:val="00F45EFD"/>
    <w:rsid w:val="00F462D0"/>
    <w:rsid w:val="00F46441"/>
    <w:rsid w:val="00F46606"/>
    <w:rsid w:val="00F46679"/>
    <w:rsid w:val="00F46B0C"/>
    <w:rsid w:val="00F46B2F"/>
    <w:rsid w:val="00F46C17"/>
    <w:rsid w:val="00F46D48"/>
    <w:rsid w:val="00F46DCC"/>
    <w:rsid w:val="00F46F50"/>
    <w:rsid w:val="00F47122"/>
    <w:rsid w:val="00F479E2"/>
    <w:rsid w:val="00F47B9F"/>
    <w:rsid w:val="00F5028A"/>
    <w:rsid w:val="00F5053F"/>
    <w:rsid w:val="00F5061B"/>
    <w:rsid w:val="00F5077B"/>
    <w:rsid w:val="00F5091F"/>
    <w:rsid w:val="00F50A02"/>
    <w:rsid w:val="00F50AF8"/>
    <w:rsid w:val="00F50C83"/>
    <w:rsid w:val="00F50E57"/>
    <w:rsid w:val="00F50F12"/>
    <w:rsid w:val="00F51603"/>
    <w:rsid w:val="00F516C7"/>
    <w:rsid w:val="00F51932"/>
    <w:rsid w:val="00F51C89"/>
    <w:rsid w:val="00F51E65"/>
    <w:rsid w:val="00F52293"/>
    <w:rsid w:val="00F52349"/>
    <w:rsid w:val="00F524BF"/>
    <w:rsid w:val="00F527B8"/>
    <w:rsid w:val="00F527EF"/>
    <w:rsid w:val="00F52B64"/>
    <w:rsid w:val="00F52CCC"/>
    <w:rsid w:val="00F52DD2"/>
    <w:rsid w:val="00F52F9E"/>
    <w:rsid w:val="00F53179"/>
    <w:rsid w:val="00F53216"/>
    <w:rsid w:val="00F5323D"/>
    <w:rsid w:val="00F53439"/>
    <w:rsid w:val="00F53468"/>
    <w:rsid w:val="00F538C1"/>
    <w:rsid w:val="00F5396B"/>
    <w:rsid w:val="00F53B13"/>
    <w:rsid w:val="00F53C1E"/>
    <w:rsid w:val="00F53D59"/>
    <w:rsid w:val="00F53D80"/>
    <w:rsid w:val="00F54185"/>
    <w:rsid w:val="00F541A9"/>
    <w:rsid w:val="00F5433F"/>
    <w:rsid w:val="00F54E20"/>
    <w:rsid w:val="00F54E9D"/>
    <w:rsid w:val="00F556AE"/>
    <w:rsid w:val="00F55E97"/>
    <w:rsid w:val="00F5620E"/>
    <w:rsid w:val="00F563AC"/>
    <w:rsid w:val="00F56550"/>
    <w:rsid w:val="00F5667F"/>
    <w:rsid w:val="00F5688A"/>
    <w:rsid w:val="00F568AD"/>
    <w:rsid w:val="00F56A43"/>
    <w:rsid w:val="00F56EB1"/>
    <w:rsid w:val="00F57905"/>
    <w:rsid w:val="00F57B59"/>
    <w:rsid w:val="00F57B9B"/>
    <w:rsid w:val="00F6020E"/>
    <w:rsid w:val="00F602F4"/>
    <w:rsid w:val="00F603E3"/>
    <w:rsid w:val="00F60D2E"/>
    <w:rsid w:val="00F60E80"/>
    <w:rsid w:val="00F613D1"/>
    <w:rsid w:val="00F614B1"/>
    <w:rsid w:val="00F615BE"/>
    <w:rsid w:val="00F61683"/>
    <w:rsid w:val="00F618A0"/>
    <w:rsid w:val="00F61A14"/>
    <w:rsid w:val="00F61AA7"/>
    <w:rsid w:val="00F6201B"/>
    <w:rsid w:val="00F6232A"/>
    <w:rsid w:val="00F623FC"/>
    <w:rsid w:val="00F62600"/>
    <w:rsid w:val="00F62F68"/>
    <w:rsid w:val="00F62FBE"/>
    <w:rsid w:val="00F631BF"/>
    <w:rsid w:val="00F631ED"/>
    <w:rsid w:val="00F63231"/>
    <w:rsid w:val="00F63249"/>
    <w:rsid w:val="00F632EF"/>
    <w:rsid w:val="00F6359E"/>
    <w:rsid w:val="00F63635"/>
    <w:rsid w:val="00F63AB4"/>
    <w:rsid w:val="00F63D59"/>
    <w:rsid w:val="00F63DA5"/>
    <w:rsid w:val="00F63F36"/>
    <w:rsid w:val="00F63FA6"/>
    <w:rsid w:val="00F642C9"/>
    <w:rsid w:val="00F64392"/>
    <w:rsid w:val="00F6441B"/>
    <w:rsid w:val="00F64703"/>
    <w:rsid w:val="00F65122"/>
    <w:rsid w:val="00F65354"/>
    <w:rsid w:val="00F653F2"/>
    <w:rsid w:val="00F65877"/>
    <w:rsid w:val="00F65A4C"/>
    <w:rsid w:val="00F65BFA"/>
    <w:rsid w:val="00F65CE4"/>
    <w:rsid w:val="00F65DC3"/>
    <w:rsid w:val="00F661A3"/>
    <w:rsid w:val="00F662BC"/>
    <w:rsid w:val="00F668CA"/>
    <w:rsid w:val="00F66B14"/>
    <w:rsid w:val="00F66C53"/>
    <w:rsid w:val="00F66D48"/>
    <w:rsid w:val="00F66EB5"/>
    <w:rsid w:val="00F66EC1"/>
    <w:rsid w:val="00F6729D"/>
    <w:rsid w:val="00F673A8"/>
    <w:rsid w:val="00F7010F"/>
    <w:rsid w:val="00F7066F"/>
    <w:rsid w:val="00F707D6"/>
    <w:rsid w:val="00F70A39"/>
    <w:rsid w:val="00F70B13"/>
    <w:rsid w:val="00F70E41"/>
    <w:rsid w:val="00F70E43"/>
    <w:rsid w:val="00F70EE7"/>
    <w:rsid w:val="00F70EF1"/>
    <w:rsid w:val="00F71505"/>
    <w:rsid w:val="00F7159E"/>
    <w:rsid w:val="00F71945"/>
    <w:rsid w:val="00F71A2C"/>
    <w:rsid w:val="00F71E7A"/>
    <w:rsid w:val="00F723DF"/>
    <w:rsid w:val="00F72810"/>
    <w:rsid w:val="00F72BB2"/>
    <w:rsid w:val="00F72CDF"/>
    <w:rsid w:val="00F72E04"/>
    <w:rsid w:val="00F731CC"/>
    <w:rsid w:val="00F73230"/>
    <w:rsid w:val="00F732E4"/>
    <w:rsid w:val="00F7331B"/>
    <w:rsid w:val="00F734B0"/>
    <w:rsid w:val="00F73B3C"/>
    <w:rsid w:val="00F73F9D"/>
    <w:rsid w:val="00F74275"/>
    <w:rsid w:val="00F742AF"/>
    <w:rsid w:val="00F74579"/>
    <w:rsid w:val="00F74711"/>
    <w:rsid w:val="00F74C74"/>
    <w:rsid w:val="00F7543C"/>
    <w:rsid w:val="00F75717"/>
    <w:rsid w:val="00F75C78"/>
    <w:rsid w:val="00F75CF6"/>
    <w:rsid w:val="00F75FDD"/>
    <w:rsid w:val="00F760A5"/>
    <w:rsid w:val="00F7627A"/>
    <w:rsid w:val="00F766E1"/>
    <w:rsid w:val="00F76791"/>
    <w:rsid w:val="00F768D0"/>
    <w:rsid w:val="00F76A3C"/>
    <w:rsid w:val="00F76CFD"/>
    <w:rsid w:val="00F7714B"/>
    <w:rsid w:val="00F77157"/>
    <w:rsid w:val="00F772C9"/>
    <w:rsid w:val="00F775AF"/>
    <w:rsid w:val="00F77710"/>
    <w:rsid w:val="00F77752"/>
    <w:rsid w:val="00F778E3"/>
    <w:rsid w:val="00F77A20"/>
    <w:rsid w:val="00F800AF"/>
    <w:rsid w:val="00F8029A"/>
    <w:rsid w:val="00F807C0"/>
    <w:rsid w:val="00F8099B"/>
    <w:rsid w:val="00F80A50"/>
    <w:rsid w:val="00F80A8A"/>
    <w:rsid w:val="00F80C26"/>
    <w:rsid w:val="00F810A1"/>
    <w:rsid w:val="00F815B3"/>
    <w:rsid w:val="00F8160A"/>
    <w:rsid w:val="00F81B68"/>
    <w:rsid w:val="00F8214C"/>
    <w:rsid w:val="00F829FA"/>
    <w:rsid w:val="00F82BA5"/>
    <w:rsid w:val="00F82DF6"/>
    <w:rsid w:val="00F833A5"/>
    <w:rsid w:val="00F8351A"/>
    <w:rsid w:val="00F836C6"/>
    <w:rsid w:val="00F83828"/>
    <w:rsid w:val="00F83837"/>
    <w:rsid w:val="00F83AE5"/>
    <w:rsid w:val="00F83B9B"/>
    <w:rsid w:val="00F83CAE"/>
    <w:rsid w:val="00F83CF5"/>
    <w:rsid w:val="00F83F9F"/>
    <w:rsid w:val="00F842D6"/>
    <w:rsid w:val="00F842ED"/>
    <w:rsid w:val="00F8433C"/>
    <w:rsid w:val="00F845A9"/>
    <w:rsid w:val="00F846B0"/>
    <w:rsid w:val="00F846F7"/>
    <w:rsid w:val="00F84717"/>
    <w:rsid w:val="00F8497F"/>
    <w:rsid w:val="00F8498E"/>
    <w:rsid w:val="00F84B87"/>
    <w:rsid w:val="00F84E67"/>
    <w:rsid w:val="00F85F09"/>
    <w:rsid w:val="00F8649B"/>
    <w:rsid w:val="00F865A9"/>
    <w:rsid w:val="00F8664F"/>
    <w:rsid w:val="00F86A11"/>
    <w:rsid w:val="00F86A21"/>
    <w:rsid w:val="00F86AB5"/>
    <w:rsid w:val="00F86AD0"/>
    <w:rsid w:val="00F86F6A"/>
    <w:rsid w:val="00F8750E"/>
    <w:rsid w:val="00F87662"/>
    <w:rsid w:val="00F8784D"/>
    <w:rsid w:val="00F87A90"/>
    <w:rsid w:val="00F87AA2"/>
    <w:rsid w:val="00F87D15"/>
    <w:rsid w:val="00F87D37"/>
    <w:rsid w:val="00F87DCA"/>
    <w:rsid w:val="00F9004A"/>
    <w:rsid w:val="00F901C5"/>
    <w:rsid w:val="00F903E6"/>
    <w:rsid w:val="00F906DE"/>
    <w:rsid w:val="00F907E0"/>
    <w:rsid w:val="00F9092E"/>
    <w:rsid w:val="00F9095C"/>
    <w:rsid w:val="00F9119C"/>
    <w:rsid w:val="00F9191A"/>
    <w:rsid w:val="00F91A33"/>
    <w:rsid w:val="00F91A38"/>
    <w:rsid w:val="00F91B97"/>
    <w:rsid w:val="00F91E3C"/>
    <w:rsid w:val="00F91F15"/>
    <w:rsid w:val="00F920B4"/>
    <w:rsid w:val="00F920ED"/>
    <w:rsid w:val="00F9234F"/>
    <w:rsid w:val="00F92454"/>
    <w:rsid w:val="00F92459"/>
    <w:rsid w:val="00F92BE8"/>
    <w:rsid w:val="00F93184"/>
    <w:rsid w:val="00F93240"/>
    <w:rsid w:val="00F93587"/>
    <w:rsid w:val="00F93B2A"/>
    <w:rsid w:val="00F93BDF"/>
    <w:rsid w:val="00F93C13"/>
    <w:rsid w:val="00F93E11"/>
    <w:rsid w:val="00F940DB"/>
    <w:rsid w:val="00F94644"/>
    <w:rsid w:val="00F94665"/>
    <w:rsid w:val="00F946BB"/>
    <w:rsid w:val="00F949BA"/>
    <w:rsid w:val="00F94E06"/>
    <w:rsid w:val="00F94F97"/>
    <w:rsid w:val="00F9552D"/>
    <w:rsid w:val="00F95571"/>
    <w:rsid w:val="00F958BD"/>
    <w:rsid w:val="00F958DD"/>
    <w:rsid w:val="00F959B9"/>
    <w:rsid w:val="00F95F95"/>
    <w:rsid w:val="00F96151"/>
    <w:rsid w:val="00F96191"/>
    <w:rsid w:val="00F963E6"/>
    <w:rsid w:val="00F965BE"/>
    <w:rsid w:val="00F96CDB"/>
    <w:rsid w:val="00F96D4D"/>
    <w:rsid w:val="00F96D9E"/>
    <w:rsid w:val="00F972DD"/>
    <w:rsid w:val="00F9784A"/>
    <w:rsid w:val="00F9793E"/>
    <w:rsid w:val="00FA039E"/>
    <w:rsid w:val="00FA05CD"/>
    <w:rsid w:val="00FA05F5"/>
    <w:rsid w:val="00FA0777"/>
    <w:rsid w:val="00FA0D6A"/>
    <w:rsid w:val="00FA10B0"/>
    <w:rsid w:val="00FA124D"/>
    <w:rsid w:val="00FA1394"/>
    <w:rsid w:val="00FA1502"/>
    <w:rsid w:val="00FA1655"/>
    <w:rsid w:val="00FA18CF"/>
    <w:rsid w:val="00FA1C5C"/>
    <w:rsid w:val="00FA1D3E"/>
    <w:rsid w:val="00FA21D5"/>
    <w:rsid w:val="00FA253D"/>
    <w:rsid w:val="00FA2CC4"/>
    <w:rsid w:val="00FA2FEC"/>
    <w:rsid w:val="00FA33C2"/>
    <w:rsid w:val="00FA364A"/>
    <w:rsid w:val="00FA36BF"/>
    <w:rsid w:val="00FA36ED"/>
    <w:rsid w:val="00FA38A6"/>
    <w:rsid w:val="00FA3CC0"/>
    <w:rsid w:val="00FA40E7"/>
    <w:rsid w:val="00FA411C"/>
    <w:rsid w:val="00FA4464"/>
    <w:rsid w:val="00FA46D8"/>
    <w:rsid w:val="00FA48A6"/>
    <w:rsid w:val="00FA4B4D"/>
    <w:rsid w:val="00FA4BA1"/>
    <w:rsid w:val="00FA4D4B"/>
    <w:rsid w:val="00FA4F7C"/>
    <w:rsid w:val="00FA5191"/>
    <w:rsid w:val="00FA52ED"/>
    <w:rsid w:val="00FA552C"/>
    <w:rsid w:val="00FA556B"/>
    <w:rsid w:val="00FA557B"/>
    <w:rsid w:val="00FA55CD"/>
    <w:rsid w:val="00FA580F"/>
    <w:rsid w:val="00FA5D03"/>
    <w:rsid w:val="00FA5F1E"/>
    <w:rsid w:val="00FA603D"/>
    <w:rsid w:val="00FA6098"/>
    <w:rsid w:val="00FA64EB"/>
    <w:rsid w:val="00FA6605"/>
    <w:rsid w:val="00FA665C"/>
    <w:rsid w:val="00FA6A9F"/>
    <w:rsid w:val="00FA6AC4"/>
    <w:rsid w:val="00FA6AF4"/>
    <w:rsid w:val="00FA6DB8"/>
    <w:rsid w:val="00FA6F2D"/>
    <w:rsid w:val="00FA6FE2"/>
    <w:rsid w:val="00FA7004"/>
    <w:rsid w:val="00FA7582"/>
    <w:rsid w:val="00FA7795"/>
    <w:rsid w:val="00FA78A7"/>
    <w:rsid w:val="00FA79A8"/>
    <w:rsid w:val="00FA7D58"/>
    <w:rsid w:val="00FA7D85"/>
    <w:rsid w:val="00FA7E60"/>
    <w:rsid w:val="00FB0332"/>
    <w:rsid w:val="00FB0498"/>
    <w:rsid w:val="00FB057A"/>
    <w:rsid w:val="00FB064F"/>
    <w:rsid w:val="00FB06A7"/>
    <w:rsid w:val="00FB09B6"/>
    <w:rsid w:val="00FB0AAC"/>
    <w:rsid w:val="00FB0FCF"/>
    <w:rsid w:val="00FB1056"/>
    <w:rsid w:val="00FB118B"/>
    <w:rsid w:val="00FB1279"/>
    <w:rsid w:val="00FB14AB"/>
    <w:rsid w:val="00FB1573"/>
    <w:rsid w:val="00FB1604"/>
    <w:rsid w:val="00FB1858"/>
    <w:rsid w:val="00FB1948"/>
    <w:rsid w:val="00FB1AF7"/>
    <w:rsid w:val="00FB1CF3"/>
    <w:rsid w:val="00FB1D9F"/>
    <w:rsid w:val="00FB1EB5"/>
    <w:rsid w:val="00FB20E8"/>
    <w:rsid w:val="00FB23BA"/>
    <w:rsid w:val="00FB26EE"/>
    <w:rsid w:val="00FB2714"/>
    <w:rsid w:val="00FB2981"/>
    <w:rsid w:val="00FB2B51"/>
    <w:rsid w:val="00FB2BEB"/>
    <w:rsid w:val="00FB2C73"/>
    <w:rsid w:val="00FB2DDD"/>
    <w:rsid w:val="00FB30C1"/>
    <w:rsid w:val="00FB3275"/>
    <w:rsid w:val="00FB330E"/>
    <w:rsid w:val="00FB33B4"/>
    <w:rsid w:val="00FB3427"/>
    <w:rsid w:val="00FB3C23"/>
    <w:rsid w:val="00FB3CD5"/>
    <w:rsid w:val="00FB3CE9"/>
    <w:rsid w:val="00FB410B"/>
    <w:rsid w:val="00FB4161"/>
    <w:rsid w:val="00FB426E"/>
    <w:rsid w:val="00FB47B1"/>
    <w:rsid w:val="00FB4924"/>
    <w:rsid w:val="00FB4ACE"/>
    <w:rsid w:val="00FB4C28"/>
    <w:rsid w:val="00FB4DA0"/>
    <w:rsid w:val="00FB50D9"/>
    <w:rsid w:val="00FB50FF"/>
    <w:rsid w:val="00FB5602"/>
    <w:rsid w:val="00FB564A"/>
    <w:rsid w:val="00FB5BF2"/>
    <w:rsid w:val="00FB5E9B"/>
    <w:rsid w:val="00FB5EBA"/>
    <w:rsid w:val="00FB606A"/>
    <w:rsid w:val="00FB60C5"/>
    <w:rsid w:val="00FB62A0"/>
    <w:rsid w:val="00FB6441"/>
    <w:rsid w:val="00FB659A"/>
    <w:rsid w:val="00FB694C"/>
    <w:rsid w:val="00FB6B3F"/>
    <w:rsid w:val="00FB6BDA"/>
    <w:rsid w:val="00FB6D27"/>
    <w:rsid w:val="00FB6D91"/>
    <w:rsid w:val="00FB6E55"/>
    <w:rsid w:val="00FB6E7F"/>
    <w:rsid w:val="00FB6EEE"/>
    <w:rsid w:val="00FB6F90"/>
    <w:rsid w:val="00FB7025"/>
    <w:rsid w:val="00FB71D8"/>
    <w:rsid w:val="00FB76B4"/>
    <w:rsid w:val="00FB798D"/>
    <w:rsid w:val="00FB7DCD"/>
    <w:rsid w:val="00FB7E9E"/>
    <w:rsid w:val="00FB7F81"/>
    <w:rsid w:val="00FB7FC2"/>
    <w:rsid w:val="00FC02BA"/>
    <w:rsid w:val="00FC033C"/>
    <w:rsid w:val="00FC0928"/>
    <w:rsid w:val="00FC09D2"/>
    <w:rsid w:val="00FC0CDE"/>
    <w:rsid w:val="00FC1101"/>
    <w:rsid w:val="00FC1114"/>
    <w:rsid w:val="00FC1286"/>
    <w:rsid w:val="00FC15CA"/>
    <w:rsid w:val="00FC1D38"/>
    <w:rsid w:val="00FC1F34"/>
    <w:rsid w:val="00FC2312"/>
    <w:rsid w:val="00FC23FB"/>
    <w:rsid w:val="00FC2881"/>
    <w:rsid w:val="00FC28FD"/>
    <w:rsid w:val="00FC2AB1"/>
    <w:rsid w:val="00FC2B7B"/>
    <w:rsid w:val="00FC2BF2"/>
    <w:rsid w:val="00FC2BF7"/>
    <w:rsid w:val="00FC2CB7"/>
    <w:rsid w:val="00FC2D26"/>
    <w:rsid w:val="00FC2D51"/>
    <w:rsid w:val="00FC31D4"/>
    <w:rsid w:val="00FC3277"/>
    <w:rsid w:val="00FC345B"/>
    <w:rsid w:val="00FC34F0"/>
    <w:rsid w:val="00FC3655"/>
    <w:rsid w:val="00FC38BF"/>
    <w:rsid w:val="00FC3AC8"/>
    <w:rsid w:val="00FC3B59"/>
    <w:rsid w:val="00FC3FB5"/>
    <w:rsid w:val="00FC409D"/>
    <w:rsid w:val="00FC4135"/>
    <w:rsid w:val="00FC4195"/>
    <w:rsid w:val="00FC477B"/>
    <w:rsid w:val="00FC4A75"/>
    <w:rsid w:val="00FC4B72"/>
    <w:rsid w:val="00FC4BA4"/>
    <w:rsid w:val="00FC53CF"/>
    <w:rsid w:val="00FC53E3"/>
    <w:rsid w:val="00FC54FF"/>
    <w:rsid w:val="00FC5774"/>
    <w:rsid w:val="00FC584A"/>
    <w:rsid w:val="00FC5A9C"/>
    <w:rsid w:val="00FC5AC9"/>
    <w:rsid w:val="00FC5C02"/>
    <w:rsid w:val="00FC5CDE"/>
    <w:rsid w:val="00FC5E8F"/>
    <w:rsid w:val="00FC614A"/>
    <w:rsid w:val="00FC61E0"/>
    <w:rsid w:val="00FC6401"/>
    <w:rsid w:val="00FC6686"/>
    <w:rsid w:val="00FC66C6"/>
    <w:rsid w:val="00FC68F8"/>
    <w:rsid w:val="00FC6D71"/>
    <w:rsid w:val="00FC6F05"/>
    <w:rsid w:val="00FC702C"/>
    <w:rsid w:val="00FC7065"/>
    <w:rsid w:val="00FC70A1"/>
    <w:rsid w:val="00FC70BD"/>
    <w:rsid w:val="00FC72EA"/>
    <w:rsid w:val="00FC7450"/>
    <w:rsid w:val="00FC75CC"/>
    <w:rsid w:val="00FC7943"/>
    <w:rsid w:val="00FC79DB"/>
    <w:rsid w:val="00FC7AD3"/>
    <w:rsid w:val="00FC7C31"/>
    <w:rsid w:val="00FC7F04"/>
    <w:rsid w:val="00FC7FA5"/>
    <w:rsid w:val="00FD00AF"/>
    <w:rsid w:val="00FD06AF"/>
    <w:rsid w:val="00FD08B5"/>
    <w:rsid w:val="00FD097B"/>
    <w:rsid w:val="00FD0A1A"/>
    <w:rsid w:val="00FD0F67"/>
    <w:rsid w:val="00FD1150"/>
    <w:rsid w:val="00FD121D"/>
    <w:rsid w:val="00FD14C1"/>
    <w:rsid w:val="00FD14D3"/>
    <w:rsid w:val="00FD15FD"/>
    <w:rsid w:val="00FD1DDF"/>
    <w:rsid w:val="00FD1EF4"/>
    <w:rsid w:val="00FD202E"/>
    <w:rsid w:val="00FD209B"/>
    <w:rsid w:val="00FD22C4"/>
    <w:rsid w:val="00FD23F4"/>
    <w:rsid w:val="00FD24D0"/>
    <w:rsid w:val="00FD2585"/>
    <w:rsid w:val="00FD269A"/>
    <w:rsid w:val="00FD271D"/>
    <w:rsid w:val="00FD28C6"/>
    <w:rsid w:val="00FD28FF"/>
    <w:rsid w:val="00FD2921"/>
    <w:rsid w:val="00FD2972"/>
    <w:rsid w:val="00FD2AA6"/>
    <w:rsid w:val="00FD3423"/>
    <w:rsid w:val="00FD3666"/>
    <w:rsid w:val="00FD3B99"/>
    <w:rsid w:val="00FD3CEC"/>
    <w:rsid w:val="00FD3DA7"/>
    <w:rsid w:val="00FD3E6E"/>
    <w:rsid w:val="00FD3F53"/>
    <w:rsid w:val="00FD3F8A"/>
    <w:rsid w:val="00FD481C"/>
    <w:rsid w:val="00FD4A9E"/>
    <w:rsid w:val="00FD4FD5"/>
    <w:rsid w:val="00FD5483"/>
    <w:rsid w:val="00FD5BD7"/>
    <w:rsid w:val="00FD60E0"/>
    <w:rsid w:val="00FD633B"/>
    <w:rsid w:val="00FD6639"/>
    <w:rsid w:val="00FD67AD"/>
    <w:rsid w:val="00FD67F8"/>
    <w:rsid w:val="00FD682C"/>
    <w:rsid w:val="00FD693A"/>
    <w:rsid w:val="00FD6A64"/>
    <w:rsid w:val="00FD6C83"/>
    <w:rsid w:val="00FD7205"/>
    <w:rsid w:val="00FD77AF"/>
    <w:rsid w:val="00FD79E6"/>
    <w:rsid w:val="00FD7F84"/>
    <w:rsid w:val="00FE0163"/>
    <w:rsid w:val="00FE0189"/>
    <w:rsid w:val="00FE063A"/>
    <w:rsid w:val="00FE09A5"/>
    <w:rsid w:val="00FE0A28"/>
    <w:rsid w:val="00FE0D46"/>
    <w:rsid w:val="00FE1010"/>
    <w:rsid w:val="00FE10C4"/>
    <w:rsid w:val="00FE1540"/>
    <w:rsid w:val="00FE1919"/>
    <w:rsid w:val="00FE19C6"/>
    <w:rsid w:val="00FE1A83"/>
    <w:rsid w:val="00FE1B33"/>
    <w:rsid w:val="00FE1F1C"/>
    <w:rsid w:val="00FE1F31"/>
    <w:rsid w:val="00FE1F5C"/>
    <w:rsid w:val="00FE241F"/>
    <w:rsid w:val="00FE253E"/>
    <w:rsid w:val="00FE26C4"/>
    <w:rsid w:val="00FE2797"/>
    <w:rsid w:val="00FE2CE8"/>
    <w:rsid w:val="00FE2D46"/>
    <w:rsid w:val="00FE3300"/>
    <w:rsid w:val="00FE35B4"/>
    <w:rsid w:val="00FE36DA"/>
    <w:rsid w:val="00FE3919"/>
    <w:rsid w:val="00FE3A25"/>
    <w:rsid w:val="00FE40B8"/>
    <w:rsid w:val="00FE4137"/>
    <w:rsid w:val="00FE45E7"/>
    <w:rsid w:val="00FE478F"/>
    <w:rsid w:val="00FE4862"/>
    <w:rsid w:val="00FE4CF1"/>
    <w:rsid w:val="00FE4F3A"/>
    <w:rsid w:val="00FE4FE6"/>
    <w:rsid w:val="00FE5234"/>
    <w:rsid w:val="00FE5382"/>
    <w:rsid w:val="00FE5672"/>
    <w:rsid w:val="00FE5BCB"/>
    <w:rsid w:val="00FE5EC6"/>
    <w:rsid w:val="00FE5FC4"/>
    <w:rsid w:val="00FE66A2"/>
    <w:rsid w:val="00FE6758"/>
    <w:rsid w:val="00FE6835"/>
    <w:rsid w:val="00FE6987"/>
    <w:rsid w:val="00FE6A7B"/>
    <w:rsid w:val="00FE6EF9"/>
    <w:rsid w:val="00FE701E"/>
    <w:rsid w:val="00FE75CD"/>
    <w:rsid w:val="00FE765C"/>
    <w:rsid w:val="00FE769F"/>
    <w:rsid w:val="00FE790A"/>
    <w:rsid w:val="00FE79C1"/>
    <w:rsid w:val="00FE7ABE"/>
    <w:rsid w:val="00FE7D61"/>
    <w:rsid w:val="00FE7F51"/>
    <w:rsid w:val="00FF01DE"/>
    <w:rsid w:val="00FF062F"/>
    <w:rsid w:val="00FF08C7"/>
    <w:rsid w:val="00FF0B6E"/>
    <w:rsid w:val="00FF0C36"/>
    <w:rsid w:val="00FF0C9C"/>
    <w:rsid w:val="00FF0D24"/>
    <w:rsid w:val="00FF10B6"/>
    <w:rsid w:val="00FF15BD"/>
    <w:rsid w:val="00FF1A26"/>
    <w:rsid w:val="00FF1BF9"/>
    <w:rsid w:val="00FF1C31"/>
    <w:rsid w:val="00FF1C3E"/>
    <w:rsid w:val="00FF20FA"/>
    <w:rsid w:val="00FF2116"/>
    <w:rsid w:val="00FF21E5"/>
    <w:rsid w:val="00FF23F2"/>
    <w:rsid w:val="00FF2452"/>
    <w:rsid w:val="00FF2492"/>
    <w:rsid w:val="00FF27AE"/>
    <w:rsid w:val="00FF2827"/>
    <w:rsid w:val="00FF29E2"/>
    <w:rsid w:val="00FF2EA9"/>
    <w:rsid w:val="00FF31BA"/>
    <w:rsid w:val="00FF31F5"/>
    <w:rsid w:val="00FF3619"/>
    <w:rsid w:val="00FF38C5"/>
    <w:rsid w:val="00FF39C0"/>
    <w:rsid w:val="00FF3BCD"/>
    <w:rsid w:val="00FF4127"/>
    <w:rsid w:val="00FF42B0"/>
    <w:rsid w:val="00FF4548"/>
    <w:rsid w:val="00FF4650"/>
    <w:rsid w:val="00FF4A4A"/>
    <w:rsid w:val="00FF55BC"/>
    <w:rsid w:val="00FF62B3"/>
    <w:rsid w:val="00FF643C"/>
    <w:rsid w:val="00FF65D1"/>
    <w:rsid w:val="00FF6912"/>
    <w:rsid w:val="00FF69BF"/>
    <w:rsid w:val="00FF69FB"/>
    <w:rsid w:val="00FF6E1C"/>
    <w:rsid w:val="00FF710C"/>
    <w:rsid w:val="00FF71A0"/>
    <w:rsid w:val="00FF7315"/>
    <w:rsid w:val="00FF7389"/>
    <w:rsid w:val="00FF73A8"/>
    <w:rsid w:val="00FF748A"/>
    <w:rsid w:val="00FF7504"/>
    <w:rsid w:val="00FF7553"/>
    <w:rsid w:val="00FF765D"/>
    <w:rsid w:val="00FF79F6"/>
    <w:rsid w:val="00FF7B72"/>
    <w:rsid w:val="00FF7C1D"/>
    <w:rsid w:val="00FF7E9F"/>
    <w:rsid w:val="0298DD79"/>
    <w:rsid w:val="0518C1ED"/>
    <w:rsid w:val="05A07AA7"/>
    <w:rsid w:val="07850044"/>
    <w:rsid w:val="081C1B35"/>
    <w:rsid w:val="08D87B14"/>
    <w:rsid w:val="08F0C17E"/>
    <w:rsid w:val="0D2FBDEA"/>
    <w:rsid w:val="0F2E9A32"/>
    <w:rsid w:val="0FFDC905"/>
    <w:rsid w:val="10A60944"/>
    <w:rsid w:val="10C95459"/>
    <w:rsid w:val="11E51219"/>
    <w:rsid w:val="123A3935"/>
    <w:rsid w:val="141B6370"/>
    <w:rsid w:val="15640A35"/>
    <w:rsid w:val="19A738FC"/>
    <w:rsid w:val="19B84102"/>
    <w:rsid w:val="1BCA515A"/>
    <w:rsid w:val="1C49801D"/>
    <w:rsid w:val="1E2150CF"/>
    <w:rsid w:val="1F24E5B0"/>
    <w:rsid w:val="20725396"/>
    <w:rsid w:val="21461AEC"/>
    <w:rsid w:val="21F33ACD"/>
    <w:rsid w:val="22EDB61C"/>
    <w:rsid w:val="24C492AB"/>
    <w:rsid w:val="25701A7F"/>
    <w:rsid w:val="25750776"/>
    <w:rsid w:val="25ADBE1D"/>
    <w:rsid w:val="26530A99"/>
    <w:rsid w:val="288AF140"/>
    <w:rsid w:val="292DFC87"/>
    <w:rsid w:val="2B450914"/>
    <w:rsid w:val="2BDA6597"/>
    <w:rsid w:val="2DFC5BCE"/>
    <w:rsid w:val="2E428650"/>
    <w:rsid w:val="319C5E3A"/>
    <w:rsid w:val="325585BC"/>
    <w:rsid w:val="3322C1BD"/>
    <w:rsid w:val="337692A8"/>
    <w:rsid w:val="36528128"/>
    <w:rsid w:val="36DE9583"/>
    <w:rsid w:val="391A5F2D"/>
    <w:rsid w:val="392CB947"/>
    <w:rsid w:val="395C6E19"/>
    <w:rsid w:val="3A5A51D8"/>
    <w:rsid w:val="3FC30876"/>
    <w:rsid w:val="418206C0"/>
    <w:rsid w:val="424EB5E6"/>
    <w:rsid w:val="4321FB69"/>
    <w:rsid w:val="4467C998"/>
    <w:rsid w:val="4475EB16"/>
    <w:rsid w:val="4502EE5A"/>
    <w:rsid w:val="4517192B"/>
    <w:rsid w:val="452E5E7D"/>
    <w:rsid w:val="455B6531"/>
    <w:rsid w:val="4604985A"/>
    <w:rsid w:val="473ABE10"/>
    <w:rsid w:val="47E2155E"/>
    <w:rsid w:val="48B60E76"/>
    <w:rsid w:val="49B0E364"/>
    <w:rsid w:val="4AA05CE9"/>
    <w:rsid w:val="4AE5F5E8"/>
    <w:rsid w:val="4FAD5A2E"/>
    <w:rsid w:val="5243EC06"/>
    <w:rsid w:val="53B726B8"/>
    <w:rsid w:val="5439155B"/>
    <w:rsid w:val="54FD887F"/>
    <w:rsid w:val="56D24A33"/>
    <w:rsid w:val="582FF14C"/>
    <w:rsid w:val="59258C9A"/>
    <w:rsid w:val="59F68470"/>
    <w:rsid w:val="5A8B62BF"/>
    <w:rsid w:val="5AC9F68F"/>
    <w:rsid w:val="5BD16928"/>
    <w:rsid w:val="5C5EDEBE"/>
    <w:rsid w:val="5CB0D89E"/>
    <w:rsid w:val="5D4FF8D0"/>
    <w:rsid w:val="5F88EB1F"/>
    <w:rsid w:val="60332E34"/>
    <w:rsid w:val="60914D24"/>
    <w:rsid w:val="60B66F31"/>
    <w:rsid w:val="60F67F61"/>
    <w:rsid w:val="610FB1D0"/>
    <w:rsid w:val="61BF6623"/>
    <w:rsid w:val="62978973"/>
    <w:rsid w:val="63FDCD5B"/>
    <w:rsid w:val="641148CD"/>
    <w:rsid w:val="6482903D"/>
    <w:rsid w:val="66F18234"/>
    <w:rsid w:val="67988082"/>
    <w:rsid w:val="683ED791"/>
    <w:rsid w:val="699D76EF"/>
    <w:rsid w:val="6D29DC7F"/>
    <w:rsid w:val="6EF57406"/>
    <w:rsid w:val="6F81EB1C"/>
    <w:rsid w:val="705428F0"/>
    <w:rsid w:val="72B31483"/>
    <w:rsid w:val="74ED5D27"/>
    <w:rsid w:val="7668BDB0"/>
    <w:rsid w:val="769C8F54"/>
    <w:rsid w:val="77127EF2"/>
    <w:rsid w:val="7837AFB1"/>
    <w:rsid w:val="78906AF8"/>
    <w:rsid w:val="7A52B446"/>
    <w:rsid w:val="7AA26B5D"/>
    <w:rsid w:val="7B774190"/>
    <w:rsid w:val="7BF73B1F"/>
    <w:rsid w:val="7C24877C"/>
    <w:rsid w:val="7C581C53"/>
    <w:rsid w:val="7C6E2B12"/>
    <w:rsid w:val="7DE74508"/>
    <w:rsid w:val="7F974A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3EC"/>
    <w:pPr>
      <w:spacing w:before="120" w:after="120"/>
      <w:jc w:val="both"/>
    </w:pPr>
  </w:style>
  <w:style w:type="paragraph" w:styleId="1">
    <w:name w:val="heading 1"/>
    <w:basedOn w:val="a0"/>
    <w:next w:val="a0"/>
    <w:link w:val="10"/>
    <w:uiPriority w:val="9"/>
    <w:qFormat/>
    <w:rsid w:val="002F454A"/>
    <w:pPr>
      <w:keepNext/>
      <w:keepLines/>
      <w:pageBreakBefore/>
      <w:numPr>
        <w:numId w:val="21"/>
      </w:numPr>
      <w:spacing w:before="360" w:after="240" w:line="240" w:lineRule="auto"/>
      <w:outlineLvl w:val="0"/>
    </w:pPr>
    <w:rPr>
      <w:rFonts w:eastAsiaTheme="majorEastAsia" w:cstheme="majorBidi"/>
      <w:color w:val="1F4E79" w:themeColor="accent1" w:themeShade="80"/>
      <w:sz w:val="36"/>
      <w:szCs w:val="32"/>
    </w:rPr>
  </w:style>
  <w:style w:type="paragraph" w:styleId="2">
    <w:name w:val="heading 2"/>
    <w:basedOn w:val="a0"/>
    <w:next w:val="a0"/>
    <w:link w:val="20"/>
    <w:uiPriority w:val="9"/>
    <w:unhideWhenUsed/>
    <w:qFormat/>
    <w:rsid w:val="002F454A"/>
    <w:pPr>
      <w:keepNext/>
      <w:keepLines/>
      <w:numPr>
        <w:ilvl w:val="1"/>
        <w:numId w:val="21"/>
      </w:numPr>
      <w:spacing w:before="360" w:line="240" w:lineRule="auto"/>
      <w:outlineLvl w:val="1"/>
    </w:pPr>
    <w:rPr>
      <w:rFonts w:eastAsiaTheme="majorEastAsia" w:cstheme="majorBidi"/>
      <w:color w:val="2E74B5" w:themeColor="accent1" w:themeShade="BF"/>
      <w:sz w:val="32"/>
      <w:szCs w:val="32"/>
    </w:rPr>
  </w:style>
  <w:style w:type="paragraph" w:styleId="3">
    <w:name w:val="heading 3"/>
    <w:basedOn w:val="a0"/>
    <w:next w:val="a0"/>
    <w:link w:val="30"/>
    <w:uiPriority w:val="9"/>
    <w:unhideWhenUsed/>
    <w:qFormat/>
    <w:rsid w:val="002F454A"/>
    <w:pPr>
      <w:keepNext/>
      <w:keepLines/>
      <w:numPr>
        <w:ilvl w:val="2"/>
        <w:numId w:val="21"/>
      </w:numPr>
      <w:spacing w:before="240" w:line="240" w:lineRule="auto"/>
      <w:ind w:left="720"/>
      <w:outlineLvl w:val="2"/>
    </w:pPr>
    <w:rPr>
      <w:rFonts w:eastAsiaTheme="majorEastAsia" w:cstheme="majorBidi"/>
      <w:color w:val="2E74B5" w:themeColor="accent1" w:themeShade="BF"/>
      <w:sz w:val="28"/>
      <w:szCs w:val="28"/>
    </w:rPr>
  </w:style>
  <w:style w:type="paragraph" w:styleId="4">
    <w:name w:val="heading 4"/>
    <w:basedOn w:val="a0"/>
    <w:next w:val="a0"/>
    <w:link w:val="40"/>
    <w:uiPriority w:val="9"/>
    <w:unhideWhenUsed/>
    <w:qFormat/>
    <w:rsid w:val="002F454A"/>
    <w:pPr>
      <w:keepNext/>
      <w:keepLines/>
      <w:numPr>
        <w:ilvl w:val="3"/>
        <w:numId w:val="21"/>
      </w:numPr>
      <w:spacing w:before="240"/>
      <w:jc w:val="left"/>
      <w:outlineLvl w:val="3"/>
    </w:pPr>
    <w:rPr>
      <w:b/>
      <w:i/>
    </w:rPr>
  </w:style>
  <w:style w:type="paragraph" w:styleId="5">
    <w:name w:val="heading 5"/>
    <w:basedOn w:val="a0"/>
    <w:next w:val="a0"/>
    <w:link w:val="50"/>
    <w:uiPriority w:val="9"/>
    <w:unhideWhenUsed/>
    <w:qFormat/>
    <w:rsid w:val="002F454A"/>
    <w:pPr>
      <w:keepNext/>
      <w:keepLines/>
      <w:numPr>
        <w:ilvl w:val="4"/>
        <w:numId w:val="21"/>
      </w:numPr>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0"/>
    <w:next w:val="a0"/>
    <w:link w:val="60"/>
    <w:unhideWhenUsed/>
    <w:qFormat/>
    <w:rsid w:val="002F454A"/>
    <w:pPr>
      <w:keepNext/>
      <w:keepLines/>
      <w:numPr>
        <w:ilvl w:val="5"/>
        <w:numId w:val="21"/>
      </w:numPr>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0"/>
    <w:next w:val="a0"/>
    <w:link w:val="70"/>
    <w:unhideWhenUsed/>
    <w:qFormat/>
    <w:rsid w:val="002F454A"/>
    <w:pPr>
      <w:keepNext/>
      <w:keepLines/>
      <w:numPr>
        <w:ilvl w:val="6"/>
        <w:numId w:val="21"/>
      </w:numPr>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0"/>
    <w:next w:val="a0"/>
    <w:link w:val="80"/>
    <w:unhideWhenUsed/>
    <w:qFormat/>
    <w:rsid w:val="002F454A"/>
    <w:pPr>
      <w:keepNext/>
      <w:keepLines/>
      <w:numPr>
        <w:ilvl w:val="7"/>
        <w:numId w:val="21"/>
      </w:numPr>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0"/>
    <w:next w:val="a0"/>
    <w:link w:val="90"/>
    <w:unhideWhenUsed/>
    <w:qFormat/>
    <w:rsid w:val="002F454A"/>
    <w:pPr>
      <w:keepNext/>
      <w:keepLines/>
      <w:numPr>
        <w:ilvl w:val="8"/>
        <w:numId w:val="21"/>
      </w:numPr>
      <w:spacing w:before="40" w:after="0"/>
      <w:outlineLvl w:val="8"/>
    </w:pPr>
    <w:rPr>
      <w:rFonts w:asciiTheme="majorHAnsi" w:eastAsiaTheme="majorEastAsia" w:hAnsiTheme="majorHAnsi" w:cstheme="majorBidi"/>
      <w:i/>
      <w:iCs/>
      <w:color w:val="1F4E79"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E4BAA"/>
    <w:pPr>
      <w:ind w:left="720"/>
      <w:contextualSpacing/>
    </w:pPr>
  </w:style>
  <w:style w:type="paragraph" w:styleId="a5">
    <w:name w:val="Balloon Text"/>
    <w:basedOn w:val="a0"/>
    <w:link w:val="a6"/>
    <w:uiPriority w:val="99"/>
    <w:semiHidden/>
    <w:unhideWhenUsed/>
    <w:rsid w:val="009049FA"/>
    <w:pPr>
      <w:spacing w:after="0" w:line="240" w:lineRule="auto"/>
    </w:pPr>
    <w:rPr>
      <w:rFonts w:ascii="Tahoma" w:hAnsi="Tahoma" w:cs="Tahoma"/>
      <w:sz w:val="16"/>
      <w:szCs w:val="16"/>
    </w:rPr>
  </w:style>
  <w:style w:type="character" w:customStyle="1" w:styleId="a6">
    <w:name w:val="Текст у виносці Знак"/>
    <w:basedOn w:val="a1"/>
    <w:link w:val="a5"/>
    <w:uiPriority w:val="99"/>
    <w:semiHidden/>
    <w:rsid w:val="009049FA"/>
    <w:rPr>
      <w:rFonts w:ascii="Tahoma" w:hAnsi="Tahoma" w:cs="Tahoma"/>
      <w:sz w:val="16"/>
      <w:szCs w:val="16"/>
    </w:rPr>
  </w:style>
  <w:style w:type="character" w:styleId="a7">
    <w:name w:val="annotation reference"/>
    <w:basedOn w:val="a1"/>
    <w:uiPriority w:val="99"/>
    <w:semiHidden/>
    <w:unhideWhenUsed/>
    <w:rsid w:val="00F614B1"/>
    <w:rPr>
      <w:sz w:val="16"/>
      <w:szCs w:val="16"/>
    </w:rPr>
  </w:style>
  <w:style w:type="paragraph" w:styleId="a8">
    <w:name w:val="annotation text"/>
    <w:basedOn w:val="a0"/>
    <w:link w:val="a9"/>
    <w:uiPriority w:val="99"/>
    <w:unhideWhenUsed/>
    <w:rsid w:val="00F614B1"/>
    <w:pPr>
      <w:spacing w:line="240" w:lineRule="auto"/>
    </w:pPr>
    <w:rPr>
      <w:sz w:val="20"/>
      <w:szCs w:val="20"/>
    </w:rPr>
  </w:style>
  <w:style w:type="character" w:customStyle="1" w:styleId="a9">
    <w:name w:val="Текст примітки Знак"/>
    <w:basedOn w:val="a1"/>
    <w:link w:val="a8"/>
    <w:uiPriority w:val="99"/>
    <w:rsid w:val="00F614B1"/>
    <w:rPr>
      <w:sz w:val="20"/>
      <w:szCs w:val="20"/>
    </w:rPr>
  </w:style>
  <w:style w:type="paragraph" w:styleId="aa">
    <w:name w:val="annotation subject"/>
    <w:basedOn w:val="a8"/>
    <w:next w:val="a8"/>
    <w:link w:val="ab"/>
    <w:uiPriority w:val="99"/>
    <w:semiHidden/>
    <w:unhideWhenUsed/>
    <w:rsid w:val="00F614B1"/>
    <w:rPr>
      <w:b/>
      <w:bCs/>
    </w:rPr>
  </w:style>
  <w:style w:type="character" w:customStyle="1" w:styleId="ab">
    <w:name w:val="Тема примітки Знак"/>
    <w:basedOn w:val="a9"/>
    <w:link w:val="aa"/>
    <w:uiPriority w:val="99"/>
    <w:semiHidden/>
    <w:rsid w:val="00F614B1"/>
    <w:rPr>
      <w:b/>
      <w:bCs/>
      <w:sz w:val="20"/>
      <w:szCs w:val="20"/>
    </w:rPr>
  </w:style>
  <w:style w:type="paragraph" w:styleId="ac">
    <w:name w:val="header"/>
    <w:basedOn w:val="a0"/>
    <w:link w:val="ad"/>
    <w:unhideWhenUsed/>
    <w:rsid w:val="00583541"/>
    <w:pPr>
      <w:tabs>
        <w:tab w:val="center" w:pos="4819"/>
        <w:tab w:val="right" w:pos="9638"/>
      </w:tabs>
      <w:spacing w:after="0" w:line="240" w:lineRule="auto"/>
    </w:pPr>
  </w:style>
  <w:style w:type="character" w:customStyle="1" w:styleId="ad">
    <w:name w:val="Верхній колонтитул Знак"/>
    <w:basedOn w:val="a1"/>
    <w:link w:val="ac"/>
    <w:rsid w:val="00583541"/>
  </w:style>
  <w:style w:type="paragraph" w:styleId="ae">
    <w:name w:val="footer"/>
    <w:basedOn w:val="a0"/>
    <w:link w:val="af"/>
    <w:unhideWhenUsed/>
    <w:rsid w:val="00583541"/>
    <w:pPr>
      <w:tabs>
        <w:tab w:val="center" w:pos="4819"/>
        <w:tab w:val="right" w:pos="9638"/>
      </w:tabs>
      <w:spacing w:after="0" w:line="240" w:lineRule="auto"/>
    </w:pPr>
  </w:style>
  <w:style w:type="character" w:customStyle="1" w:styleId="af">
    <w:name w:val="Нижній колонтитул Знак"/>
    <w:basedOn w:val="a1"/>
    <w:link w:val="ae"/>
    <w:rsid w:val="00583541"/>
  </w:style>
  <w:style w:type="paragraph" w:styleId="af0">
    <w:name w:val="footnote text"/>
    <w:aliases w:val="Car"/>
    <w:basedOn w:val="a0"/>
    <w:link w:val="af1"/>
    <w:uiPriority w:val="99"/>
    <w:unhideWhenUsed/>
    <w:qFormat/>
    <w:rsid w:val="00F445BE"/>
    <w:pPr>
      <w:spacing w:before="0" w:after="0" w:line="240" w:lineRule="auto"/>
    </w:pPr>
    <w:rPr>
      <w:sz w:val="18"/>
      <w:szCs w:val="18"/>
    </w:rPr>
  </w:style>
  <w:style w:type="character" w:customStyle="1" w:styleId="af1">
    <w:name w:val="Текст виноски Знак"/>
    <w:aliases w:val="Car Знак"/>
    <w:basedOn w:val="a1"/>
    <w:link w:val="af0"/>
    <w:uiPriority w:val="99"/>
    <w:rsid w:val="00F445BE"/>
    <w:rPr>
      <w:sz w:val="18"/>
      <w:szCs w:val="18"/>
    </w:rPr>
  </w:style>
  <w:style w:type="character" w:styleId="af2">
    <w:name w:val="footnote reference"/>
    <w:basedOn w:val="a1"/>
    <w:uiPriority w:val="99"/>
    <w:unhideWhenUsed/>
    <w:rsid w:val="00583541"/>
    <w:rPr>
      <w:vertAlign w:val="superscript"/>
    </w:rPr>
  </w:style>
  <w:style w:type="paragraph" w:customStyle="1" w:styleId="SLONormal">
    <w:name w:val="SLO Normal"/>
    <w:link w:val="SLONormalChar"/>
    <w:qFormat/>
    <w:rsid w:val="00990C98"/>
    <w:pPr>
      <w:spacing w:before="120" w:after="120" w:line="240" w:lineRule="auto"/>
      <w:jc w:val="both"/>
    </w:pPr>
    <w:rPr>
      <w:rFonts w:ascii="Times New Roman" w:eastAsia="Times New Roman" w:hAnsi="Times New Roman" w:cs="Times New Roman"/>
      <w:kern w:val="24"/>
      <w:szCs w:val="24"/>
    </w:rPr>
  </w:style>
  <w:style w:type="character" w:customStyle="1" w:styleId="SLONormalChar">
    <w:name w:val="SLO Normal Char"/>
    <w:basedOn w:val="a1"/>
    <w:link w:val="SLONormal"/>
    <w:rsid w:val="00990C98"/>
    <w:rPr>
      <w:rFonts w:ascii="Times New Roman" w:eastAsia="Times New Roman" w:hAnsi="Times New Roman" w:cs="Times New Roman"/>
      <w:kern w:val="24"/>
      <w:szCs w:val="24"/>
    </w:rPr>
  </w:style>
  <w:style w:type="paragraph" w:customStyle="1" w:styleId="tajtip">
    <w:name w:val="tajtip"/>
    <w:basedOn w:val="a0"/>
    <w:rsid w:val="00CF4DD6"/>
    <w:pPr>
      <w:spacing w:after="150" w:line="240" w:lineRule="auto"/>
    </w:pPr>
    <w:rPr>
      <w:rFonts w:ascii="Times New Roman" w:eastAsia="Times New Roman" w:hAnsi="Times New Roman" w:cs="Times New Roman"/>
      <w:sz w:val="24"/>
      <w:szCs w:val="24"/>
      <w:lang w:val="et-EE" w:eastAsia="et-EE"/>
    </w:rPr>
  </w:style>
  <w:style w:type="paragraph" w:customStyle="1" w:styleId="taltipfb">
    <w:name w:val="taltipfb"/>
    <w:basedOn w:val="a0"/>
    <w:rsid w:val="00CF4DD6"/>
    <w:pPr>
      <w:spacing w:after="150" w:line="240" w:lineRule="auto"/>
    </w:pPr>
    <w:rPr>
      <w:rFonts w:ascii="Times New Roman" w:eastAsia="Times New Roman" w:hAnsi="Times New Roman" w:cs="Times New Roman"/>
      <w:sz w:val="24"/>
      <w:szCs w:val="24"/>
      <w:lang w:val="et-EE" w:eastAsia="et-EE"/>
    </w:rPr>
  </w:style>
  <w:style w:type="paragraph" w:customStyle="1" w:styleId="SLOAgreementTitle">
    <w:name w:val="SLO Agreement Title"/>
    <w:basedOn w:val="a0"/>
    <w:next w:val="SLONormal"/>
    <w:uiPriority w:val="3"/>
    <w:rsid w:val="00280B74"/>
    <w:pPr>
      <w:keepNext/>
      <w:spacing w:before="360" w:after="360" w:line="240" w:lineRule="auto"/>
      <w:jc w:val="center"/>
    </w:pPr>
    <w:rPr>
      <w:rFonts w:ascii="Times New Roman" w:eastAsia="Times New Roman" w:hAnsi="Times New Roman" w:cs="Times New Roman"/>
      <w:b/>
      <w:caps/>
      <w:spacing w:val="25"/>
      <w:kern w:val="24"/>
      <w:sz w:val="28"/>
      <w:szCs w:val="24"/>
    </w:rPr>
  </w:style>
  <w:style w:type="paragraph" w:customStyle="1" w:styleId="NCNumbering">
    <w:name w:val="NC Numbering"/>
    <w:uiPriority w:val="4"/>
    <w:rsid w:val="00280B74"/>
    <w:pPr>
      <w:numPr>
        <w:numId w:val="1"/>
      </w:numPr>
      <w:spacing w:before="60" w:after="60" w:line="240" w:lineRule="auto"/>
      <w:jc w:val="both"/>
    </w:pPr>
    <w:rPr>
      <w:rFonts w:ascii="Times New Roman" w:eastAsia="Times New Roman" w:hAnsi="Times New Roman" w:cs="Times New Roman"/>
      <w:kern w:val="24"/>
      <w:sz w:val="24"/>
      <w:szCs w:val="24"/>
    </w:rPr>
  </w:style>
  <w:style w:type="character" w:customStyle="1" w:styleId="Hyperlink1">
    <w:name w:val="Hyperlink1"/>
    <w:basedOn w:val="a1"/>
    <w:uiPriority w:val="99"/>
    <w:unhideWhenUsed/>
    <w:rsid w:val="00280B74"/>
    <w:rPr>
      <w:color w:val="0563C1"/>
      <w:u w:val="single"/>
    </w:rPr>
  </w:style>
  <w:style w:type="table" w:styleId="af3">
    <w:name w:val="Table Grid"/>
    <w:basedOn w:val="a2"/>
    <w:uiPriority w:val="39"/>
    <w:rsid w:val="0028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280B74"/>
    <w:rPr>
      <w:color w:val="0563C1" w:themeColor="hyperlink"/>
      <w:u w:val="single"/>
    </w:rPr>
  </w:style>
  <w:style w:type="character" w:customStyle="1" w:styleId="10">
    <w:name w:val="Заголовок 1 Знак"/>
    <w:basedOn w:val="a1"/>
    <w:link w:val="1"/>
    <w:uiPriority w:val="9"/>
    <w:rsid w:val="003B6591"/>
    <w:rPr>
      <w:rFonts w:eastAsiaTheme="majorEastAsia" w:cstheme="majorBidi"/>
      <w:color w:val="1F4E79" w:themeColor="accent1" w:themeShade="80"/>
      <w:sz w:val="36"/>
      <w:szCs w:val="32"/>
    </w:rPr>
  </w:style>
  <w:style w:type="character" w:customStyle="1" w:styleId="20">
    <w:name w:val="Заголовок 2 Знак"/>
    <w:basedOn w:val="a1"/>
    <w:link w:val="2"/>
    <w:uiPriority w:val="9"/>
    <w:rsid w:val="00264D96"/>
    <w:rPr>
      <w:rFonts w:eastAsiaTheme="majorEastAsia" w:cstheme="majorBidi"/>
      <w:color w:val="2E74B5" w:themeColor="accent1" w:themeShade="BF"/>
      <w:sz w:val="32"/>
      <w:szCs w:val="32"/>
    </w:rPr>
  </w:style>
  <w:style w:type="character" w:customStyle="1" w:styleId="30">
    <w:name w:val="Заголовок 3 Знак"/>
    <w:basedOn w:val="a1"/>
    <w:link w:val="3"/>
    <w:uiPriority w:val="9"/>
    <w:rsid w:val="006C000C"/>
    <w:rPr>
      <w:rFonts w:eastAsiaTheme="majorEastAsia" w:cstheme="majorBidi"/>
      <w:color w:val="2E74B5" w:themeColor="accent1" w:themeShade="BF"/>
      <w:sz w:val="28"/>
      <w:szCs w:val="28"/>
    </w:rPr>
  </w:style>
  <w:style w:type="character" w:customStyle="1" w:styleId="40">
    <w:name w:val="Заголовок 4 Знак"/>
    <w:basedOn w:val="a1"/>
    <w:link w:val="4"/>
    <w:uiPriority w:val="9"/>
    <w:rsid w:val="00264D96"/>
    <w:rPr>
      <w:b/>
      <w:i/>
    </w:rPr>
  </w:style>
  <w:style w:type="character" w:customStyle="1" w:styleId="60">
    <w:name w:val="Заголовок 6 Знак"/>
    <w:basedOn w:val="a1"/>
    <w:link w:val="6"/>
    <w:rsid w:val="00943EA1"/>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1"/>
    <w:link w:val="7"/>
    <w:rsid w:val="00943EA1"/>
    <w:rPr>
      <w:rFonts w:asciiTheme="majorHAnsi" w:eastAsiaTheme="majorEastAsia" w:hAnsiTheme="majorHAnsi" w:cstheme="majorBidi"/>
      <w:b/>
      <w:bCs/>
      <w:color w:val="1F4E79" w:themeColor="accent1" w:themeShade="80"/>
    </w:rPr>
  </w:style>
  <w:style w:type="character" w:customStyle="1" w:styleId="80">
    <w:name w:val="Заголовок 8 Знак"/>
    <w:basedOn w:val="a1"/>
    <w:link w:val="8"/>
    <w:rsid w:val="00943EA1"/>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1"/>
    <w:link w:val="9"/>
    <w:rsid w:val="00943EA1"/>
    <w:rPr>
      <w:rFonts w:asciiTheme="majorHAnsi" w:eastAsiaTheme="majorEastAsia" w:hAnsiTheme="majorHAnsi" w:cstheme="majorBidi"/>
      <w:i/>
      <w:iCs/>
      <w:color w:val="1F4E79" w:themeColor="accent1" w:themeShade="80"/>
    </w:rPr>
  </w:style>
  <w:style w:type="paragraph" w:styleId="af5">
    <w:name w:val="Body Text"/>
    <w:basedOn w:val="a0"/>
    <w:link w:val="af6"/>
    <w:rsid w:val="00E859CC"/>
    <w:pPr>
      <w:spacing w:after="240" w:line="240" w:lineRule="auto"/>
    </w:pPr>
    <w:rPr>
      <w:rFonts w:ascii="Times New Roman" w:eastAsia="SimSun" w:hAnsi="Times New Roman" w:cs="Simplified Arabic"/>
      <w:sz w:val="24"/>
      <w:szCs w:val="24"/>
      <w:lang w:eastAsia="en-GB" w:bidi="ar-AE"/>
    </w:rPr>
  </w:style>
  <w:style w:type="character" w:customStyle="1" w:styleId="af6">
    <w:name w:val="Основний текст Знак"/>
    <w:basedOn w:val="a1"/>
    <w:link w:val="af5"/>
    <w:rsid w:val="00E859CC"/>
    <w:rPr>
      <w:rFonts w:ascii="Times New Roman" w:eastAsia="SimSun" w:hAnsi="Times New Roman" w:cs="Simplified Arabic"/>
      <w:sz w:val="24"/>
      <w:szCs w:val="24"/>
      <w:lang w:eastAsia="en-GB" w:bidi="ar-AE"/>
    </w:rPr>
  </w:style>
  <w:style w:type="paragraph" w:customStyle="1" w:styleId="Parties">
    <w:name w:val="Parties"/>
    <w:basedOn w:val="a0"/>
    <w:rsid w:val="00E859CC"/>
    <w:pPr>
      <w:spacing w:after="240" w:line="240" w:lineRule="auto"/>
      <w:jc w:val="center"/>
    </w:pPr>
    <w:rPr>
      <w:rFonts w:ascii="Times New Roman" w:eastAsia="SimSun" w:hAnsi="Times New Roman" w:cs="Simplified Arabic"/>
      <w:caps/>
      <w:sz w:val="24"/>
      <w:szCs w:val="24"/>
      <w:lang w:val="fr-FR" w:eastAsia="zh-CN" w:bidi="ar-AE"/>
    </w:rPr>
  </w:style>
  <w:style w:type="character" w:customStyle="1" w:styleId="50">
    <w:name w:val="Заголовок 5 Знак"/>
    <w:basedOn w:val="a1"/>
    <w:link w:val="5"/>
    <w:uiPriority w:val="9"/>
    <w:rsid w:val="00943EA1"/>
    <w:rPr>
      <w:rFonts w:asciiTheme="majorHAnsi" w:eastAsiaTheme="majorEastAsia" w:hAnsiTheme="majorHAnsi" w:cstheme="majorBidi"/>
      <w:caps/>
      <w:color w:val="2E74B5" w:themeColor="accent1" w:themeShade="BF"/>
    </w:rPr>
  </w:style>
  <w:style w:type="paragraph" w:styleId="af7">
    <w:name w:val="caption"/>
    <w:basedOn w:val="a0"/>
    <w:next w:val="a0"/>
    <w:uiPriority w:val="35"/>
    <w:semiHidden/>
    <w:unhideWhenUsed/>
    <w:qFormat/>
    <w:rsid w:val="00943EA1"/>
    <w:pPr>
      <w:spacing w:line="240" w:lineRule="auto"/>
    </w:pPr>
    <w:rPr>
      <w:b/>
      <w:bCs/>
      <w:smallCaps/>
      <w:color w:val="44546A" w:themeColor="text2"/>
    </w:rPr>
  </w:style>
  <w:style w:type="paragraph" w:styleId="af8">
    <w:name w:val="Title"/>
    <w:basedOn w:val="a0"/>
    <w:next w:val="a0"/>
    <w:link w:val="af9"/>
    <w:uiPriority w:val="10"/>
    <w:qFormat/>
    <w:rsid w:val="00943EA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9">
    <w:name w:val="Назва Знак"/>
    <w:basedOn w:val="a1"/>
    <w:link w:val="af8"/>
    <w:uiPriority w:val="10"/>
    <w:rsid w:val="00943EA1"/>
    <w:rPr>
      <w:rFonts w:asciiTheme="majorHAnsi" w:eastAsiaTheme="majorEastAsia" w:hAnsiTheme="majorHAnsi" w:cstheme="majorBidi"/>
      <w:caps/>
      <w:color w:val="44546A" w:themeColor="text2"/>
      <w:spacing w:val="-15"/>
      <w:sz w:val="72"/>
      <w:szCs w:val="72"/>
    </w:rPr>
  </w:style>
  <w:style w:type="paragraph" w:styleId="afa">
    <w:name w:val="Subtitle"/>
    <w:basedOn w:val="a0"/>
    <w:next w:val="a0"/>
    <w:link w:val="afb"/>
    <w:uiPriority w:val="11"/>
    <w:qFormat/>
    <w:rsid w:val="00943EA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b">
    <w:name w:val="Підзаголовок Знак"/>
    <w:basedOn w:val="a1"/>
    <w:link w:val="afa"/>
    <w:uiPriority w:val="11"/>
    <w:rsid w:val="00943EA1"/>
    <w:rPr>
      <w:rFonts w:asciiTheme="majorHAnsi" w:eastAsiaTheme="majorEastAsia" w:hAnsiTheme="majorHAnsi" w:cstheme="majorBidi"/>
      <w:color w:val="5B9BD5" w:themeColor="accent1"/>
      <w:sz w:val="28"/>
      <w:szCs w:val="28"/>
    </w:rPr>
  </w:style>
  <w:style w:type="character" w:styleId="afc">
    <w:name w:val="Strong"/>
    <w:basedOn w:val="a1"/>
    <w:uiPriority w:val="22"/>
    <w:qFormat/>
    <w:rsid w:val="00943EA1"/>
    <w:rPr>
      <w:b/>
      <w:bCs/>
    </w:rPr>
  </w:style>
  <w:style w:type="character" w:styleId="afd">
    <w:name w:val="Emphasis"/>
    <w:basedOn w:val="a1"/>
    <w:uiPriority w:val="20"/>
    <w:qFormat/>
    <w:rsid w:val="00943EA1"/>
    <w:rPr>
      <w:i/>
      <w:iCs/>
    </w:rPr>
  </w:style>
  <w:style w:type="paragraph" w:styleId="afe">
    <w:name w:val="No Spacing"/>
    <w:uiPriority w:val="1"/>
    <w:qFormat/>
    <w:rsid w:val="00943EA1"/>
    <w:pPr>
      <w:spacing w:after="0" w:line="240" w:lineRule="auto"/>
    </w:pPr>
  </w:style>
  <w:style w:type="paragraph" w:styleId="aff">
    <w:name w:val="Quote"/>
    <w:basedOn w:val="a0"/>
    <w:next w:val="a0"/>
    <w:link w:val="aff0"/>
    <w:qFormat/>
    <w:rsid w:val="00943EA1"/>
    <w:pPr>
      <w:ind w:left="720"/>
    </w:pPr>
    <w:rPr>
      <w:color w:val="44546A" w:themeColor="text2"/>
      <w:sz w:val="24"/>
      <w:szCs w:val="24"/>
    </w:rPr>
  </w:style>
  <w:style w:type="character" w:customStyle="1" w:styleId="aff0">
    <w:name w:val="Цитата Знак"/>
    <w:basedOn w:val="a1"/>
    <w:link w:val="aff"/>
    <w:rsid w:val="00943EA1"/>
    <w:rPr>
      <w:color w:val="44546A" w:themeColor="text2"/>
      <w:sz w:val="24"/>
      <w:szCs w:val="24"/>
    </w:rPr>
  </w:style>
  <w:style w:type="paragraph" w:styleId="aff1">
    <w:name w:val="Intense Quote"/>
    <w:basedOn w:val="a0"/>
    <w:next w:val="a0"/>
    <w:link w:val="aff2"/>
    <w:uiPriority w:val="30"/>
    <w:qFormat/>
    <w:rsid w:val="00943EA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f2">
    <w:name w:val="Насичена цитата Знак"/>
    <w:basedOn w:val="a1"/>
    <w:link w:val="aff1"/>
    <w:uiPriority w:val="30"/>
    <w:rsid w:val="00943EA1"/>
    <w:rPr>
      <w:rFonts w:asciiTheme="majorHAnsi" w:eastAsiaTheme="majorEastAsia" w:hAnsiTheme="majorHAnsi" w:cstheme="majorBidi"/>
      <w:color w:val="44546A" w:themeColor="text2"/>
      <w:spacing w:val="-6"/>
      <w:sz w:val="32"/>
      <w:szCs w:val="32"/>
    </w:rPr>
  </w:style>
  <w:style w:type="character" w:styleId="aff3">
    <w:name w:val="Subtle Emphasis"/>
    <w:basedOn w:val="a1"/>
    <w:uiPriority w:val="19"/>
    <w:qFormat/>
    <w:rsid w:val="00943EA1"/>
    <w:rPr>
      <w:i/>
      <w:iCs/>
      <w:color w:val="595959" w:themeColor="text1" w:themeTint="A6"/>
    </w:rPr>
  </w:style>
  <w:style w:type="character" w:styleId="aff4">
    <w:name w:val="Intense Emphasis"/>
    <w:basedOn w:val="a1"/>
    <w:uiPriority w:val="21"/>
    <w:qFormat/>
    <w:rsid w:val="00943EA1"/>
    <w:rPr>
      <w:b/>
      <w:bCs/>
      <w:i/>
      <w:iCs/>
    </w:rPr>
  </w:style>
  <w:style w:type="character" w:styleId="aff5">
    <w:name w:val="Subtle Reference"/>
    <w:basedOn w:val="a1"/>
    <w:uiPriority w:val="31"/>
    <w:qFormat/>
    <w:rsid w:val="00943EA1"/>
    <w:rPr>
      <w:smallCaps/>
      <w:color w:val="595959" w:themeColor="text1" w:themeTint="A6"/>
      <w:u w:val="none" w:color="7F7F7F" w:themeColor="text1" w:themeTint="80"/>
      <w:bdr w:val="none" w:sz="0" w:space="0" w:color="auto"/>
    </w:rPr>
  </w:style>
  <w:style w:type="character" w:styleId="aff6">
    <w:name w:val="Intense Reference"/>
    <w:basedOn w:val="a1"/>
    <w:uiPriority w:val="32"/>
    <w:qFormat/>
    <w:rsid w:val="00943EA1"/>
    <w:rPr>
      <w:b/>
      <w:bCs/>
      <w:smallCaps/>
      <w:color w:val="44546A" w:themeColor="text2"/>
      <w:u w:val="single"/>
    </w:rPr>
  </w:style>
  <w:style w:type="character" w:styleId="aff7">
    <w:name w:val="Book Title"/>
    <w:basedOn w:val="a1"/>
    <w:uiPriority w:val="33"/>
    <w:qFormat/>
    <w:rsid w:val="00943EA1"/>
    <w:rPr>
      <w:b/>
      <w:bCs/>
      <w:smallCaps/>
      <w:spacing w:val="10"/>
    </w:rPr>
  </w:style>
  <w:style w:type="paragraph" w:styleId="a">
    <w:name w:val="TOC Heading"/>
    <w:basedOn w:val="1"/>
    <w:next w:val="a0"/>
    <w:uiPriority w:val="39"/>
    <w:unhideWhenUsed/>
    <w:qFormat/>
    <w:rsid w:val="00943EA1"/>
    <w:pPr>
      <w:numPr>
        <w:numId w:val="8"/>
      </w:numPr>
      <w:outlineLvl w:val="9"/>
    </w:pPr>
  </w:style>
  <w:style w:type="paragraph" w:styleId="21">
    <w:name w:val="toc 2"/>
    <w:basedOn w:val="a0"/>
    <w:next w:val="a0"/>
    <w:autoRedefine/>
    <w:uiPriority w:val="39"/>
    <w:unhideWhenUsed/>
    <w:rsid w:val="009015FC"/>
    <w:pPr>
      <w:tabs>
        <w:tab w:val="left" w:pos="567"/>
        <w:tab w:val="right" w:leader="dot" w:pos="9060"/>
      </w:tabs>
      <w:spacing w:after="100"/>
      <w:ind w:right="708"/>
    </w:pPr>
  </w:style>
  <w:style w:type="paragraph" w:styleId="11">
    <w:name w:val="toc 1"/>
    <w:basedOn w:val="a0"/>
    <w:next w:val="a0"/>
    <w:autoRedefine/>
    <w:uiPriority w:val="39"/>
    <w:unhideWhenUsed/>
    <w:rsid w:val="00EB3F08"/>
    <w:pPr>
      <w:tabs>
        <w:tab w:val="left" w:pos="440"/>
        <w:tab w:val="right" w:leader="dot" w:pos="9060"/>
      </w:tabs>
      <w:spacing w:after="100"/>
    </w:pPr>
  </w:style>
  <w:style w:type="paragraph" w:styleId="31">
    <w:name w:val="toc 3"/>
    <w:basedOn w:val="a0"/>
    <w:next w:val="a0"/>
    <w:autoRedefine/>
    <w:uiPriority w:val="39"/>
    <w:unhideWhenUsed/>
    <w:rsid w:val="002B671F"/>
    <w:pPr>
      <w:tabs>
        <w:tab w:val="left" w:pos="567"/>
        <w:tab w:val="left" w:pos="1276"/>
        <w:tab w:val="right" w:leader="dot" w:pos="9060"/>
      </w:tabs>
      <w:spacing w:after="100"/>
      <w:ind w:right="708"/>
    </w:pPr>
  </w:style>
  <w:style w:type="paragraph" w:styleId="aff8">
    <w:name w:val="Revision"/>
    <w:hidden/>
    <w:uiPriority w:val="99"/>
    <w:semiHidden/>
    <w:rsid w:val="004F541B"/>
    <w:pPr>
      <w:spacing w:after="0" w:line="240" w:lineRule="auto"/>
    </w:pPr>
  </w:style>
  <w:style w:type="paragraph" w:customStyle="1" w:styleId="Default">
    <w:name w:val="Default"/>
    <w:rsid w:val="004C2E5C"/>
    <w:pPr>
      <w:autoSpaceDE w:val="0"/>
      <w:autoSpaceDN w:val="0"/>
      <w:adjustRightInd w:val="0"/>
      <w:spacing w:after="0" w:line="240" w:lineRule="auto"/>
    </w:pPr>
    <w:rPr>
      <w:rFonts w:ascii="Times New Roman" w:hAnsi="Times New Roman" w:cs="Times New Roman"/>
      <w:color w:val="000000"/>
      <w:sz w:val="24"/>
      <w:szCs w:val="24"/>
      <w:lang w:val="et-EE"/>
    </w:rPr>
  </w:style>
  <w:style w:type="paragraph" w:customStyle="1" w:styleId="1stlevelheading">
    <w:name w:val="1st level (heading)"/>
    <w:next w:val="SLONormal"/>
    <w:uiPriority w:val="1"/>
    <w:qFormat/>
    <w:rsid w:val="00217A64"/>
    <w:pPr>
      <w:keepNext/>
      <w:tabs>
        <w:tab w:val="num" w:pos="964"/>
      </w:tabs>
      <w:spacing w:before="360" w:after="240" w:line="240" w:lineRule="auto"/>
      <w:ind w:left="964" w:hanging="964"/>
      <w:jc w:val="both"/>
    </w:pPr>
    <w:rPr>
      <w:rFonts w:ascii="Times New Roman" w:eastAsia="Times New Roman" w:hAnsi="Times New Roman" w:cs="Times New Roman"/>
      <w:b/>
      <w:caps/>
      <w:spacing w:val="25"/>
      <w:kern w:val="24"/>
      <w:szCs w:val="24"/>
    </w:rPr>
  </w:style>
  <w:style w:type="paragraph" w:customStyle="1" w:styleId="2ndlevelheading">
    <w:name w:val="2nd level (heading)"/>
    <w:basedOn w:val="1stlevelheading"/>
    <w:next w:val="SLONormal"/>
    <w:uiPriority w:val="1"/>
    <w:qFormat/>
    <w:rsid w:val="00217A64"/>
    <w:pPr>
      <w:spacing w:before="240"/>
      <w:outlineLvl w:val="1"/>
    </w:pPr>
    <w:rPr>
      <w:caps w:val="0"/>
      <w:spacing w:val="0"/>
    </w:rPr>
  </w:style>
  <w:style w:type="paragraph" w:customStyle="1" w:styleId="3rdlevelheading">
    <w:name w:val="3rd level (heading)"/>
    <w:basedOn w:val="2ndlevelheading"/>
    <w:next w:val="SLONormal"/>
    <w:uiPriority w:val="1"/>
    <w:qFormat/>
    <w:rsid w:val="00217A64"/>
    <w:pPr>
      <w:tabs>
        <w:tab w:val="clear" w:pos="964"/>
        <w:tab w:val="num" w:pos="1294"/>
      </w:tabs>
      <w:ind w:left="1294"/>
      <w:outlineLvl w:val="2"/>
    </w:pPr>
    <w:rPr>
      <w:i/>
    </w:rPr>
  </w:style>
  <w:style w:type="paragraph" w:customStyle="1" w:styleId="4thlevelheading">
    <w:name w:val="4th level (heading)"/>
    <w:basedOn w:val="3rdlevelheading"/>
    <w:next w:val="SLONormal"/>
    <w:uiPriority w:val="1"/>
    <w:qFormat/>
    <w:rsid w:val="00217A64"/>
    <w:pPr>
      <w:tabs>
        <w:tab w:val="clear" w:pos="129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217A64"/>
    <w:pPr>
      <w:tabs>
        <w:tab w:val="clear" w:pos="1928"/>
        <w:tab w:val="num" w:pos="2835"/>
      </w:tabs>
      <w:ind w:left="2835"/>
    </w:pPr>
    <w:rPr>
      <w:i w:val="0"/>
      <w:u w:val="single"/>
    </w:rPr>
  </w:style>
  <w:style w:type="character" w:customStyle="1" w:styleId="bold1">
    <w:name w:val="bold1"/>
    <w:basedOn w:val="a1"/>
    <w:rsid w:val="0008331D"/>
    <w:rPr>
      <w:b/>
      <w:bCs/>
    </w:rPr>
  </w:style>
  <w:style w:type="paragraph" w:styleId="aff9">
    <w:name w:val="endnote text"/>
    <w:basedOn w:val="a0"/>
    <w:link w:val="affa"/>
    <w:uiPriority w:val="99"/>
    <w:semiHidden/>
    <w:unhideWhenUsed/>
    <w:rsid w:val="0010164E"/>
    <w:pPr>
      <w:spacing w:after="0" w:line="240" w:lineRule="auto"/>
    </w:pPr>
    <w:rPr>
      <w:sz w:val="20"/>
      <w:szCs w:val="20"/>
    </w:rPr>
  </w:style>
  <w:style w:type="character" w:customStyle="1" w:styleId="affa">
    <w:name w:val="Текст кінцевої виноски Знак"/>
    <w:basedOn w:val="a1"/>
    <w:link w:val="aff9"/>
    <w:uiPriority w:val="99"/>
    <w:semiHidden/>
    <w:rsid w:val="0010164E"/>
    <w:rPr>
      <w:sz w:val="20"/>
      <w:szCs w:val="20"/>
    </w:rPr>
  </w:style>
  <w:style w:type="character" w:styleId="affb">
    <w:name w:val="endnote reference"/>
    <w:basedOn w:val="a1"/>
    <w:uiPriority w:val="99"/>
    <w:semiHidden/>
    <w:unhideWhenUsed/>
    <w:rsid w:val="0010164E"/>
    <w:rPr>
      <w:vertAlign w:val="superscript"/>
    </w:rPr>
  </w:style>
  <w:style w:type="table" w:customStyle="1" w:styleId="TableGrid1">
    <w:name w:val="Table Grid1"/>
    <w:basedOn w:val="a2"/>
    <w:next w:val="af3"/>
    <w:uiPriority w:val="39"/>
    <w:rsid w:val="002274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3"/>
    <w:uiPriority w:val="39"/>
    <w:rsid w:val="00030C6A"/>
    <w:pPr>
      <w:spacing w:after="0" w:line="240" w:lineRule="auto"/>
    </w:pPr>
    <w:rPr>
      <w:rFonts w:eastAsia="Calibr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Heading1">
    <w:name w:val="SOR_LDD_Heading 1"/>
    <w:next w:val="a0"/>
    <w:uiPriority w:val="2"/>
    <w:rsid w:val="004C564B"/>
    <w:pPr>
      <w:keepNext/>
      <w:keepLines/>
      <w:numPr>
        <w:numId w:val="6"/>
      </w:numPr>
      <w:spacing w:before="120" w:after="480" w:line="220" w:lineRule="exact"/>
    </w:pPr>
    <w:rPr>
      <w:rFonts w:ascii="Calibri" w:eastAsiaTheme="majorEastAsia" w:hAnsi="Calibri" w:cstheme="majorBidi"/>
      <w:b/>
      <w:caps/>
      <w:color w:val="005293"/>
      <w:sz w:val="24"/>
      <w:szCs w:val="32"/>
    </w:rPr>
  </w:style>
  <w:style w:type="paragraph" w:customStyle="1" w:styleId="SORLDDHeading2">
    <w:name w:val="SOR_LDD_Heading 2"/>
    <w:basedOn w:val="SORLDDHeading1"/>
    <w:next w:val="a0"/>
    <w:uiPriority w:val="2"/>
    <w:rsid w:val="004C564B"/>
    <w:pPr>
      <w:numPr>
        <w:ilvl w:val="1"/>
      </w:numPr>
      <w:spacing w:after="240"/>
    </w:pPr>
    <w:rPr>
      <w:caps w:val="0"/>
      <w:sz w:val="20"/>
    </w:rPr>
  </w:style>
  <w:style w:type="paragraph" w:customStyle="1" w:styleId="SORLDDHeading3">
    <w:name w:val="SOR_LDD_Heading 3"/>
    <w:basedOn w:val="SORLDDHeading2"/>
    <w:uiPriority w:val="6"/>
    <w:rsid w:val="004C564B"/>
    <w:pPr>
      <w:numPr>
        <w:ilvl w:val="2"/>
      </w:numPr>
      <w:spacing w:before="200" w:after="0"/>
    </w:pPr>
    <w:rPr>
      <w:rFonts w:asciiTheme="majorHAnsi" w:hAnsiTheme="majorHAnsi"/>
      <w:color w:val="5B9BD5" w:themeColor="accent1"/>
      <w:sz w:val="18"/>
    </w:rPr>
  </w:style>
  <w:style w:type="paragraph" w:customStyle="1" w:styleId="SORLDDHeading4">
    <w:name w:val="SOR_LDD_Heading 4"/>
    <w:uiPriority w:val="6"/>
    <w:rsid w:val="004C564B"/>
    <w:pPr>
      <w:numPr>
        <w:ilvl w:val="3"/>
        <w:numId w:val="6"/>
      </w:numPr>
      <w:spacing w:before="200"/>
    </w:pPr>
    <w:rPr>
      <w:rFonts w:asciiTheme="majorHAnsi" w:eastAsiaTheme="majorEastAsia" w:hAnsiTheme="majorHAnsi" w:cstheme="majorBidi"/>
      <w:i/>
      <w:iCs/>
      <w:color w:val="2E74B5" w:themeColor="accent1" w:themeShade="BF"/>
      <w:sz w:val="18"/>
    </w:rPr>
  </w:style>
  <w:style w:type="paragraph" w:customStyle="1" w:styleId="SORLDDHeading5">
    <w:name w:val="SOR_LDD_Heading 5"/>
    <w:uiPriority w:val="6"/>
    <w:rsid w:val="004C564B"/>
    <w:pPr>
      <w:keepNext/>
      <w:numPr>
        <w:ilvl w:val="4"/>
        <w:numId w:val="6"/>
      </w:numPr>
      <w:spacing w:before="360" w:after="120" w:line="220" w:lineRule="exact"/>
    </w:pPr>
    <w:rPr>
      <w:rFonts w:asciiTheme="majorHAnsi" w:eastAsiaTheme="majorEastAsia" w:hAnsiTheme="majorHAnsi" w:cstheme="majorBidi"/>
      <w:b/>
      <w:iCs/>
      <w:sz w:val="18"/>
    </w:rPr>
  </w:style>
  <w:style w:type="paragraph" w:customStyle="1" w:styleId="SORLDDHeading6">
    <w:name w:val="SOR_LDD_Heading 6"/>
    <w:uiPriority w:val="6"/>
    <w:rsid w:val="004C564B"/>
    <w:pPr>
      <w:numPr>
        <w:ilvl w:val="5"/>
        <w:numId w:val="6"/>
      </w:numPr>
    </w:pPr>
    <w:rPr>
      <w:rFonts w:ascii="Calibri" w:eastAsiaTheme="majorEastAsia" w:hAnsi="Calibri" w:cstheme="majorBidi"/>
      <w:iCs/>
      <w:sz w:val="18"/>
    </w:rPr>
  </w:style>
  <w:style w:type="paragraph" w:customStyle="1" w:styleId="SORLDDHeading7">
    <w:name w:val="SOR_LDD_Heading 7"/>
    <w:uiPriority w:val="6"/>
    <w:rsid w:val="004C564B"/>
    <w:pPr>
      <w:numPr>
        <w:ilvl w:val="6"/>
        <w:numId w:val="6"/>
      </w:numPr>
    </w:pPr>
    <w:rPr>
      <w:rFonts w:asciiTheme="majorHAnsi" w:eastAsiaTheme="majorEastAsia" w:hAnsiTheme="majorHAnsi" w:cstheme="majorBidi"/>
      <w:i/>
      <w:iCs/>
      <w:color w:val="404040" w:themeColor="text1" w:themeTint="BF"/>
      <w:sz w:val="18"/>
    </w:rPr>
  </w:style>
  <w:style w:type="paragraph" w:customStyle="1" w:styleId="SORLDDHeading8">
    <w:name w:val="SOR_LDD_Heading 8"/>
    <w:uiPriority w:val="6"/>
    <w:rsid w:val="004C564B"/>
    <w:pPr>
      <w:numPr>
        <w:ilvl w:val="7"/>
        <w:numId w:val="6"/>
      </w:numPr>
    </w:pPr>
    <w:rPr>
      <w:rFonts w:asciiTheme="majorHAnsi" w:eastAsiaTheme="majorEastAsia" w:hAnsiTheme="majorHAnsi" w:cstheme="majorBidi"/>
      <w:color w:val="404040" w:themeColor="text1" w:themeTint="BF"/>
      <w:sz w:val="20"/>
      <w:szCs w:val="20"/>
    </w:rPr>
  </w:style>
  <w:style w:type="paragraph" w:customStyle="1" w:styleId="SORLDDHeading9">
    <w:name w:val="SOR_LDD_Heading 9"/>
    <w:uiPriority w:val="6"/>
    <w:rsid w:val="004C564B"/>
    <w:pPr>
      <w:numPr>
        <w:ilvl w:val="8"/>
        <w:numId w:val="6"/>
      </w:numPr>
    </w:pPr>
    <w:rPr>
      <w:rFonts w:asciiTheme="majorHAnsi" w:eastAsiaTheme="majorEastAsia" w:hAnsiTheme="majorHAnsi" w:cstheme="majorBidi"/>
      <w:i/>
      <w:iCs/>
      <w:color w:val="404040" w:themeColor="text1" w:themeTint="BF"/>
      <w:sz w:val="20"/>
      <w:szCs w:val="20"/>
    </w:rPr>
  </w:style>
  <w:style w:type="numbering" w:customStyle="1" w:styleId="SORLDDHeadings">
    <w:name w:val="SOR_LDD_Headings"/>
    <w:uiPriority w:val="99"/>
    <w:rsid w:val="004C564B"/>
    <w:pPr>
      <w:numPr>
        <w:numId w:val="5"/>
      </w:numPr>
    </w:pPr>
  </w:style>
  <w:style w:type="numbering" w:customStyle="1" w:styleId="SLONumberings">
    <w:name w:val="SLO_Numberings"/>
    <w:uiPriority w:val="99"/>
    <w:rsid w:val="004C564B"/>
    <w:pPr>
      <w:numPr>
        <w:numId w:val="7"/>
      </w:numPr>
    </w:pPr>
  </w:style>
  <w:style w:type="table" w:customStyle="1" w:styleId="TableGrid3">
    <w:name w:val="Table Grid3"/>
    <w:basedOn w:val="a2"/>
    <w:next w:val="af3"/>
    <w:uiPriority w:val="39"/>
    <w:rsid w:val="004C564B"/>
    <w:pPr>
      <w:spacing w:after="0" w:line="240" w:lineRule="auto"/>
    </w:pPr>
    <w:rPr>
      <w:rFonts w:eastAsia="Calibr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3"/>
    <w:uiPriority w:val="39"/>
    <w:rsid w:val="009C6443"/>
    <w:pPr>
      <w:spacing w:after="0" w:line="240" w:lineRule="auto"/>
    </w:pPr>
    <w:rPr>
      <w:rFonts w:eastAsia="Calibr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EA36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11">
    <w:name w:val="Grid Table 1 Light - Accent 11"/>
    <w:basedOn w:val="a2"/>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a2"/>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
    <w:name w:val="Table Grid5"/>
    <w:basedOn w:val="a2"/>
    <w:next w:val="af3"/>
    <w:uiPriority w:val="39"/>
    <w:rsid w:val="007A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3"/>
    <w:uiPriority w:val="39"/>
    <w:rsid w:val="007A5D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3"/>
    <w:uiPriority w:val="39"/>
    <w:rsid w:val="003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6A4BA0"/>
    <w:pPr>
      <w:spacing w:before="0" w:after="100"/>
      <w:ind w:left="660"/>
      <w:jc w:val="left"/>
    </w:pPr>
    <w:rPr>
      <w:lang w:val="lv-LV" w:eastAsia="lv-LV"/>
    </w:rPr>
  </w:style>
  <w:style w:type="paragraph" w:styleId="51">
    <w:name w:val="toc 5"/>
    <w:basedOn w:val="a0"/>
    <w:next w:val="a0"/>
    <w:autoRedefine/>
    <w:uiPriority w:val="39"/>
    <w:unhideWhenUsed/>
    <w:rsid w:val="006A4BA0"/>
    <w:pPr>
      <w:spacing w:before="0" w:after="100"/>
      <w:ind w:left="880"/>
      <w:jc w:val="left"/>
    </w:pPr>
    <w:rPr>
      <w:lang w:val="lv-LV" w:eastAsia="lv-LV"/>
    </w:rPr>
  </w:style>
  <w:style w:type="paragraph" w:styleId="61">
    <w:name w:val="toc 6"/>
    <w:basedOn w:val="a0"/>
    <w:next w:val="a0"/>
    <w:autoRedefine/>
    <w:uiPriority w:val="39"/>
    <w:unhideWhenUsed/>
    <w:rsid w:val="006A4BA0"/>
    <w:pPr>
      <w:spacing w:before="0" w:after="100"/>
      <w:ind w:left="1100"/>
      <w:jc w:val="left"/>
    </w:pPr>
    <w:rPr>
      <w:lang w:val="lv-LV" w:eastAsia="lv-LV"/>
    </w:rPr>
  </w:style>
  <w:style w:type="paragraph" w:styleId="71">
    <w:name w:val="toc 7"/>
    <w:basedOn w:val="a0"/>
    <w:next w:val="a0"/>
    <w:autoRedefine/>
    <w:uiPriority w:val="39"/>
    <w:unhideWhenUsed/>
    <w:rsid w:val="006A4BA0"/>
    <w:pPr>
      <w:spacing w:before="0" w:after="100"/>
      <w:ind w:left="1320"/>
      <w:jc w:val="left"/>
    </w:pPr>
    <w:rPr>
      <w:lang w:val="lv-LV" w:eastAsia="lv-LV"/>
    </w:rPr>
  </w:style>
  <w:style w:type="paragraph" w:styleId="81">
    <w:name w:val="toc 8"/>
    <w:basedOn w:val="a0"/>
    <w:next w:val="a0"/>
    <w:autoRedefine/>
    <w:uiPriority w:val="39"/>
    <w:unhideWhenUsed/>
    <w:rsid w:val="006A4BA0"/>
    <w:pPr>
      <w:spacing w:before="0" w:after="100"/>
      <w:ind w:left="1540"/>
      <w:jc w:val="left"/>
    </w:pPr>
    <w:rPr>
      <w:lang w:val="lv-LV" w:eastAsia="lv-LV"/>
    </w:rPr>
  </w:style>
  <w:style w:type="paragraph" w:styleId="91">
    <w:name w:val="toc 9"/>
    <w:basedOn w:val="a0"/>
    <w:next w:val="a0"/>
    <w:autoRedefine/>
    <w:uiPriority w:val="39"/>
    <w:unhideWhenUsed/>
    <w:rsid w:val="006A4BA0"/>
    <w:pPr>
      <w:spacing w:before="0" w:after="100"/>
      <w:ind w:left="1760"/>
      <w:jc w:val="left"/>
    </w:pPr>
    <w:rPr>
      <w:lang w:val="lv-LV" w:eastAsia="lv-LV"/>
    </w:rPr>
  </w:style>
  <w:style w:type="character" w:customStyle="1" w:styleId="UnresolvedMention1">
    <w:name w:val="Unresolved Mention1"/>
    <w:basedOn w:val="a1"/>
    <w:uiPriority w:val="99"/>
    <w:semiHidden/>
    <w:unhideWhenUsed/>
    <w:rsid w:val="006A4BA0"/>
    <w:rPr>
      <w:color w:val="605E5C"/>
      <w:shd w:val="clear" w:color="auto" w:fill="E1DFDD"/>
    </w:rPr>
  </w:style>
  <w:style w:type="paragraph" w:customStyle="1" w:styleId="Body2">
    <w:name w:val="Body 2"/>
    <w:link w:val="Body2Char"/>
    <w:rsid w:val="00A41FEA"/>
    <w:pPr>
      <w:pBdr>
        <w:top w:val="nil"/>
        <w:left w:val="nil"/>
        <w:bottom w:val="nil"/>
        <w:right w:val="nil"/>
        <w:between w:val="nil"/>
        <w:bar w:val="nil"/>
      </w:pBdr>
      <w:spacing w:after="0" w:line="480" w:lineRule="auto"/>
      <w:ind w:firstLine="720"/>
    </w:pPr>
    <w:rPr>
      <w:rFonts w:ascii="Helvetica Neue" w:eastAsia="Arial Unicode MS" w:hAnsi="Helvetica Neue" w:cs="Arial Unicode MS"/>
      <w:color w:val="000000"/>
      <w:sz w:val="24"/>
      <w:szCs w:val="24"/>
      <w:bdr w:val="nil"/>
      <w:lang w:val="en-US" w:eastAsia="uk-UA"/>
    </w:rPr>
  </w:style>
  <w:style w:type="character" w:customStyle="1" w:styleId="Body2Char">
    <w:name w:val="Body 2 Char"/>
    <w:basedOn w:val="a1"/>
    <w:link w:val="Body2"/>
    <w:rsid w:val="00A41FEA"/>
    <w:rPr>
      <w:rFonts w:ascii="Helvetica Neue" w:eastAsia="Arial Unicode MS" w:hAnsi="Helvetica Neue" w:cs="Arial Unicode MS"/>
      <w:color w:val="000000"/>
      <w:sz w:val="24"/>
      <w:szCs w:val="24"/>
      <w:bdr w:val="nil"/>
      <w:lang w:val="en-US" w:eastAsia="uk-UA"/>
    </w:rPr>
  </w:style>
  <w:style w:type="numbering" w:customStyle="1" w:styleId="Dash">
    <w:name w:val="Dash"/>
    <w:rsid w:val="00A41FEA"/>
    <w:pPr>
      <w:numPr>
        <w:numId w:val="12"/>
      </w:numPr>
    </w:pPr>
  </w:style>
  <w:style w:type="paragraph" w:customStyle="1" w:styleId="Footnote">
    <w:name w:val="Footnote"/>
    <w:rsid w:val="00A41FE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uk-UA" w:eastAsia="uk-UA"/>
    </w:rPr>
  </w:style>
  <w:style w:type="paragraph" w:customStyle="1" w:styleId="Heading13">
    <w:name w:val="Heading 13"/>
    <w:basedOn w:val="3"/>
    <w:link w:val="Heading13Char"/>
    <w:qFormat/>
    <w:rsid w:val="00AC5E38"/>
    <w:pPr>
      <w:tabs>
        <w:tab w:val="left" w:pos="990"/>
        <w:tab w:val="left" w:pos="7920"/>
      </w:tabs>
      <w:spacing w:before="40" w:after="0" w:line="259" w:lineRule="auto"/>
      <w:ind w:left="0" w:firstLine="360"/>
      <w:jc w:val="left"/>
    </w:pPr>
    <w:rPr>
      <w:rFonts w:asciiTheme="majorHAnsi" w:hAnsiTheme="majorHAnsi"/>
      <w:color w:val="002060"/>
      <w:szCs w:val="24"/>
      <w:lang w:val="en-US"/>
    </w:rPr>
  </w:style>
  <w:style w:type="character" w:customStyle="1" w:styleId="Heading13Char">
    <w:name w:val="Heading 13 Char"/>
    <w:basedOn w:val="30"/>
    <w:link w:val="Heading13"/>
    <w:rsid w:val="00A41FEA"/>
    <w:rPr>
      <w:rFonts w:asciiTheme="majorHAnsi" w:eastAsiaTheme="majorEastAsia" w:hAnsiTheme="majorHAnsi" w:cstheme="majorBidi"/>
      <w:color w:val="002060"/>
      <w:sz w:val="28"/>
      <w:szCs w:val="24"/>
      <w:lang w:val="en-US"/>
    </w:rPr>
  </w:style>
  <w:style w:type="character" w:styleId="affd">
    <w:name w:val="FollowedHyperlink"/>
    <w:basedOn w:val="a1"/>
    <w:uiPriority w:val="99"/>
    <w:semiHidden/>
    <w:unhideWhenUsed/>
    <w:rsid w:val="008135AD"/>
    <w:rPr>
      <w:color w:val="954F72" w:themeColor="followedHyperlink"/>
      <w:u w:val="single"/>
    </w:rPr>
  </w:style>
  <w:style w:type="paragraph" w:customStyle="1" w:styleId="paragraph">
    <w:name w:val="paragraph"/>
    <w:basedOn w:val="a0"/>
    <w:rsid w:val="0098577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normaltextrun">
    <w:name w:val="normaltextrun"/>
    <w:basedOn w:val="a1"/>
    <w:rsid w:val="00E75749"/>
  </w:style>
  <w:style w:type="character" w:customStyle="1" w:styleId="eop">
    <w:name w:val="eop"/>
    <w:basedOn w:val="a1"/>
    <w:rsid w:val="00E75749"/>
  </w:style>
  <w:style w:type="character" w:customStyle="1" w:styleId="advancedproofingissue">
    <w:name w:val="advancedproofingissue"/>
    <w:basedOn w:val="a1"/>
    <w:rsid w:val="00680111"/>
  </w:style>
  <w:style w:type="character" w:customStyle="1" w:styleId="findhit">
    <w:name w:val="findhit"/>
    <w:basedOn w:val="a1"/>
    <w:rsid w:val="00680111"/>
  </w:style>
  <w:style w:type="table" w:customStyle="1" w:styleId="TableGrid7">
    <w:name w:val="Table Grid7"/>
    <w:basedOn w:val="a2"/>
    <w:next w:val="af3"/>
    <w:uiPriority w:val="39"/>
    <w:rsid w:val="00443010"/>
    <w:pPr>
      <w:spacing w:before="100"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0"/>
    <w:rsid w:val="00130D05"/>
    <w:pPr>
      <w:numPr>
        <w:ilvl w:val="1"/>
        <w:numId w:val="13"/>
      </w:numPr>
    </w:pPr>
  </w:style>
  <w:style w:type="numbering" w:customStyle="1" w:styleId="Style1">
    <w:name w:val="Style1"/>
    <w:uiPriority w:val="99"/>
    <w:rsid w:val="0066169C"/>
    <w:pPr>
      <w:numPr>
        <w:numId w:val="15"/>
      </w:numPr>
    </w:pPr>
  </w:style>
  <w:style w:type="character" w:customStyle="1" w:styleId="UnresolvedMention2">
    <w:name w:val="Unresolved Mention2"/>
    <w:basedOn w:val="a1"/>
    <w:uiPriority w:val="99"/>
    <w:semiHidden/>
    <w:unhideWhenUsed/>
    <w:rsid w:val="00817FB4"/>
    <w:rPr>
      <w:color w:val="605E5C"/>
      <w:shd w:val="clear" w:color="auto" w:fill="E1DFDD"/>
    </w:rPr>
  </w:style>
  <w:style w:type="character" w:customStyle="1" w:styleId="UnresolvedMention3">
    <w:name w:val="Unresolved Mention3"/>
    <w:basedOn w:val="a1"/>
    <w:uiPriority w:val="99"/>
    <w:semiHidden/>
    <w:unhideWhenUsed/>
    <w:rsid w:val="001A1EFA"/>
    <w:rPr>
      <w:color w:val="605E5C"/>
      <w:shd w:val="clear" w:color="auto" w:fill="E1DFDD"/>
    </w:rPr>
  </w:style>
  <w:style w:type="character" w:customStyle="1" w:styleId="UnresolvedMention4">
    <w:name w:val="Unresolved Mention4"/>
    <w:basedOn w:val="a1"/>
    <w:uiPriority w:val="99"/>
    <w:semiHidden/>
    <w:unhideWhenUsed/>
    <w:rsid w:val="00084A4B"/>
    <w:rPr>
      <w:color w:val="605E5C"/>
      <w:shd w:val="clear" w:color="auto" w:fill="E1DFDD"/>
    </w:rPr>
  </w:style>
  <w:style w:type="character" w:customStyle="1" w:styleId="UnresolvedMention5">
    <w:name w:val="Unresolved Mention5"/>
    <w:basedOn w:val="a1"/>
    <w:uiPriority w:val="99"/>
    <w:semiHidden/>
    <w:unhideWhenUsed/>
    <w:rsid w:val="008E5688"/>
    <w:rPr>
      <w:color w:val="605E5C"/>
      <w:shd w:val="clear" w:color="auto" w:fill="E1DFDD"/>
    </w:rPr>
  </w:style>
  <w:style w:type="character" w:customStyle="1" w:styleId="UnresolvedMention6">
    <w:name w:val="Unresolved Mention6"/>
    <w:basedOn w:val="a1"/>
    <w:uiPriority w:val="99"/>
    <w:semiHidden/>
    <w:unhideWhenUsed/>
    <w:rsid w:val="002F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941">
      <w:bodyDiv w:val="1"/>
      <w:marLeft w:val="0"/>
      <w:marRight w:val="0"/>
      <w:marTop w:val="0"/>
      <w:marBottom w:val="0"/>
      <w:divBdr>
        <w:top w:val="none" w:sz="0" w:space="0" w:color="auto"/>
        <w:left w:val="none" w:sz="0" w:space="0" w:color="auto"/>
        <w:bottom w:val="none" w:sz="0" w:space="0" w:color="auto"/>
        <w:right w:val="none" w:sz="0" w:space="0" w:color="auto"/>
      </w:divBdr>
    </w:div>
    <w:div w:id="45765890">
      <w:bodyDiv w:val="1"/>
      <w:marLeft w:val="0"/>
      <w:marRight w:val="0"/>
      <w:marTop w:val="0"/>
      <w:marBottom w:val="0"/>
      <w:divBdr>
        <w:top w:val="none" w:sz="0" w:space="0" w:color="auto"/>
        <w:left w:val="none" w:sz="0" w:space="0" w:color="auto"/>
        <w:bottom w:val="none" w:sz="0" w:space="0" w:color="auto"/>
        <w:right w:val="none" w:sz="0" w:space="0" w:color="auto"/>
      </w:divBdr>
    </w:div>
    <w:div w:id="72967863">
      <w:bodyDiv w:val="1"/>
      <w:marLeft w:val="0"/>
      <w:marRight w:val="0"/>
      <w:marTop w:val="0"/>
      <w:marBottom w:val="0"/>
      <w:divBdr>
        <w:top w:val="none" w:sz="0" w:space="0" w:color="auto"/>
        <w:left w:val="none" w:sz="0" w:space="0" w:color="auto"/>
        <w:bottom w:val="none" w:sz="0" w:space="0" w:color="auto"/>
        <w:right w:val="none" w:sz="0" w:space="0" w:color="auto"/>
      </w:divBdr>
    </w:div>
    <w:div w:id="92432898">
      <w:bodyDiv w:val="1"/>
      <w:marLeft w:val="0"/>
      <w:marRight w:val="0"/>
      <w:marTop w:val="0"/>
      <w:marBottom w:val="0"/>
      <w:divBdr>
        <w:top w:val="none" w:sz="0" w:space="0" w:color="auto"/>
        <w:left w:val="none" w:sz="0" w:space="0" w:color="auto"/>
        <w:bottom w:val="none" w:sz="0" w:space="0" w:color="auto"/>
        <w:right w:val="none" w:sz="0" w:space="0" w:color="auto"/>
      </w:divBdr>
      <w:divsChild>
        <w:div w:id="48573647">
          <w:marLeft w:val="1166"/>
          <w:marRight w:val="0"/>
          <w:marTop w:val="0"/>
          <w:marBottom w:val="0"/>
          <w:divBdr>
            <w:top w:val="none" w:sz="0" w:space="0" w:color="auto"/>
            <w:left w:val="none" w:sz="0" w:space="0" w:color="auto"/>
            <w:bottom w:val="none" w:sz="0" w:space="0" w:color="auto"/>
            <w:right w:val="none" w:sz="0" w:space="0" w:color="auto"/>
          </w:divBdr>
        </w:div>
        <w:div w:id="115416434">
          <w:marLeft w:val="1166"/>
          <w:marRight w:val="0"/>
          <w:marTop w:val="0"/>
          <w:marBottom w:val="0"/>
          <w:divBdr>
            <w:top w:val="none" w:sz="0" w:space="0" w:color="auto"/>
            <w:left w:val="none" w:sz="0" w:space="0" w:color="auto"/>
            <w:bottom w:val="none" w:sz="0" w:space="0" w:color="auto"/>
            <w:right w:val="none" w:sz="0" w:space="0" w:color="auto"/>
          </w:divBdr>
        </w:div>
        <w:div w:id="126944597">
          <w:marLeft w:val="446"/>
          <w:marRight w:val="0"/>
          <w:marTop w:val="0"/>
          <w:marBottom w:val="0"/>
          <w:divBdr>
            <w:top w:val="none" w:sz="0" w:space="0" w:color="auto"/>
            <w:left w:val="none" w:sz="0" w:space="0" w:color="auto"/>
            <w:bottom w:val="none" w:sz="0" w:space="0" w:color="auto"/>
            <w:right w:val="none" w:sz="0" w:space="0" w:color="auto"/>
          </w:divBdr>
        </w:div>
        <w:div w:id="181895093">
          <w:marLeft w:val="1166"/>
          <w:marRight w:val="0"/>
          <w:marTop w:val="0"/>
          <w:marBottom w:val="0"/>
          <w:divBdr>
            <w:top w:val="none" w:sz="0" w:space="0" w:color="auto"/>
            <w:left w:val="none" w:sz="0" w:space="0" w:color="auto"/>
            <w:bottom w:val="none" w:sz="0" w:space="0" w:color="auto"/>
            <w:right w:val="none" w:sz="0" w:space="0" w:color="auto"/>
          </w:divBdr>
        </w:div>
        <w:div w:id="340861401">
          <w:marLeft w:val="1166"/>
          <w:marRight w:val="0"/>
          <w:marTop w:val="0"/>
          <w:marBottom w:val="0"/>
          <w:divBdr>
            <w:top w:val="none" w:sz="0" w:space="0" w:color="auto"/>
            <w:left w:val="none" w:sz="0" w:space="0" w:color="auto"/>
            <w:bottom w:val="none" w:sz="0" w:space="0" w:color="auto"/>
            <w:right w:val="none" w:sz="0" w:space="0" w:color="auto"/>
          </w:divBdr>
        </w:div>
        <w:div w:id="658000641">
          <w:marLeft w:val="1166"/>
          <w:marRight w:val="0"/>
          <w:marTop w:val="0"/>
          <w:marBottom w:val="0"/>
          <w:divBdr>
            <w:top w:val="none" w:sz="0" w:space="0" w:color="auto"/>
            <w:left w:val="none" w:sz="0" w:space="0" w:color="auto"/>
            <w:bottom w:val="none" w:sz="0" w:space="0" w:color="auto"/>
            <w:right w:val="none" w:sz="0" w:space="0" w:color="auto"/>
          </w:divBdr>
        </w:div>
        <w:div w:id="980304132">
          <w:marLeft w:val="1166"/>
          <w:marRight w:val="0"/>
          <w:marTop w:val="0"/>
          <w:marBottom w:val="0"/>
          <w:divBdr>
            <w:top w:val="none" w:sz="0" w:space="0" w:color="auto"/>
            <w:left w:val="none" w:sz="0" w:space="0" w:color="auto"/>
            <w:bottom w:val="none" w:sz="0" w:space="0" w:color="auto"/>
            <w:right w:val="none" w:sz="0" w:space="0" w:color="auto"/>
          </w:divBdr>
        </w:div>
        <w:div w:id="1060639719">
          <w:marLeft w:val="446"/>
          <w:marRight w:val="0"/>
          <w:marTop w:val="0"/>
          <w:marBottom w:val="0"/>
          <w:divBdr>
            <w:top w:val="none" w:sz="0" w:space="0" w:color="auto"/>
            <w:left w:val="none" w:sz="0" w:space="0" w:color="auto"/>
            <w:bottom w:val="none" w:sz="0" w:space="0" w:color="auto"/>
            <w:right w:val="none" w:sz="0" w:space="0" w:color="auto"/>
          </w:divBdr>
        </w:div>
        <w:div w:id="1139345063">
          <w:marLeft w:val="446"/>
          <w:marRight w:val="0"/>
          <w:marTop w:val="0"/>
          <w:marBottom w:val="0"/>
          <w:divBdr>
            <w:top w:val="none" w:sz="0" w:space="0" w:color="auto"/>
            <w:left w:val="none" w:sz="0" w:space="0" w:color="auto"/>
            <w:bottom w:val="none" w:sz="0" w:space="0" w:color="auto"/>
            <w:right w:val="none" w:sz="0" w:space="0" w:color="auto"/>
          </w:divBdr>
        </w:div>
        <w:div w:id="1153371324">
          <w:marLeft w:val="1166"/>
          <w:marRight w:val="0"/>
          <w:marTop w:val="0"/>
          <w:marBottom w:val="0"/>
          <w:divBdr>
            <w:top w:val="none" w:sz="0" w:space="0" w:color="auto"/>
            <w:left w:val="none" w:sz="0" w:space="0" w:color="auto"/>
            <w:bottom w:val="none" w:sz="0" w:space="0" w:color="auto"/>
            <w:right w:val="none" w:sz="0" w:space="0" w:color="auto"/>
          </w:divBdr>
        </w:div>
        <w:div w:id="1277248753">
          <w:marLeft w:val="446"/>
          <w:marRight w:val="0"/>
          <w:marTop w:val="0"/>
          <w:marBottom w:val="0"/>
          <w:divBdr>
            <w:top w:val="none" w:sz="0" w:space="0" w:color="auto"/>
            <w:left w:val="none" w:sz="0" w:space="0" w:color="auto"/>
            <w:bottom w:val="none" w:sz="0" w:space="0" w:color="auto"/>
            <w:right w:val="none" w:sz="0" w:space="0" w:color="auto"/>
          </w:divBdr>
        </w:div>
        <w:div w:id="1299414445">
          <w:marLeft w:val="446"/>
          <w:marRight w:val="0"/>
          <w:marTop w:val="0"/>
          <w:marBottom w:val="0"/>
          <w:divBdr>
            <w:top w:val="none" w:sz="0" w:space="0" w:color="auto"/>
            <w:left w:val="none" w:sz="0" w:space="0" w:color="auto"/>
            <w:bottom w:val="none" w:sz="0" w:space="0" w:color="auto"/>
            <w:right w:val="none" w:sz="0" w:space="0" w:color="auto"/>
          </w:divBdr>
        </w:div>
        <w:div w:id="1388917833">
          <w:marLeft w:val="446"/>
          <w:marRight w:val="0"/>
          <w:marTop w:val="0"/>
          <w:marBottom w:val="0"/>
          <w:divBdr>
            <w:top w:val="none" w:sz="0" w:space="0" w:color="auto"/>
            <w:left w:val="none" w:sz="0" w:space="0" w:color="auto"/>
            <w:bottom w:val="none" w:sz="0" w:space="0" w:color="auto"/>
            <w:right w:val="none" w:sz="0" w:space="0" w:color="auto"/>
          </w:divBdr>
        </w:div>
        <w:div w:id="1476020667">
          <w:marLeft w:val="1166"/>
          <w:marRight w:val="0"/>
          <w:marTop w:val="0"/>
          <w:marBottom w:val="0"/>
          <w:divBdr>
            <w:top w:val="none" w:sz="0" w:space="0" w:color="auto"/>
            <w:left w:val="none" w:sz="0" w:space="0" w:color="auto"/>
            <w:bottom w:val="none" w:sz="0" w:space="0" w:color="auto"/>
            <w:right w:val="none" w:sz="0" w:space="0" w:color="auto"/>
          </w:divBdr>
        </w:div>
        <w:div w:id="2084597018">
          <w:marLeft w:val="1166"/>
          <w:marRight w:val="0"/>
          <w:marTop w:val="0"/>
          <w:marBottom w:val="0"/>
          <w:divBdr>
            <w:top w:val="none" w:sz="0" w:space="0" w:color="auto"/>
            <w:left w:val="none" w:sz="0" w:space="0" w:color="auto"/>
            <w:bottom w:val="none" w:sz="0" w:space="0" w:color="auto"/>
            <w:right w:val="none" w:sz="0" w:space="0" w:color="auto"/>
          </w:divBdr>
        </w:div>
      </w:divsChild>
    </w:div>
    <w:div w:id="149323727">
      <w:bodyDiv w:val="1"/>
      <w:marLeft w:val="0"/>
      <w:marRight w:val="0"/>
      <w:marTop w:val="0"/>
      <w:marBottom w:val="0"/>
      <w:divBdr>
        <w:top w:val="none" w:sz="0" w:space="0" w:color="auto"/>
        <w:left w:val="none" w:sz="0" w:space="0" w:color="auto"/>
        <w:bottom w:val="none" w:sz="0" w:space="0" w:color="auto"/>
        <w:right w:val="none" w:sz="0" w:space="0" w:color="auto"/>
      </w:divBdr>
      <w:divsChild>
        <w:div w:id="564529002">
          <w:marLeft w:val="0"/>
          <w:marRight w:val="0"/>
          <w:marTop w:val="0"/>
          <w:marBottom w:val="0"/>
          <w:divBdr>
            <w:top w:val="none" w:sz="0" w:space="0" w:color="auto"/>
            <w:left w:val="none" w:sz="0" w:space="0" w:color="auto"/>
            <w:bottom w:val="none" w:sz="0" w:space="0" w:color="auto"/>
            <w:right w:val="none" w:sz="0" w:space="0" w:color="auto"/>
          </w:divBdr>
        </w:div>
        <w:div w:id="1031762053">
          <w:marLeft w:val="0"/>
          <w:marRight w:val="0"/>
          <w:marTop w:val="0"/>
          <w:marBottom w:val="0"/>
          <w:divBdr>
            <w:top w:val="none" w:sz="0" w:space="0" w:color="auto"/>
            <w:left w:val="none" w:sz="0" w:space="0" w:color="auto"/>
            <w:bottom w:val="none" w:sz="0" w:space="0" w:color="auto"/>
            <w:right w:val="none" w:sz="0" w:space="0" w:color="auto"/>
          </w:divBdr>
        </w:div>
        <w:div w:id="1343120669">
          <w:marLeft w:val="0"/>
          <w:marRight w:val="0"/>
          <w:marTop w:val="0"/>
          <w:marBottom w:val="0"/>
          <w:divBdr>
            <w:top w:val="none" w:sz="0" w:space="0" w:color="auto"/>
            <w:left w:val="none" w:sz="0" w:space="0" w:color="auto"/>
            <w:bottom w:val="none" w:sz="0" w:space="0" w:color="auto"/>
            <w:right w:val="none" w:sz="0" w:space="0" w:color="auto"/>
          </w:divBdr>
        </w:div>
      </w:divsChild>
    </w:div>
    <w:div w:id="194780711">
      <w:bodyDiv w:val="1"/>
      <w:marLeft w:val="0"/>
      <w:marRight w:val="0"/>
      <w:marTop w:val="0"/>
      <w:marBottom w:val="0"/>
      <w:divBdr>
        <w:top w:val="none" w:sz="0" w:space="0" w:color="auto"/>
        <w:left w:val="none" w:sz="0" w:space="0" w:color="auto"/>
        <w:bottom w:val="none" w:sz="0" w:space="0" w:color="auto"/>
        <w:right w:val="none" w:sz="0" w:space="0" w:color="auto"/>
      </w:divBdr>
    </w:div>
    <w:div w:id="221596675">
      <w:bodyDiv w:val="1"/>
      <w:marLeft w:val="0"/>
      <w:marRight w:val="0"/>
      <w:marTop w:val="0"/>
      <w:marBottom w:val="0"/>
      <w:divBdr>
        <w:top w:val="none" w:sz="0" w:space="0" w:color="auto"/>
        <w:left w:val="none" w:sz="0" w:space="0" w:color="auto"/>
        <w:bottom w:val="none" w:sz="0" w:space="0" w:color="auto"/>
        <w:right w:val="none" w:sz="0" w:space="0" w:color="auto"/>
      </w:divBdr>
      <w:divsChild>
        <w:div w:id="1610088565">
          <w:marLeft w:val="0"/>
          <w:marRight w:val="0"/>
          <w:marTop w:val="0"/>
          <w:marBottom w:val="0"/>
          <w:divBdr>
            <w:top w:val="none" w:sz="0" w:space="0" w:color="auto"/>
            <w:left w:val="none" w:sz="0" w:space="0" w:color="auto"/>
            <w:bottom w:val="none" w:sz="0" w:space="0" w:color="auto"/>
            <w:right w:val="none" w:sz="0" w:space="0" w:color="auto"/>
          </w:divBdr>
        </w:div>
      </w:divsChild>
    </w:div>
    <w:div w:id="221986320">
      <w:bodyDiv w:val="1"/>
      <w:marLeft w:val="0"/>
      <w:marRight w:val="0"/>
      <w:marTop w:val="0"/>
      <w:marBottom w:val="0"/>
      <w:divBdr>
        <w:top w:val="none" w:sz="0" w:space="0" w:color="auto"/>
        <w:left w:val="none" w:sz="0" w:space="0" w:color="auto"/>
        <w:bottom w:val="none" w:sz="0" w:space="0" w:color="auto"/>
        <w:right w:val="none" w:sz="0" w:space="0" w:color="auto"/>
      </w:divBdr>
    </w:div>
    <w:div w:id="260262722">
      <w:bodyDiv w:val="1"/>
      <w:marLeft w:val="0"/>
      <w:marRight w:val="0"/>
      <w:marTop w:val="0"/>
      <w:marBottom w:val="0"/>
      <w:divBdr>
        <w:top w:val="none" w:sz="0" w:space="0" w:color="auto"/>
        <w:left w:val="none" w:sz="0" w:space="0" w:color="auto"/>
        <w:bottom w:val="none" w:sz="0" w:space="0" w:color="auto"/>
        <w:right w:val="none" w:sz="0" w:space="0" w:color="auto"/>
      </w:divBdr>
    </w:div>
    <w:div w:id="300959926">
      <w:bodyDiv w:val="1"/>
      <w:marLeft w:val="0"/>
      <w:marRight w:val="0"/>
      <w:marTop w:val="0"/>
      <w:marBottom w:val="0"/>
      <w:divBdr>
        <w:top w:val="none" w:sz="0" w:space="0" w:color="auto"/>
        <w:left w:val="none" w:sz="0" w:space="0" w:color="auto"/>
        <w:bottom w:val="none" w:sz="0" w:space="0" w:color="auto"/>
        <w:right w:val="none" w:sz="0" w:space="0" w:color="auto"/>
      </w:divBdr>
    </w:div>
    <w:div w:id="345206121">
      <w:bodyDiv w:val="1"/>
      <w:marLeft w:val="0"/>
      <w:marRight w:val="0"/>
      <w:marTop w:val="0"/>
      <w:marBottom w:val="0"/>
      <w:divBdr>
        <w:top w:val="none" w:sz="0" w:space="0" w:color="auto"/>
        <w:left w:val="none" w:sz="0" w:space="0" w:color="auto"/>
        <w:bottom w:val="none" w:sz="0" w:space="0" w:color="auto"/>
        <w:right w:val="none" w:sz="0" w:space="0" w:color="auto"/>
      </w:divBdr>
    </w:div>
    <w:div w:id="368915382">
      <w:bodyDiv w:val="1"/>
      <w:marLeft w:val="0"/>
      <w:marRight w:val="0"/>
      <w:marTop w:val="0"/>
      <w:marBottom w:val="0"/>
      <w:divBdr>
        <w:top w:val="none" w:sz="0" w:space="0" w:color="auto"/>
        <w:left w:val="none" w:sz="0" w:space="0" w:color="auto"/>
        <w:bottom w:val="none" w:sz="0" w:space="0" w:color="auto"/>
        <w:right w:val="none" w:sz="0" w:space="0" w:color="auto"/>
      </w:divBdr>
    </w:div>
    <w:div w:id="417678338">
      <w:bodyDiv w:val="1"/>
      <w:marLeft w:val="0"/>
      <w:marRight w:val="0"/>
      <w:marTop w:val="0"/>
      <w:marBottom w:val="0"/>
      <w:divBdr>
        <w:top w:val="none" w:sz="0" w:space="0" w:color="auto"/>
        <w:left w:val="none" w:sz="0" w:space="0" w:color="auto"/>
        <w:bottom w:val="none" w:sz="0" w:space="0" w:color="auto"/>
        <w:right w:val="none" w:sz="0" w:space="0" w:color="auto"/>
      </w:divBdr>
    </w:div>
    <w:div w:id="446436771">
      <w:bodyDiv w:val="1"/>
      <w:marLeft w:val="0"/>
      <w:marRight w:val="0"/>
      <w:marTop w:val="0"/>
      <w:marBottom w:val="0"/>
      <w:divBdr>
        <w:top w:val="none" w:sz="0" w:space="0" w:color="auto"/>
        <w:left w:val="none" w:sz="0" w:space="0" w:color="auto"/>
        <w:bottom w:val="none" w:sz="0" w:space="0" w:color="auto"/>
        <w:right w:val="none" w:sz="0" w:space="0" w:color="auto"/>
      </w:divBdr>
    </w:div>
    <w:div w:id="456067904">
      <w:bodyDiv w:val="1"/>
      <w:marLeft w:val="0"/>
      <w:marRight w:val="0"/>
      <w:marTop w:val="0"/>
      <w:marBottom w:val="0"/>
      <w:divBdr>
        <w:top w:val="none" w:sz="0" w:space="0" w:color="auto"/>
        <w:left w:val="none" w:sz="0" w:space="0" w:color="auto"/>
        <w:bottom w:val="none" w:sz="0" w:space="0" w:color="auto"/>
        <w:right w:val="none" w:sz="0" w:space="0" w:color="auto"/>
      </w:divBdr>
    </w:div>
    <w:div w:id="464011476">
      <w:bodyDiv w:val="1"/>
      <w:marLeft w:val="0"/>
      <w:marRight w:val="0"/>
      <w:marTop w:val="0"/>
      <w:marBottom w:val="0"/>
      <w:divBdr>
        <w:top w:val="none" w:sz="0" w:space="0" w:color="auto"/>
        <w:left w:val="none" w:sz="0" w:space="0" w:color="auto"/>
        <w:bottom w:val="none" w:sz="0" w:space="0" w:color="auto"/>
        <w:right w:val="none" w:sz="0" w:space="0" w:color="auto"/>
      </w:divBdr>
      <w:divsChild>
        <w:div w:id="410271890">
          <w:marLeft w:val="1166"/>
          <w:marRight w:val="0"/>
          <w:marTop w:val="0"/>
          <w:marBottom w:val="0"/>
          <w:divBdr>
            <w:top w:val="none" w:sz="0" w:space="0" w:color="auto"/>
            <w:left w:val="none" w:sz="0" w:space="0" w:color="auto"/>
            <w:bottom w:val="none" w:sz="0" w:space="0" w:color="auto"/>
            <w:right w:val="none" w:sz="0" w:space="0" w:color="auto"/>
          </w:divBdr>
        </w:div>
        <w:div w:id="423956517">
          <w:marLeft w:val="446"/>
          <w:marRight w:val="0"/>
          <w:marTop w:val="0"/>
          <w:marBottom w:val="0"/>
          <w:divBdr>
            <w:top w:val="none" w:sz="0" w:space="0" w:color="auto"/>
            <w:left w:val="none" w:sz="0" w:space="0" w:color="auto"/>
            <w:bottom w:val="none" w:sz="0" w:space="0" w:color="auto"/>
            <w:right w:val="none" w:sz="0" w:space="0" w:color="auto"/>
          </w:divBdr>
        </w:div>
        <w:div w:id="618530235">
          <w:marLeft w:val="1166"/>
          <w:marRight w:val="0"/>
          <w:marTop w:val="0"/>
          <w:marBottom w:val="0"/>
          <w:divBdr>
            <w:top w:val="none" w:sz="0" w:space="0" w:color="auto"/>
            <w:left w:val="none" w:sz="0" w:space="0" w:color="auto"/>
            <w:bottom w:val="none" w:sz="0" w:space="0" w:color="auto"/>
            <w:right w:val="none" w:sz="0" w:space="0" w:color="auto"/>
          </w:divBdr>
        </w:div>
        <w:div w:id="1147741238">
          <w:marLeft w:val="1166"/>
          <w:marRight w:val="0"/>
          <w:marTop w:val="0"/>
          <w:marBottom w:val="0"/>
          <w:divBdr>
            <w:top w:val="none" w:sz="0" w:space="0" w:color="auto"/>
            <w:left w:val="none" w:sz="0" w:space="0" w:color="auto"/>
            <w:bottom w:val="none" w:sz="0" w:space="0" w:color="auto"/>
            <w:right w:val="none" w:sz="0" w:space="0" w:color="auto"/>
          </w:divBdr>
        </w:div>
        <w:div w:id="1200821634">
          <w:marLeft w:val="446"/>
          <w:marRight w:val="0"/>
          <w:marTop w:val="0"/>
          <w:marBottom w:val="0"/>
          <w:divBdr>
            <w:top w:val="none" w:sz="0" w:space="0" w:color="auto"/>
            <w:left w:val="none" w:sz="0" w:space="0" w:color="auto"/>
            <w:bottom w:val="none" w:sz="0" w:space="0" w:color="auto"/>
            <w:right w:val="none" w:sz="0" w:space="0" w:color="auto"/>
          </w:divBdr>
        </w:div>
        <w:div w:id="1261523657">
          <w:marLeft w:val="1166"/>
          <w:marRight w:val="0"/>
          <w:marTop w:val="0"/>
          <w:marBottom w:val="0"/>
          <w:divBdr>
            <w:top w:val="none" w:sz="0" w:space="0" w:color="auto"/>
            <w:left w:val="none" w:sz="0" w:space="0" w:color="auto"/>
            <w:bottom w:val="none" w:sz="0" w:space="0" w:color="auto"/>
            <w:right w:val="none" w:sz="0" w:space="0" w:color="auto"/>
          </w:divBdr>
        </w:div>
        <w:div w:id="1278441087">
          <w:marLeft w:val="1166"/>
          <w:marRight w:val="0"/>
          <w:marTop w:val="0"/>
          <w:marBottom w:val="0"/>
          <w:divBdr>
            <w:top w:val="none" w:sz="0" w:space="0" w:color="auto"/>
            <w:left w:val="none" w:sz="0" w:space="0" w:color="auto"/>
            <w:bottom w:val="none" w:sz="0" w:space="0" w:color="auto"/>
            <w:right w:val="none" w:sz="0" w:space="0" w:color="auto"/>
          </w:divBdr>
        </w:div>
        <w:div w:id="2012831994">
          <w:marLeft w:val="1166"/>
          <w:marRight w:val="0"/>
          <w:marTop w:val="0"/>
          <w:marBottom w:val="0"/>
          <w:divBdr>
            <w:top w:val="none" w:sz="0" w:space="0" w:color="auto"/>
            <w:left w:val="none" w:sz="0" w:space="0" w:color="auto"/>
            <w:bottom w:val="none" w:sz="0" w:space="0" w:color="auto"/>
            <w:right w:val="none" w:sz="0" w:space="0" w:color="auto"/>
          </w:divBdr>
        </w:div>
        <w:div w:id="2105804743">
          <w:marLeft w:val="1166"/>
          <w:marRight w:val="0"/>
          <w:marTop w:val="0"/>
          <w:marBottom w:val="0"/>
          <w:divBdr>
            <w:top w:val="none" w:sz="0" w:space="0" w:color="auto"/>
            <w:left w:val="none" w:sz="0" w:space="0" w:color="auto"/>
            <w:bottom w:val="none" w:sz="0" w:space="0" w:color="auto"/>
            <w:right w:val="none" w:sz="0" w:space="0" w:color="auto"/>
          </w:divBdr>
        </w:div>
        <w:div w:id="2142185051">
          <w:marLeft w:val="1166"/>
          <w:marRight w:val="0"/>
          <w:marTop w:val="0"/>
          <w:marBottom w:val="0"/>
          <w:divBdr>
            <w:top w:val="none" w:sz="0" w:space="0" w:color="auto"/>
            <w:left w:val="none" w:sz="0" w:space="0" w:color="auto"/>
            <w:bottom w:val="none" w:sz="0" w:space="0" w:color="auto"/>
            <w:right w:val="none" w:sz="0" w:space="0" w:color="auto"/>
          </w:divBdr>
        </w:div>
      </w:divsChild>
    </w:div>
    <w:div w:id="481773874">
      <w:bodyDiv w:val="1"/>
      <w:marLeft w:val="0"/>
      <w:marRight w:val="0"/>
      <w:marTop w:val="0"/>
      <w:marBottom w:val="0"/>
      <w:divBdr>
        <w:top w:val="none" w:sz="0" w:space="0" w:color="auto"/>
        <w:left w:val="none" w:sz="0" w:space="0" w:color="auto"/>
        <w:bottom w:val="none" w:sz="0" w:space="0" w:color="auto"/>
        <w:right w:val="none" w:sz="0" w:space="0" w:color="auto"/>
      </w:divBdr>
    </w:div>
    <w:div w:id="492840391">
      <w:bodyDiv w:val="1"/>
      <w:marLeft w:val="0"/>
      <w:marRight w:val="0"/>
      <w:marTop w:val="0"/>
      <w:marBottom w:val="0"/>
      <w:divBdr>
        <w:top w:val="none" w:sz="0" w:space="0" w:color="auto"/>
        <w:left w:val="none" w:sz="0" w:space="0" w:color="auto"/>
        <w:bottom w:val="none" w:sz="0" w:space="0" w:color="auto"/>
        <w:right w:val="none" w:sz="0" w:space="0" w:color="auto"/>
      </w:divBdr>
    </w:div>
    <w:div w:id="520053325">
      <w:bodyDiv w:val="1"/>
      <w:marLeft w:val="0"/>
      <w:marRight w:val="0"/>
      <w:marTop w:val="0"/>
      <w:marBottom w:val="0"/>
      <w:divBdr>
        <w:top w:val="none" w:sz="0" w:space="0" w:color="auto"/>
        <w:left w:val="none" w:sz="0" w:space="0" w:color="auto"/>
        <w:bottom w:val="none" w:sz="0" w:space="0" w:color="auto"/>
        <w:right w:val="none" w:sz="0" w:space="0" w:color="auto"/>
      </w:divBdr>
    </w:div>
    <w:div w:id="593631884">
      <w:bodyDiv w:val="1"/>
      <w:marLeft w:val="0"/>
      <w:marRight w:val="0"/>
      <w:marTop w:val="0"/>
      <w:marBottom w:val="0"/>
      <w:divBdr>
        <w:top w:val="none" w:sz="0" w:space="0" w:color="auto"/>
        <w:left w:val="none" w:sz="0" w:space="0" w:color="auto"/>
        <w:bottom w:val="none" w:sz="0" w:space="0" w:color="auto"/>
        <w:right w:val="none" w:sz="0" w:space="0" w:color="auto"/>
      </w:divBdr>
    </w:div>
    <w:div w:id="671488125">
      <w:bodyDiv w:val="1"/>
      <w:marLeft w:val="0"/>
      <w:marRight w:val="0"/>
      <w:marTop w:val="0"/>
      <w:marBottom w:val="0"/>
      <w:divBdr>
        <w:top w:val="none" w:sz="0" w:space="0" w:color="auto"/>
        <w:left w:val="none" w:sz="0" w:space="0" w:color="auto"/>
        <w:bottom w:val="none" w:sz="0" w:space="0" w:color="auto"/>
        <w:right w:val="none" w:sz="0" w:space="0" w:color="auto"/>
      </w:divBdr>
      <w:divsChild>
        <w:div w:id="152532985">
          <w:marLeft w:val="0"/>
          <w:marRight w:val="0"/>
          <w:marTop w:val="0"/>
          <w:marBottom w:val="0"/>
          <w:divBdr>
            <w:top w:val="none" w:sz="0" w:space="0" w:color="auto"/>
            <w:left w:val="none" w:sz="0" w:space="0" w:color="auto"/>
            <w:bottom w:val="none" w:sz="0" w:space="0" w:color="auto"/>
            <w:right w:val="none" w:sz="0" w:space="0" w:color="auto"/>
          </w:divBdr>
          <w:divsChild>
            <w:div w:id="1727142140">
              <w:marLeft w:val="0"/>
              <w:marRight w:val="0"/>
              <w:marTop w:val="0"/>
              <w:marBottom w:val="0"/>
              <w:divBdr>
                <w:top w:val="none" w:sz="0" w:space="0" w:color="auto"/>
                <w:left w:val="none" w:sz="0" w:space="0" w:color="auto"/>
                <w:bottom w:val="none" w:sz="0" w:space="0" w:color="auto"/>
                <w:right w:val="none" w:sz="0" w:space="0" w:color="auto"/>
              </w:divBdr>
              <w:divsChild>
                <w:div w:id="229119304">
                  <w:marLeft w:val="0"/>
                  <w:marRight w:val="0"/>
                  <w:marTop w:val="0"/>
                  <w:marBottom w:val="0"/>
                  <w:divBdr>
                    <w:top w:val="none" w:sz="0" w:space="0" w:color="auto"/>
                    <w:left w:val="none" w:sz="0" w:space="0" w:color="auto"/>
                    <w:bottom w:val="none" w:sz="0" w:space="0" w:color="auto"/>
                    <w:right w:val="none" w:sz="0" w:space="0" w:color="auto"/>
                  </w:divBdr>
                  <w:divsChild>
                    <w:div w:id="2065132679">
                      <w:marLeft w:val="0"/>
                      <w:marRight w:val="0"/>
                      <w:marTop w:val="0"/>
                      <w:marBottom w:val="0"/>
                      <w:divBdr>
                        <w:top w:val="none" w:sz="0" w:space="0" w:color="auto"/>
                        <w:left w:val="none" w:sz="0" w:space="0" w:color="auto"/>
                        <w:bottom w:val="none" w:sz="0" w:space="0" w:color="auto"/>
                        <w:right w:val="none" w:sz="0" w:space="0" w:color="auto"/>
                      </w:divBdr>
                      <w:divsChild>
                        <w:div w:id="5203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70499">
      <w:bodyDiv w:val="1"/>
      <w:marLeft w:val="0"/>
      <w:marRight w:val="0"/>
      <w:marTop w:val="0"/>
      <w:marBottom w:val="0"/>
      <w:divBdr>
        <w:top w:val="none" w:sz="0" w:space="0" w:color="auto"/>
        <w:left w:val="none" w:sz="0" w:space="0" w:color="auto"/>
        <w:bottom w:val="none" w:sz="0" w:space="0" w:color="auto"/>
        <w:right w:val="none" w:sz="0" w:space="0" w:color="auto"/>
      </w:divBdr>
    </w:div>
    <w:div w:id="687565431">
      <w:bodyDiv w:val="1"/>
      <w:marLeft w:val="0"/>
      <w:marRight w:val="0"/>
      <w:marTop w:val="0"/>
      <w:marBottom w:val="0"/>
      <w:divBdr>
        <w:top w:val="none" w:sz="0" w:space="0" w:color="auto"/>
        <w:left w:val="none" w:sz="0" w:space="0" w:color="auto"/>
        <w:bottom w:val="none" w:sz="0" w:space="0" w:color="auto"/>
        <w:right w:val="none" w:sz="0" w:space="0" w:color="auto"/>
      </w:divBdr>
    </w:div>
    <w:div w:id="855583225">
      <w:bodyDiv w:val="1"/>
      <w:marLeft w:val="0"/>
      <w:marRight w:val="0"/>
      <w:marTop w:val="0"/>
      <w:marBottom w:val="0"/>
      <w:divBdr>
        <w:top w:val="none" w:sz="0" w:space="0" w:color="auto"/>
        <w:left w:val="none" w:sz="0" w:space="0" w:color="auto"/>
        <w:bottom w:val="none" w:sz="0" w:space="0" w:color="auto"/>
        <w:right w:val="none" w:sz="0" w:space="0" w:color="auto"/>
      </w:divBdr>
    </w:div>
    <w:div w:id="860363767">
      <w:bodyDiv w:val="1"/>
      <w:marLeft w:val="0"/>
      <w:marRight w:val="0"/>
      <w:marTop w:val="0"/>
      <w:marBottom w:val="0"/>
      <w:divBdr>
        <w:top w:val="none" w:sz="0" w:space="0" w:color="auto"/>
        <w:left w:val="none" w:sz="0" w:space="0" w:color="auto"/>
        <w:bottom w:val="none" w:sz="0" w:space="0" w:color="auto"/>
        <w:right w:val="none" w:sz="0" w:space="0" w:color="auto"/>
      </w:divBdr>
      <w:divsChild>
        <w:div w:id="196435612">
          <w:marLeft w:val="0"/>
          <w:marRight w:val="0"/>
          <w:marTop w:val="0"/>
          <w:marBottom w:val="0"/>
          <w:divBdr>
            <w:top w:val="none" w:sz="0" w:space="0" w:color="auto"/>
            <w:left w:val="none" w:sz="0" w:space="0" w:color="auto"/>
            <w:bottom w:val="none" w:sz="0" w:space="0" w:color="auto"/>
            <w:right w:val="none" w:sz="0" w:space="0" w:color="auto"/>
          </w:divBdr>
          <w:divsChild>
            <w:div w:id="719672056">
              <w:marLeft w:val="0"/>
              <w:marRight w:val="0"/>
              <w:marTop w:val="0"/>
              <w:marBottom w:val="0"/>
              <w:divBdr>
                <w:top w:val="none" w:sz="0" w:space="0" w:color="auto"/>
                <w:left w:val="none" w:sz="0" w:space="0" w:color="auto"/>
                <w:bottom w:val="none" w:sz="0" w:space="0" w:color="auto"/>
                <w:right w:val="none" w:sz="0" w:space="0" w:color="auto"/>
              </w:divBdr>
              <w:divsChild>
                <w:div w:id="345981064">
                  <w:marLeft w:val="0"/>
                  <w:marRight w:val="0"/>
                  <w:marTop w:val="0"/>
                  <w:marBottom w:val="0"/>
                  <w:divBdr>
                    <w:top w:val="none" w:sz="0" w:space="0" w:color="auto"/>
                    <w:left w:val="none" w:sz="0" w:space="0" w:color="auto"/>
                    <w:bottom w:val="none" w:sz="0" w:space="0" w:color="auto"/>
                    <w:right w:val="none" w:sz="0" w:space="0" w:color="auto"/>
                  </w:divBdr>
                  <w:divsChild>
                    <w:div w:id="75984807">
                      <w:marLeft w:val="0"/>
                      <w:marRight w:val="0"/>
                      <w:marTop w:val="0"/>
                      <w:marBottom w:val="0"/>
                      <w:divBdr>
                        <w:top w:val="none" w:sz="0" w:space="0" w:color="auto"/>
                        <w:left w:val="none" w:sz="0" w:space="0" w:color="auto"/>
                        <w:bottom w:val="none" w:sz="0" w:space="0" w:color="auto"/>
                        <w:right w:val="none" w:sz="0" w:space="0" w:color="auto"/>
                      </w:divBdr>
                      <w:divsChild>
                        <w:div w:id="1375472137">
                          <w:marLeft w:val="0"/>
                          <w:marRight w:val="0"/>
                          <w:marTop w:val="0"/>
                          <w:marBottom w:val="0"/>
                          <w:divBdr>
                            <w:top w:val="none" w:sz="0" w:space="0" w:color="auto"/>
                            <w:left w:val="none" w:sz="0" w:space="0" w:color="auto"/>
                            <w:bottom w:val="none" w:sz="0" w:space="0" w:color="auto"/>
                            <w:right w:val="none" w:sz="0" w:space="0" w:color="auto"/>
                          </w:divBdr>
                          <w:divsChild>
                            <w:div w:id="788165381">
                              <w:marLeft w:val="0"/>
                              <w:marRight w:val="0"/>
                              <w:marTop w:val="105"/>
                              <w:marBottom w:val="30"/>
                              <w:divBdr>
                                <w:top w:val="none" w:sz="0" w:space="0" w:color="auto"/>
                                <w:left w:val="none" w:sz="0" w:space="0" w:color="auto"/>
                                <w:bottom w:val="none" w:sz="0" w:space="0" w:color="auto"/>
                                <w:right w:val="none" w:sz="0" w:space="0" w:color="auto"/>
                              </w:divBdr>
                              <w:divsChild>
                                <w:div w:id="294221517">
                                  <w:marLeft w:val="0"/>
                                  <w:marRight w:val="0"/>
                                  <w:marTop w:val="0"/>
                                  <w:marBottom w:val="0"/>
                                  <w:divBdr>
                                    <w:top w:val="none" w:sz="0" w:space="0" w:color="auto"/>
                                    <w:left w:val="none" w:sz="0" w:space="0" w:color="auto"/>
                                    <w:bottom w:val="none" w:sz="0" w:space="0" w:color="auto"/>
                                    <w:right w:val="none" w:sz="0" w:space="0" w:color="auto"/>
                                  </w:divBdr>
                                  <w:divsChild>
                                    <w:div w:id="1045832333">
                                      <w:marLeft w:val="0"/>
                                      <w:marRight w:val="0"/>
                                      <w:marTop w:val="0"/>
                                      <w:marBottom w:val="0"/>
                                      <w:divBdr>
                                        <w:top w:val="none" w:sz="0" w:space="0" w:color="auto"/>
                                        <w:left w:val="none" w:sz="0" w:space="0" w:color="auto"/>
                                        <w:bottom w:val="none" w:sz="0" w:space="0" w:color="auto"/>
                                        <w:right w:val="none" w:sz="0" w:space="0" w:color="auto"/>
                                      </w:divBdr>
                                      <w:divsChild>
                                        <w:div w:id="318927057">
                                          <w:marLeft w:val="0"/>
                                          <w:marRight w:val="0"/>
                                          <w:marTop w:val="0"/>
                                          <w:marBottom w:val="45"/>
                                          <w:divBdr>
                                            <w:top w:val="none" w:sz="0" w:space="0" w:color="auto"/>
                                            <w:left w:val="none" w:sz="0" w:space="0" w:color="auto"/>
                                            <w:bottom w:val="none" w:sz="0" w:space="0" w:color="auto"/>
                                            <w:right w:val="none" w:sz="0" w:space="0" w:color="auto"/>
                                          </w:divBdr>
                                          <w:divsChild>
                                            <w:div w:id="471556728">
                                              <w:marLeft w:val="0"/>
                                              <w:marRight w:val="0"/>
                                              <w:marTop w:val="0"/>
                                              <w:marBottom w:val="0"/>
                                              <w:divBdr>
                                                <w:top w:val="none" w:sz="0" w:space="0" w:color="auto"/>
                                                <w:left w:val="none" w:sz="0" w:space="0" w:color="auto"/>
                                                <w:bottom w:val="none" w:sz="0" w:space="0" w:color="auto"/>
                                                <w:right w:val="none" w:sz="0" w:space="0" w:color="auto"/>
                                              </w:divBdr>
                                            </w:div>
                                            <w:div w:id="728261587">
                                              <w:marLeft w:val="0"/>
                                              <w:marRight w:val="0"/>
                                              <w:marTop w:val="0"/>
                                              <w:marBottom w:val="0"/>
                                              <w:divBdr>
                                                <w:top w:val="none" w:sz="0" w:space="0" w:color="auto"/>
                                                <w:left w:val="none" w:sz="0" w:space="0" w:color="auto"/>
                                                <w:bottom w:val="none" w:sz="0" w:space="0" w:color="auto"/>
                                                <w:right w:val="none" w:sz="0" w:space="0" w:color="auto"/>
                                              </w:divBdr>
                                            </w:div>
                                            <w:div w:id="909584267">
                                              <w:marLeft w:val="0"/>
                                              <w:marRight w:val="0"/>
                                              <w:marTop w:val="0"/>
                                              <w:marBottom w:val="0"/>
                                              <w:divBdr>
                                                <w:top w:val="none" w:sz="0" w:space="0" w:color="auto"/>
                                                <w:left w:val="none" w:sz="0" w:space="0" w:color="auto"/>
                                                <w:bottom w:val="none" w:sz="0" w:space="0" w:color="auto"/>
                                                <w:right w:val="none" w:sz="0" w:space="0" w:color="auto"/>
                                              </w:divBdr>
                                            </w:div>
                                            <w:div w:id="12341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7372">
                                  <w:marLeft w:val="0"/>
                                  <w:marRight w:val="0"/>
                                  <w:marTop w:val="0"/>
                                  <w:marBottom w:val="0"/>
                                  <w:divBdr>
                                    <w:top w:val="none" w:sz="0" w:space="0" w:color="auto"/>
                                    <w:left w:val="none" w:sz="0" w:space="0" w:color="auto"/>
                                    <w:bottom w:val="none" w:sz="0" w:space="0" w:color="auto"/>
                                    <w:right w:val="none" w:sz="0" w:space="0" w:color="auto"/>
                                  </w:divBdr>
                                  <w:divsChild>
                                    <w:div w:id="327559782">
                                      <w:marLeft w:val="60"/>
                                      <w:marRight w:val="0"/>
                                      <w:marTop w:val="0"/>
                                      <w:marBottom w:val="0"/>
                                      <w:divBdr>
                                        <w:top w:val="none" w:sz="0" w:space="0" w:color="auto"/>
                                        <w:left w:val="none" w:sz="0" w:space="0" w:color="auto"/>
                                        <w:bottom w:val="none" w:sz="0" w:space="0" w:color="auto"/>
                                        <w:right w:val="none" w:sz="0" w:space="0" w:color="auto"/>
                                      </w:divBdr>
                                      <w:divsChild>
                                        <w:div w:id="1653296294">
                                          <w:marLeft w:val="0"/>
                                          <w:marRight w:val="0"/>
                                          <w:marTop w:val="0"/>
                                          <w:marBottom w:val="45"/>
                                          <w:divBdr>
                                            <w:top w:val="none" w:sz="0" w:space="0" w:color="auto"/>
                                            <w:left w:val="none" w:sz="0" w:space="0" w:color="auto"/>
                                            <w:bottom w:val="none" w:sz="0" w:space="0" w:color="auto"/>
                                            <w:right w:val="none" w:sz="0" w:space="0" w:color="auto"/>
                                          </w:divBdr>
                                          <w:divsChild>
                                            <w:div w:id="908921730">
                                              <w:marLeft w:val="0"/>
                                              <w:marRight w:val="0"/>
                                              <w:marTop w:val="0"/>
                                              <w:marBottom w:val="0"/>
                                              <w:divBdr>
                                                <w:top w:val="none" w:sz="0" w:space="0" w:color="auto"/>
                                                <w:left w:val="none" w:sz="0" w:space="0" w:color="auto"/>
                                                <w:bottom w:val="none" w:sz="0" w:space="0" w:color="auto"/>
                                                <w:right w:val="none" w:sz="0" w:space="0" w:color="auto"/>
                                              </w:divBdr>
                                            </w:div>
                                            <w:div w:id="1388409879">
                                              <w:marLeft w:val="0"/>
                                              <w:marRight w:val="0"/>
                                              <w:marTop w:val="0"/>
                                              <w:marBottom w:val="0"/>
                                              <w:divBdr>
                                                <w:top w:val="none" w:sz="0" w:space="0" w:color="auto"/>
                                                <w:left w:val="none" w:sz="0" w:space="0" w:color="auto"/>
                                                <w:bottom w:val="none" w:sz="0" w:space="0" w:color="auto"/>
                                                <w:right w:val="none" w:sz="0" w:space="0" w:color="auto"/>
                                              </w:divBdr>
                                            </w:div>
                                            <w:div w:id="19527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139">
                              <w:marLeft w:val="0"/>
                              <w:marRight w:val="0"/>
                              <w:marTop w:val="0"/>
                              <w:marBottom w:val="0"/>
                              <w:divBdr>
                                <w:top w:val="none" w:sz="0" w:space="0" w:color="auto"/>
                                <w:left w:val="none" w:sz="0" w:space="0" w:color="auto"/>
                                <w:bottom w:val="none" w:sz="0" w:space="0" w:color="auto"/>
                                <w:right w:val="none" w:sz="0" w:space="0" w:color="auto"/>
                              </w:divBdr>
                              <w:divsChild>
                                <w:div w:id="330913360">
                                  <w:marLeft w:val="0"/>
                                  <w:marRight w:val="0"/>
                                  <w:marTop w:val="0"/>
                                  <w:marBottom w:val="0"/>
                                  <w:divBdr>
                                    <w:top w:val="none" w:sz="0" w:space="0" w:color="auto"/>
                                    <w:left w:val="none" w:sz="0" w:space="0" w:color="auto"/>
                                    <w:bottom w:val="none" w:sz="0" w:space="0" w:color="auto"/>
                                    <w:right w:val="none" w:sz="0" w:space="0" w:color="auto"/>
                                  </w:divBdr>
                                  <w:divsChild>
                                    <w:div w:id="1657300639">
                                      <w:marLeft w:val="0"/>
                                      <w:marRight w:val="60"/>
                                      <w:marTop w:val="0"/>
                                      <w:marBottom w:val="0"/>
                                      <w:divBdr>
                                        <w:top w:val="none" w:sz="0" w:space="0" w:color="auto"/>
                                        <w:left w:val="none" w:sz="0" w:space="0" w:color="auto"/>
                                        <w:bottom w:val="none" w:sz="0" w:space="0" w:color="auto"/>
                                        <w:right w:val="none" w:sz="0" w:space="0" w:color="auto"/>
                                      </w:divBdr>
                                      <w:divsChild>
                                        <w:div w:id="234366447">
                                          <w:marLeft w:val="0"/>
                                          <w:marRight w:val="0"/>
                                          <w:marTop w:val="0"/>
                                          <w:marBottom w:val="0"/>
                                          <w:divBdr>
                                            <w:top w:val="single" w:sz="6" w:space="12" w:color="999999"/>
                                            <w:left w:val="single" w:sz="6" w:space="12" w:color="999999"/>
                                            <w:bottom w:val="single" w:sz="6" w:space="12" w:color="999999"/>
                                            <w:right w:val="single" w:sz="6" w:space="12" w:color="999999"/>
                                          </w:divBdr>
                                          <w:divsChild>
                                            <w:div w:id="1286496893">
                                              <w:marLeft w:val="0"/>
                                              <w:marRight w:val="0"/>
                                              <w:marTop w:val="0"/>
                                              <w:marBottom w:val="0"/>
                                              <w:divBdr>
                                                <w:top w:val="none" w:sz="0" w:space="0" w:color="auto"/>
                                                <w:left w:val="none" w:sz="0" w:space="0" w:color="auto"/>
                                                <w:bottom w:val="none" w:sz="0" w:space="0" w:color="auto"/>
                                                <w:right w:val="none" w:sz="0" w:space="0" w:color="auto"/>
                                              </w:divBdr>
                                            </w:div>
                                          </w:divsChild>
                                        </w:div>
                                        <w:div w:id="921796521">
                                          <w:marLeft w:val="0"/>
                                          <w:marRight w:val="0"/>
                                          <w:marTop w:val="0"/>
                                          <w:marBottom w:val="0"/>
                                          <w:divBdr>
                                            <w:top w:val="none" w:sz="0" w:space="0" w:color="auto"/>
                                            <w:left w:val="none" w:sz="0" w:space="0" w:color="auto"/>
                                            <w:bottom w:val="none" w:sz="0" w:space="0" w:color="auto"/>
                                            <w:right w:val="none" w:sz="0" w:space="0" w:color="auto"/>
                                          </w:divBdr>
                                        </w:div>
                                        <w:div w:id="12609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621">
                                  <w:marLeft w:val="0"/>
                                  <w:marRight w:val="0"/>
                                  <w:marTop w:val="0"/>
                                  <w:marBottom w:val="0"/>
                                  <w:divBdr>
                                    <w:top w:val="none" w:sz="0" w:space="0" w:color="auto"/>
                                    <w:left w:val="none" w:sz="0" w:space="0" w:color="auto"/>
                                    <w:bottom w:val="none" w:sz="0" w:space="0" w:color="auto"/>
                                    <w:right w:val="none" w:sz="0" w:space="0" w:color="auto"/>
                                  </w:divBdr>
                                  <w:divsChild>
                                    <w:div w:id="195701999">
                                      <w:marLeft w:val="60"/>
                                      <w:marRight w:val="0"/>
                                      <w:marTop w:val="0"/>
                                      <w:marBottom w:val="0"/>
                                      <w:divBdr>
                                        <w:top w:val="none" w:sz="0" w:space="0" w:color="auto"/>
                                        <w:left w:val="none" w:sz="0" w:space="0" w:color="auto"/>
                                        <w:bottom w:val="none" w:sz="0" w:space="0" w:color="auto"/>
                                        <w:right w:val="none" w:sz="0" w:space="0" w:color="auto"/>
                                      </w:divBdr>
                                      <w:divsChild>
                                        <w:div w:id="835262446">
                                          <w:marLeft w:val="0"/>
                                          <w:marRight w:val="0"/>
                                          <w:marTop w:val="0"/>
                                          <w:marBottom w:val="0"/>
                                          <w:divBdr>
                                            <w:top w:val="none" w:sz="0" w:space="0" w:color="auto"/>
                                            <w:left w:val="none" w:sz="0" w:space="0" w:color="auto"/>
                                            <w:bottom w:val="none" w:sz="0" w:space="0" w:color="auto"/>
                                            <w:right w:val="none" w:sz="0" w:space="0" w:color="auto"/>
                                          </w:divBdr>
                                          <w:divsChild>
                                            <w:div w:id="616332371">
                                              <w:marLeft w:val="0"/>
                                              <w:marRight w:val="0"/>
                                              <w:marTop w:val="0"/>
                                              <w:marBottom w:val="120"/>
                                              <w:divBdr>
                                                <w:top w:val="single" w:sz="6" w:space="0" w:color="F5F5F5"/>
                                                <w:left w:val="single" w:sz="6" w:space="0" w:color="F5F5F5"/>
                                                <w:bottom w:val="single" w:sz="6" w:space="0" w:color="F5F5F5"/>
                                                <w:right w:val="single" w:sz="6" w:space="0" w:color="F5F5F5"/>
                                              </w:divBdr>
                                              <w:divsChild>
                                                <w:div w:id="572083907">
                                                  <w:marLeft w:val="0"/>
                                                  <w:marRight w:val="0"/>
                                                  <w:marTop w:val="0"/>
                                                  <w:marBottom w:val="0"/>
                                                  <w:divBdr>
                                                    <w:top w:val="none" w:sz="0" w:space="0" w:color="auto"/>
                                                    <w:left w:val="none" w:sz="0" w:space="0" w:color="auto"/>
                                                    <w:bottom w:val="none" w:sz="0" w:space="0" w:color="auto"/>
                                                    <w:right w:val="none" w:sz="0" w:space="0" w:color="auto"/>
                                                  </w:divBdr>
                                                  <w:divsChild>
                                                    <w:div w:id="17234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219662">
                  <w:marLeft w:val="0"/>
                  <w:marRight w:val="0"/>
                  <w:marTop w:val="0"/>
                  <w:marBottom w:val="0"/>
                  <w:divBdr>
                    <w:top w:val="none" w:sz="0" w:space="0" w:color="auto"/>
                    <w:left w:val="none" w:sz="0" w:space="0" w:color="auto"/>
                    <w:bottom w:val="single" w:sz="6" w:space="0" w:color="E5E5E5"/>
                    <w:right w:val="none" w:sz="0" w:space="0" w:color="auto"/>
                  </w:divBdr>
                  <w:divsChild>
                    <w:div w:id="1300526418">
                      <w:marLeft w:val="0"/>
                      <w:marRight w:val="0"/>
                      <w:marTop w:val="0"/>
                      <w:marBottom w:val="0"/>
                      <w:divBdr>
                        <w:top w:val="none" w:sz="0" w:space="0" w:color="auto"/>
                        <w:left w:val="none" w:sz="0" w:space="0" w:color="auto"/>
                        <w:bottom w:val="none" w:sz="0" w:space="0" w:color="auto"/>
                        <w:right w:val="none" w:sz="0" w:space="0" w:color="auto"/>
                      </w:divBdr>
                      <w:divsChild>
                        <w:div w:id="4678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9324">
              <w:marLeft w:val="0"/>
              <w:marRight w:val="0"/>
              <w:marTop w:val="0"/>
              <w:marBottom w:val="0"/>
              <w:divBdr>
                <w:top w:val="none" w:sz="0" w:space="0" w:color="auto"/>
                <w:left w:val="none" w:sz="0" w:space="0" w:color="auto"/>
                <w:bottom w:val="none" w:sz="0" w:space="0" w:color="auto"/>
                <w:right w:val="none" w:sz="0" w:space="0" w:color="auto"/>
              </w:divBdr>
              <w:divsChild>
                <w:div w:id="1312976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19294527">
      <w:bodyDiv w:val="1"/>
      <w:marLeft w:val="0"/>
      <w:marRight w:val="0"/>
      <w:marTop w:val="0"/>
      <w:marBottom w:val="0"/>
      <w:divBdr>
        <w:top w:val="none" w:sz="0" w:space="0" w:color="auto"/>
        <w:left w:val="none" w:sz="0" w:space="0" w:color="auto"/>
        <w:bottom w:val="none" w:sz="0" w:space="0" w:color="auto"/>
        <w:right w:val="none" w:sz="0" w:space="0" w:color="auto"/>
      </w:divBdr>
      <w:divsChild>
        <w:div w:id="90662929">
          <w:marLeft w:val="1166"/>
          <w:marRight w:val="0"/>
          <w:marTop w:val="0"/>
          <w:marBottom w:val="0"/>
          <w:divBdr>
            <w:top w:val="none" w:sz="0" w:space="0" w:color="auto"/>
            <w:left w:val="none" w:sz="0" w:space="0" w:color="auto"/>
            <w:bottom w:val="none" w:sz="0" w:space="0" w:color="auto"/>
            <w:right w:val="none" w:sz="0" w:space="0" w:color="auto"/>
          </w:divBdr>
        </w:div>
        <w:div w:id="133181641">
          <w:marLeft w:val="446"/>
          <w:marRight w:val="0"/>
          <w:marTop w:val="0"/>
          <w:marBottom w:val="0"/>
          <w:divBdr>
            <w:top w:val="none" w:sz="0" w:space="0" w:color="auto"/>
            <w:left w:val="none" w:sz="0" w:space="0" w:color="auto"/>
            <w:bottom w:val="none" w:sz="0" w:space="0" w:color="auto"/>
            <w:right w:val="none" w:sz="0" w:space="0" w:color="auto"/>
          </w:divBdr>
        </w:div>
        <w:div w:id="249782083">
          <w:marLeft w:val="1166"/>
          <w:marRight w:val="0"/>
          <w:marTop w:val="0"/>
          <w:marBottom w:val="0"/>
          <w:divBdr>
            <w:top w:val="none" w:sz="0" w:space="0" w:color="auto"/>
            <w:left w:val="none" w:sz="0" w:space="0" w:color="auto"/>
            <w:bottom w:val="none" w:sz="0" w:space="0" w:color="auto"/>
            <w:right w:val="none" w:sz="0" w:space="0" w:color="auto"/>
          </w:divBdr>
        </w:div>
        <w:div w:id="350836187">
          <w:marLeft w:val="1166"/>
          <w:marRight w:val="0"/>
          <w:marTop w:val="0"/>
          <w:marBottom w:val="0"/>
          <w:divBdr>
            <w:top w:val="none" w:sz="0" w:space="0" w:color="auto"/>
            <w:left w:val="none" w:sz="0" w:space="0" w:color="auto"/>
            <w:bottom w:val="none" w:sz="0" w:space="0" w:color="auto"/>
            <w:right w:val="none" w:sz="0" w:space="0" w:color="auto"/>
          </w:divBdr>
        </w:div>
        <w:div w:id="410589571">
          <w:marLeft w:val="1166"/>
          <w:marRight w:val="0"/>
          <w:marTop w:val="0"/>
          <w:marBottom w:val="0"/>
          <w:divBdr>
            <w:top w:val="none" w:sz="0" w:space="0" w:color="auto"/>
            <w:left w:val="none" w:sz="0" w:space="0" w:color="auto"/>
            <w:bottom w:val="none" w:sz="0" w:space="0" w:color="auto"/>
            <w:right w:val="none" w:sz="0" w:space="0" w:color="auto"/>
          </w:divBdr>
        </w:div>
        <w:div w:id="428695274">
          <w:marLeft w:val="446"/>
          <w:marRight w:val="0"/>
          <w:marTop w:val="0"/>
          <w:marBottom w:val="0"/>
          <w:divBdr>
            <w:top w:val="none" w:sz="0" w:space="0" w:color="auto"/>
            <w:left w:val="none" w:sz="0" w:space="0" w:color="auto"/>
            <w:bottom w:val="none" w:sz="0" w:space="0" w:color="auto"/>
            <w:right w:val="none" w:sz="0" w:space="0" w:color="auto"/>
          </w:divBdr>
        </w:div>
        <w:div w:id="677194591">
          <w:marLeft w:val="1166"/>
          <w:marRight w:val="0"/>
          <w:marTop w:val="0"/>
          <w:marBottom w:val="0"/>
          <w:divBdr>
            <w:top w:val="none" w:sz="0" w:space="0" w:color="auto"/>
            <w:left w:val="none" w:sz="0" w:space="0" w:color="auto"/>
            <w:bottom w:val="none" w:sz="0" w:space="0" w:color="auto"/>
            <w:right w:val="none" w:sz="0" w:space="0" w:color="auto"/>
          </w:divBdr>
        </w:div>
        <w:div w:id="951474575">
          <w:marLeft w:val="1166"/>
          <w:marRight w:val="0"/>
          <w:marTop w:val="0"/>
          <w:marBottom w:val="0"/>
          <w:divBdr>
            <w:top w:val="none" w:sz="0" w:space="0" w:color="auto"/>
            <w:left w:val="none" w:sz="0" w:space="0" w:color="auto"/>
            <w:bottom w:val="none" w:sz="0" w:space="0" w:color="auto"/>
            <w:right w:val="none" w:sz="0" w:space="0" w:color="auto"/>
          </w:divBdr>
        </w:div>
        <w:div w:id="1014040515">
          <w:marLeft w:val="446"/>
          <w:marRight w:val="0"/>
          <w:marTop w:val="0"/>
          <w:marBottom w:val="0"/>
          <w:divBdr>
            <w:top w:val="none" w:sz="0" w:space="0" w:color="auto"/>
            <w:left w:val="none" w:sz="0" w:space="0" w:color="auto"/>
            <w:bottom w:val="none" w:sz="0" w:space="0" w:color="auto"/>
            <w:right w:val="none" w:sz="0" w:space="0" w:color="auto"/>
          </w:divBdr>
        </w:div>
        <w:div w:id="1055591182">
          <w:marLeft w:val="1166"/>
          <w:marRight w:val="0"/>
          <w:marTop w:val="0"/>
          <w:marBottom w:val="0"/>
          <w:divBdr>
            <w:top w:val="none" w:sz="0" w:space="0" w:color="auto"/>
            <w:left w:val="none" w:sz="0" w:space="0" w:color="auto"/>
            <w:bottom w:val="none" w:sz="0" w:space="0" w:color="auto"/>
            <w:right w:val="none" w:sz="0" w:space="0" w:color="auto"/>
          </w:divBdr>
        </w:div>
        <w:div w:id="1068577030">
          <w:marLeft w:val="446"/>
          <w:marRight w:val="0"/>
          <w:marTop w:val="0"/>
          <w:marBottom w:val="0"/>
          <w:divBdr>
            <w:top w:val="none" w:sz="0" w:space="0" w:color="auto"/>
            <w:left w:val="none" w:sz="0" w:space="0" w:color="auto"/>
            <w:bottom w:val="none" w:sz="0" w:space="0" w:color="auto"/>
            <w:right w:val="none" w:sz="0" w:space="0" w:color="auto"/>
          </w:divBdr>
        </w:div>
        <w:div w:id="1512068427">
          <w:marLeft w:val="446"/>
          <w:marRight w:val="0"/>
          <w:marTop w:val="0"/>
          <w:marBottom w:val="0"/>
          <w:divBdr>
            <w:top w:val="none" w:sz="0" w:space="0" w:color="auto"/>
            <w:left w:val="none" w:sz="0" w:space="0" w:color="auto"/>
            <w:bottom w:val="none" w:sz="0" w:space="0" w:color="auto"/>
            <w:right w:val="none" w:sz="0" w:space="0" w:color="auto"/>
          </w:divBdr>
        </w:div>
      </w:divsChild>
    </w:div>
    <w:div w:id="923758025">
      <w:bodyDiv w:val="1"/>
      <w:marLeft w:val="0"/>
      <w:marRight w:val="0"/>
      <w:marTop w:val="0"/>
      <w:marBottom w:val="0"/>
      <w:divBdr>
        <w:top w:val="none" w:sz="0" w:space="0" w:color="auto"/>
        <w:left w:val="none" w:sz="0" w:space="0" w:color="auto"/>
        <w:bottom w:val="none" w:sz="0" w:space="0" w:color="auto"/>
        <w:right w:val="none" w:sz="0" w:space="0" w:color="auto"/>
      </w:divBdr>
      <w:divsChild>
        <w:div w:id="209270743">
          <w:marLeft w:val="446"/>
          <w:marRight w:val="0"/>
          <w:marTop w:val="0"/>
          <w:marBottom w:val="0"/>
          <w:divBdr>
            <w:top w:val="none" w:sz="0" w:space="0" w:color="auto"/>
            <w:left w:val="none" w:sz="0" w:space="0" w:color="auto"/>
            <w:bottom w:val="none" w:sz="0" w:space="0" w:color="auto"/>
            <w:right w:val="none" w:sz="0" w:space="0" w:color="auto"/>
          </w:divBdr>
        </w:div>
        <w:div w:id="344675255">
          <w:marLeft w:val="446"/>
          <w:marRight w:val="0"/>
          <w:marTop w:val="0"/>
          <w:marBottom w:val="0"/>
          <w:divBdr>
            <w:top w:val="none" w:sz="0" w:space="0" w:color="auto"/>
            <w:left w:val="none" w:sz="0" w:space="0" w:color="auto"/>
            <w:bottom w:val="none" w:sz="0" w:space="0" w:color="auto"/>
            <w:right w:val="none" w:sz="0" w:space="0" w:color="auto"/>
          </w:divBdr>
        </w:div>
        <w:div w:id="1042827179">
          <w:marLeft w:val="1166"/>
          <w:marRight w:val="0"/>
          <w:marTop w:val="0"/>
          <w:marBottom w:val="0"/>
          <w:divBdr>
            <w:top w:val="none" w:sz="0" w:space="0" w:color="auto"/>
            <w:left w:val="none" w:sz="0" w:space="0" w:color="auto"/>
            <w:bottom w:val="none" w:sz="0" w:space="0" w:color="auto"/>
            <w:right w:val="none" w:sz="0" w:space="0" w:color="auto"/>
          </w:divBdr>
        </w:div>
        <w:div w:id="1419595619">
          <w:marLeft w:val="1166"/>
          <w:marRight w:val="0"/>
          <w:marTop w:val="0"/>
          <w:marBottom w:val="0"/>
          <w:divBdr>
            <w:top w:val="none" w:sz="0" w:space="0" w:color="auto"/>
            <w:left w:val="none" w:sz="0" w:space="0" w:color="auto"/>
            <w:bottom w:val="none" w:sz="0" w:space="0" w:color="auto"/>
            <w:right w:val="none" w:sz="0" w:space="0" w:color="auto"/>
          </w:divBdr>
        </w:div>
        <w:div w:id="1623341390">
          <w:marLeft w:val="1166"/>
          <w:marRight w:val="0"/>
          <w:marTop w:val="0"/>
          <w:marBottom w:val="0"/>
          <w:divBdr>
            <w:top w:val="none" w:sz="0" w:space="0" w:color="auto"/>
            <w:left w:val="none" w:sz="0" w:space="0" w:color="auto"/>
            <w:bottom w:val="none" w:sz="0" w:space="0" w:color="auto"/>
            <w:right w:val="none" w:sz="0" w:space="0" w:color="auto"/>
          </w:divBdr>
        </w:div>
        <w:div w:id="1660189860">
          <w:marLeft w:val="1166"/>
          <w:marRight w:val="0"/>
          <w:marTop w:val="0"/>
          <w:marBottom w:val="0"/>
          <w:divBdr>
            <w:top w:val="none" w:sz="0" w:space="0" w:color="auto"/>
            <w:left w:val="none" w:sz="0" w:space="0" w:color="auto"/>
            <w:bottom w:val="none" w:sz="0" w:space="0" w:color="auto"/>
            <w:right w:val="none" w:sz="0" w:space="0" w:color="auto"/>
          </w:divBdr>
        </w:div>
        <w:div w:id="1900438600">
          <w:marLeft w:val="446"/>
          <w:marRight w:val="0"/>
          <w:marTop w:val="0"/>
          <w:marBottom w:val="0"/>
          <w:divBdr>
            <w:top w:val="none" w:sz="0" w:space="0" w:color="auto"/>
            <w:left w:val="none" w:sz="0" w:space="0" w:color="auto"/>
            <w:bottom w:val="none" w:sz="0" w:space="0" w:color="auto"/>
            <w:right w:val="none" w:sz="0" w:space="0" w:color="auto"/>
          </w:divBdr>
        </w:div>
      </w:divsChild>
    </w:div>
    <w:div w:id="940256290">
      <w:bodyDiv w:val="1"/>
      <w:marLeft w:val="0"/>
      <w:marRight w:val="0"/>
      <w:marTop w:val="0"/>
      <w:marBottom w:val="0"/>
      <w:divBdr>
        <w:top w:val="none" w:sz="0" w:space="0" w:color="auto"/>
        <w:left w:val="none" w:sz="0" w:space="0" w:color="auto"/>
        <w:bottom w:val="none" w:sz="0" w:space="0" w:color="auto"/>
        <w:right w:val="none" w:sz="0" w:space="0" w:color="auto"/>
      </w:divBdr>
    </w:div>
    <w:div w:id="940647094">
      <w:bodyDiv w:val="1"/>
      <w:marLeft w:val="0"/>
      <w:marRight w:val="0"/>
      <w:marTop w:val="0"/>
      <w:marBottom w:val="0"/>
      <w:divBdr>
        <w:top w:val="none" w:sz="0" w:space="0" w:color="auto"/>
        <w:left w:val="none" w:sz="0" w:space="0" w:color="auto"/>
        <w:bottom w:val="none" w:sz="0" w:space="0" w:color="auto"/>
        <w:right w:val="none" w:sz="0" w:space="0" w:color="auto"/>
      </w:divBdr>
    </w:div>
    <w:div w:id="957950272">
      <w:bodyDiv w:val="1"/>
      <w:marLeft w:val="0"/>
      <w:marRight w:val="0"/>
      <w:marTop w:val="0"/>
      <w:marBottom w:val="0"/>
      <w:divBdr>
        <w:top w:val="none" w:sz="0" w:space="0" w:color="auto"/>
        <w:left w:val="none" w:sz="0" w:space="0" w:color="auto"/>
        <w:bottom w:val="none" w:sz="0" w:space="0" w:color="auto"/>
        <w:right w:val="none" w:sz="0" w:space="0" w:color="auto"/>
      </w:divBdr>
      <w:divsChild>
        <w:div w:id="944725544">
          <w:marLeft w:val="0"/>
          <w:marRight w:val="0"/>
          <w:marTop w:val="0"/>
          <w:marBottom w:val="0"/>
          <w:divBdr>
            <w:top w:val="none" w:sz="0" w:space="0" w:color="auto"/>
            <w:left w:val="none" w:sz="0" w:space="0" w:color="auto"/>
            <w:bottom w:val="none" w:sz="0" w:space="0" w:color="auto"/>
            <w:right w:val="none" w:sz="0" w:space="0" w:color="auto"/>
          </w:divBdr>
        </w:div>
        <w:div w:id="1321428610">
          <w:marLeft w:val="0"/>
          <w:marRight w:val="0"/>
          <w:marTop w:val="0"/>
          <w:marBottom w:val="0"/>
          <w:divBdr>
            <w:top w:val="none" w:sz="0" w:space="0" w:color="auto"/>
            <w:left w:val="none" w:sz="0" w:space="0" w:color="auto"/>
            <w:bottom w:val="none" w:sz="0" w:space="0" w:color="auto"/>
            <w:right w:val="none" w:sz="0" w:space="0" w:color="auto"/>
          </w:divBdr>
        </w:div>
      </w:divsChild>
    </w:div>
    <w:div w:id="962154794">
      <w:bodyDiv w:val="1"/>
      <w:marLeft w:val="0"/>
      <w:marRight w:val="0"/>
      <w:marTop w:val="0"/>
      <w:marBottom w:val="0"/>
      <w:divBdr>
        <w:top w:val="none" w:sz="0" w:space="0" w:color="auto"/>
        <w:left w:val="none" w:sz="0" w:space="0" w:color="auto"/>
        <w:bottom w:val="none" w:sz="0" w:space="0" w:color="auto"/>
        <w:right w:val="none" w:sz="0" w:space="0" w:color="auto"/>
      </w:divBdr>
    </w:div>
    <w:div w:id="1014654362">
      <w:bodyDiv w:val="1"/>
      <w:marLeft w:val="0"/>
      <w:marRight w:val="0"/>
      <w:marTop w:val="0"/>
      <w:marBottom w:val="0"/>
      <w:divBdr>
        <w:top w:val="none" w:sz="0" w:space="0" w:color="auto"/>
        <w:left w:val="none" w:sz="0" w:space="0" w:color="auto"/>
        <w:bottom w:val="none" w:sz="0" w:space="0" w:color="auto"/>
        <w:right w:val="none" w:sz="0" w:space="0" w:color="auto"/>
      </w:divBdr>
    </w:div>
    <w:div w:id="1022634196">
      <w:bodyDiv w:val="1"/>
      <w:marLeft w:val="0"/>
      <w:marRight w:val="0"/>
      <w:marTop w:val="0"/>
      <w:marBottom w:val="0"/>
      <w:divBdr>
        <w:top w:val="none" w:sz="0" w:space="0" w:color="auto"/>
        <w:left w:val="none" w:sz="0" w:space="0" w:color="auto"/>
        <w:bottom w:val="none" w:sz="0" w:space="0" w:color="auto"/>
        <w:right w:val="none" w:sz="0" w:space="0" w:color="auto"/>
      </w:divBdr>
    </w:div>
    <w:div w:id="1027439973">
      <w:bodyDiv w:val="1"/>
      <w:marLeft w:val="0"/>
      <w:marRight w:val="0"/>
      <w:marTop w:val="0"/>
      <w:marBottom w:val="0"/>
      <w:divBdr>
        <w:top w:val="none" w:sz="0" w:space="0" w:color="auto"/>
        <w:left w:val="none" w:sz="0" w:space="0" w:color="auto"/>
        <w:bottom w:val="none" w:sz="0" w:space="0" w:color="auto"/>
        <w:right w:val="none" w:sz="0" w:space="0" w:color="auto"/>
      </w:divBdr>
      <w:divsChild>
        <w:div w:id="36857536">
          <w:marLeft w:val="446"/>
          <w:marRight w:val="0"/>
          <w:marTop w:val="0"/>
          <w:marBottom w:val="0"/>
          <w:divBdr>
            <w:top w:val="none" w:sz="0" w:space="0" w:color="auto"/>
            <w:left w:val="none" w:sz="0" w:space="0" w:color="auto"/>
            <w:bottom w:val="none" w:sz="0" w:space="0" w:color="auto"/>
            <w:right w:val="none" w:sz="0" w:space="0" w:color="auto"/>
          </w:divBdr>
        </w:div>
        <w:div w:id="805315277">
          <w:marLeft w:val="1166"/>
          <w:marRight w:val="0"/>
          <w:marTop w:val="0"/>
          <w:marBottom w:val="0"/>
          <w:divBdr>
            <w:top w:val="none" w:sz="0" w:space="0" w:color="auto"/>
            <w:left w:val="none" w:sz="0" w:space="0" w:color="auto"/>
            <w:bottom w:val="none" w:sz="0" w:space="0" w:color="auto"/>
            <w:right w:val="none" w:sz="0" w:space="0" w:color="auto"/>
          </w:divBdr>
        </w:div>
        <w:div w:id="1141002496">
          <w:marLeft w:val="446"/>
          <w:marRight w:val="0"/>
          <w:marTop w:val="0"/>
          <w:marBottom w:val="0"/>
          <w:divBdr>
            <w:top w:val="none" w:sz="0" w:space="0" w:color="auto"/>
            <w:left w:val="none" w:sz="0" w:space="0" w:color="auto"/>
            <w:bottom w:val="none" w:sz="0" w:space="0" w:color="auto"/>
            <w:right w:val="none" w:sz="0" w:space="0" w:color="auto"/>
          </w:divBdr>
        </w:div>
        <w:div w:id="1319531393">
          <w:marLeft w:val="1166"/>
          <w:marRight w:val="0"/>
          <w:marTop w:val="0"/>
          <w:marBottom w:val="0"/>
          <w:divBdr>
            <w:top w:val="none" w:sz="0" w:space="0" w:color="auto"/>
            <w:left w:val="none" w:sz="0" w:space="0" w:color="auto"/>
            <w:bottom w:val="none" w:sz="0" w:space="0" w:color="auto"/>
            <w:right w:val="none" w:sz="0" w:space="0" w:color="auto"/>
          </w:divBdr>
        </w:div>
        <w:div w:id="1870951191">
          <w:marLeft w:val="446"/>
          <w:marRight w:val="0"/>
          <w:marTop w:val="0"/>
          <w:marBottom w:val="0"/>
          <w:divBdr>
            <w:top w:val="none" w:sz="0" w:space="0" w:color="auto"/>
            <w:left w:val="none" w:sz="0" w:space="0" w:color="auto"/>
            <w:bottom w:val="none" w:sz="0" w:space="0" w:color="auto"/>
            <w:right w:val="none" w:sz="0" w:space="0" w:color="auto"/>
          </w:divBdr>
        </w:div>
        <w:div w:id="2132045941">
          <w:marLeft w:val="1166"/>
          <w:marRight w:val="0"/>
          <w:marTop w:val="0"/>
          <w:marBottom w:val="0"/>
          <w:divBdr>
            <w:top w:val="none" w:sz="0" w:space="0" w:color="auto"/>
            <w:left w:val="none" w:sz="0" w:space="0" w:color="auto"/>
            <w:bottom w:val="none" w:sz="0" w:space="0" w:color="auto"/>
            <w:right w:val="none" w:sz="0" w:space="0" w:color="auto"/>
          </w:divBdr>
        </w:div>
      </w:divsChild>
    </w:div>
    <w:div w:id="1040664076">
      <w:bodyDiv w:val="1"/>
      <w:marLeft w:val="0"/>
      <w:marRight w:val="0"/>
      <w:marTop w:val="0"/>
      <w:marBottom w:val="0"/>
      <w:divBdr>
        <w:top w:val="none" w:sz="0" w:space="0" w:color="auto"/>
        <w:left w:val="none" w:sz="0" w:space="0" w:color="auto"/>
        <w:bottom w:val="none" w:sz="0" w:space="0" w:color="auto"/>
        <w:right w:val="none" w:sz="0" w:space="0" w:color="auto"/>
      </w:divBdr>
    </w:div>
    <w:div w:id="1070276875">
      <w:bodyDiv w:val="1"/>
      <w:marLeft w:val="0"/>
      <w:marRight w:val="0"/>
      <w:marTop w:val="0"/>
      <w:marBottom w:val="0"/>
      <w:divBdr>
        <w:top w:val="none" w:sz="0" w:space="0" w:color="auto"/>
        <w:left w:val="none" w:sz="0" w:space="0" w:color="auto"/>
        <w:bottom w:val="none" w:sz="0" w:space="0" w:color="auto"/>
        <w:right w:val="none" w:sz="0" w:space="0" w:color="auto"/>
      </w:divBdr>
    </w:div>
    <w:div w:id="1150319882">
      <w:bodyDiv w:val="1"/>
      <w:marLeft w:val="0"/>
      <w:marRight w:val="0"/>
      <w:marTop w:val="0"/>
      <w:marBottom w:val="0"/>
      <w:divBdr>
        <w:top w:val="none" w:sz="0" w:space="0" w:color="auto"/>
        <w:left w:val="none" w:sz="0" w:space="0" w:color="auto"/>
        <w:bottom w:val="none" w:sz="0" w:space="0" w:color="auto"/>
        <w:right w:val="none" w:sz="0" w:space="0" w:color="auto"/>
      </w:divBdr>
    </w:div>
    <w:div w:id="1156796106">
      <w:bodyDiv w:val="1"/>
      <w:marLeft w:val="0"/>
      <w:marRight w:val="0"/>
      <w:marTop w:val="0"/>
      <w:marBottom w:val="0"/>
      <w:divBdr>
        <w:top w:val="none" w:sz="0" w:space="0" w:color="auto"/>
        <w:left w:val="none" w:sz="0" w:space="0" w:color="auto"/>
        <w:bottom w:val="none" w:sz="0" w:space="0" w:color="auto"/>
        <w:right w:val="none" w:sz="0" w:space="0" w:color="auto"/>
      </w:divBdr>
    </w:div>
    <w:div w:id="1157459548">
      <w:bodyDiv w:val="1"/>
      <w:marLeft w:val="0"/>
      <w:marRight w:val="0"/>
      <w:marTop w:val="0"/>
      <w:marBottom w:val="0"/>
      <w:divBdr>
        <w:top w:val="none" w:sz="0" w:space="0" w:color="auto"/>
        <w:left w:val="none" w:sz="0" w:space="0" w:color="auto"/>
        <w:bottom w:val="none" w:sz="0" w:space="0" w:color="auto"/>
        <w:right w:val="none" w:sz="0" w:space="0" w:color="auto"/>
      </w:divBdr>
      <w:divsChild>
        <w:div w:id="459491474">
          <w:marLeft w:val="446"/>
          <w:marRight w:val="0"/>
          <w:marTop w:val="0"/>
          <w:marBottom w:val="0"/>
          <w:divBdr>
            <w:top w:val="none" w:sz="0" w:space="0" w:color="auto"/>
            <w:left w:val="none" w:sz="0" w:space="0" w:color="auto"/>
            <w:bottom w:val="none" w:sz="0" w:space="0" w:color="auto"/>
            <w:right w:val="none" w:sz="0" w:space="0" w:color="auto"/>
          </w:divBdr>
        </w:div>
        <w:div w:id="497690670">
          <w:marLeft w:val="1166"/>
          <w:marRight w:val="0"/>
          <w:marTop w:val="0"/>
          <w:marBottom w:val="0"/>
          <w:divBdr>
            <w:top w:val="none" w:sz="0" w:space="0" w:color="auto"/>
            <w:left w:val="none" w:sz="0" w:space="0" w:color="auto"/>
            <w:bottom w:val="none" w:sz="0" w:space="0" w:color="auto"/>
            <w:right w:val="none" w:sz="0" w:space="0" w:color="auto"/>
          </w:divBdr>
        </w:div>
        <w:div w:id="612637998">
          <w:marLeft w:val="446"/>
          <w:marRight w:val="0"/>
          <w:marTop w:val="0"/>
          <w:marBottom w:val="0"/>
          <w:divBdr>
            <w:top w:val="none" w:sz="0" w:space="0" w:color="auto"/>
            <w:left w:val="none" w:sz="0" w:space="0" w:color="auto"/>
            <w:bottom w:val="none" w:sz="0" w:space="0" w:color="auto"/>
            <w:right w:val="none" w:sz="0" w:space="0" w:color="auto"/>
          </w:divBdr>
        </w:div>
        <w:div w:id="672492084">
          <w:marLeft w:val="446"/>
          <w:marRight w:val="0"/>
          <w:marTop w:val="0"/>
          <w:marBottom w:val="0"/>
          <w:divBdr>
            <w:top w:val="none" w:sz="0" w:space="0" w:color="auto"/>
            <w:left w:val="none" w:sz="0" w:space="0" w:color="auto"/>
            <w:bottom w:val="none" w:sz="0" w:space="0" w:color="auto"/>
            <w:right w:val="none" w:sz="0" w:space="0" w:color="auto"/>
          </w:divBdr>
        </w:div>
        <w:div w:id="778138762">
          <w:marLeft w:val="1166"/>
          <w:marRight w:val="0"/>
          <w:marTop w:val="0"/>
          <w:marBottom w:val="0"/>
          <w:divBdr>
            <w:top w:val="none" w:sz="0" w:space="0" w:color="auto"/>
            <w:left w:val="none" w:sz="0" w:space="0" w:color="auto"/>
            <w:bottom w:val="none" w:sz="0" w:space="0" w:color="auto"/>
            <w:right w:val="none" w:sz="0" w:space="0" w:color="auto"/>
          </w:divBdr>
        </w:div>
        <w:div w:id="1146361812">
          <w:marLeft w:val="1166"/>
          <w:marRight w:val="0"/>
          <w:marTop w:val="0"/>
          <w:marBottom w:val="0"/>
          <w:divBdr>
            <w:top w:val="none" w:sz="0" w:space="0" w:color="auto"/>
            <w:left w:val="none" w:sz="0" w:space="0" w:color="auto"/>
            <w:bottom w:val="none" w:sz="0" w:space="0" w:color="auto"/>
            <w:right w:val="none" w:sz="0" w:space="0" w:color="auto"/>
          </w:divBdr>
        </w:div>
        <w:div w:id="1312909410">
          <w:marLeft w:val="1166"/>
          <w:marRight w:val="0"/>
          <w:marTop w:val="0"/>
          <w:marBottom w:val="0"/>
          <w:divBdr>
            <w:top w:val="none" w:sz="0" w:space="0" w:color="auto"/>
            <w:left w:val="none" w:sz="0" w:space="0" w:color="auto"/>
            <w:bottom w:val="none" w:sz="0" w:space="0" w:color="auto"/>
            <w:right w:val="none" w:sz="0" w:space="0" w:color="auto"/>
          </w:divBdr>
        </w:div>
        <w:div w:id="1318916763">
          <w:marLeft w:val="446"/>
          <w:marRight w:val="0"/>
          <w:marTop w:val="0"/>
          <w:marBottom w:val="0"/>
          <w:divBdr>
            <w:top w:val="none" w:sz="0" w:space="0" w:color="auto"/>
            <w:left w:val="none" w:sz="0" w:space="0" w:color="auto"/>
            <w:bottom w:val="none" w:sz="0" w:space="0" w:color="auto"/>
            <w:right w:val="none" w:sz="0" w:space="0" w:color="auto"/>
          </w:divBdr>
        </w:div>
        <w:div w:id="1572502268">
          <w:marLeft w:val="1166"/>
          <w:marRight w:val="0"/>
          <w:marTop w:val="0"/>
          <w:marBottom w:val="0"/>
          <w:divBdr>
            <w:top w:val="none" w:sz="0" w:space="0" w:color="auto"/>
            <w:left w:val="none" w:sz="0" w:space="0" w:color="auto"/>
            <w:bottom w:val="none" w:sz="0" w:space="0" w:color="auto"/>
            <w:right w:val="none" w:sz="0" w:space="0" w:color="auto"/>
          </w:divBdr>
        </w:div>
        <w:div w:id="1605573871">
          <w:marLeft w:val="1166"/>
          <w:marRight w:val="0"/>
          <w:marTop w:val="0"/>
          <w:marBottom w:val="0"/>
          <w:divBdr>
            <w:top w:val="none" w:sz="0" w:space="0" w:color="auto"/>
            <w:left w:val="none" w:sz="0" w:space="0" w:color="auto"/>
            <w:bottom w:val="none" w:sz="0" w:space="0" w:color="auto"/>
            <w:right w:val="none" w:sz="0" w:space="0" w:color="auto"/>
          </w:divBdr>
        </w:div>
        <w:div w:id="2086101426">
          <w:marLeft w:val="1166"/>
          <w:marRight w:val="0"/>
          <w:marTop w:val="0"/>
          <w:marBottom w:val="0"/>
          <w:divBdr>
            <w:top w:val="none" w:sz="0" w:space="0" w:color="auto"/>
            <w:left w:val="none" w:sz="0" w:space="0" w:color="auto"/>
            <w:bottom w:val="none" w:sz="0" w:space="0" w:color="auto"/>
            <w:right w:val="none" w:sz="0" w:space="0" w:color="auto"/>
          </w:divBdr>
        </w:div>
      </w:divsChild>
    </w:div>
    <w:div w:id="1183206539">
      <w:bodyDiv w:val="1"/>
      <w:marLeft w:val="0"/>
      <w:marRight w:val="0"/>
      <w:marTop w:val="0"/>
      <w:marBottom w:val="0"/>
      <w:divBdr>
        <w:top w:val="none" w:sz="0" w:space="0" w:color="auto"/>
        <w:left w:val="none" w:sz="0" w:space="0" w:color="auto"/>
        <w:bottom w:val="none" w:sz="0" w:space="0" w:color="auto"/>
        <w:right w:val="none" w:sz="0" w:space="0" w:color="auto"/>
      </w:divBdr>
    </w:div>
    <w:div w:id="1190686382">
      <w:bodyDiv w:val="1"/>
      <w:marLeft w:val="0"/>
      <w:marRight w:val="0"/>
      <w:marTop w:val="0"/>
      <w:marBottom w:val="0"/>
      <w:divBdr>
        <w:top w:val="none" w:sz="0" w:space="0" w:color="auto"/>
        <w:left w:val="none" w:sz="0" w:space="0" w:color="auto"/>
        <w:bottom w:val="none" w:sz="0" w:space="0" w:color="auto"/>
        <w:right w:val="none" w:sz="0" w:space="0" w:color="auto"/>
      </w:divBdr>
    </w:div>
    <w:div w:id="1348286719">
      <w:bodyDiv w:val="1"/>
      <w:marLeft w:val="0"/>
      <w:marRight w:val="0"/>
      <w:marTop w:val="0"/>
      <w:marBottom w:val="0"/>
      <w:divBdr>
        <w:top w:val="none" w:sz="0" w:space="0" w:color="auto"/>
        <w:left w:val="none" w:sz="0" w:space="0" w:color="auto"/>
        <w:bottom w:val="none" w:sz="0" w:space="0" w:color="auto"/>
        <w:right w:val="none" w:sz="0" w:space="0" w:color="auto"/>
      </w:divBdr>
    </w:div>
    <w:div w:id="1349285849">
      <w:bodyDiv w:val="1"/>
      <w:marLeft w:val="0"/>
      <w:marRight w:val="0"/>
      <w:marTop w:val="0"/>
      <w:marBottom w:val="0"/>
      <w:divBdr>
        <w:top w:val="none" w:sz="0" w:space="0" w:color="auto"/>
        <w:left w:val="none" w:sz="0" w:space="0" w:color="auto"/>
        <w:bottom w:val="none" w:sz="0" w:space="0" w:color="auto"/>
        <w:right w:val="none" w:sz="0" w:space="0" w:color="auto"/>
      </w:divBdr>
    </w:div>
    <w:div w:id="1376125392">
      <w:bodyDiv w:val="1"/>
      <w:marLeft w:val="0"/>
      <w:marRight w:val="0"/>
      <w:marTop w:val="0"/>
      <w:marBottom w:val="0"/>
      <w:divBdr>
        <w:top w:val="none" w:sz="0" w:space="0" w:color="auto"/>
        <w:left w:val="none" w:sz="0" w:space="0" w:color="auto"/>
        <w:bottom w:val="none" w:sz="0" w:space="0" w:color="auto"/>
        <w:right w:val="none" w:sz="0" w:space="0" w:color="auto"/>
      </w:divBdr>
    </w:div>
    <w:div w:id="1399134324">
      <w:bodyDiv w:val="1"/>
      <w:marLeft w:val="0"/>
      <w:marRight w:val="0"/>
      <w:marTop w:val="0"/>
      <w:marBottom w:val="0"/>
      <w:divBdr>
        <w:top w:val="none" w:sz="0" w:space="0" w:color="auto"/>
        <w:left w:val="none" w:sz="0" w:space="0" w:color="auto"/>
        <w:bottom w:val="none" w:sz="0" w:space="0" w:color="auto"/>
        <w:right w:val="none" w:sz="0" w:space="0" w:color="auto"/>
      </w:divBdr>
    </w:div>
    <w:div w:id="1460220966">
      <w:bodyDiv w:val="1"/>
      <w:marLeft w:val="0"/>
      <w:marRight w:val="0"/>
      <w:marTop w:val="0"/>
      <w:marBottom w:val="0"/>
      <w:divBdr>
        <w:top w:val="none" w:sz="0" w:space="0" w:color="auto"/>
        <w:left w:val="none" w:sz="0" w:space="0" w:color="auto"/>
        <w:bottom w:val="none" w:sz="0" w:space="0" w:color="auto"/>
        <w:right w:val="none" w:sz="0" w:space="0" w:color="auto"/>
      </w:divBdr>
    </w:div>
    <w:div w:id="1466196371">
      <w:bodyDiv w:val="1"/>
      <w:marLeft w:val="0"/>
      <w:marRight w:val="0"/>
      <w:marTop w:val="0"/>
      <w:marBottom w:val="0"/>
      <w:divBdr>
        <w:top w:val="none" w:sz="0" w:space="0" w:color="auto"/>
        <w:left w:val="none" w:sz="0" w:space="0" w:color="auto"/>
        <w:bottom w:val="none" w:sz="0" w:space="0" w:color="auto"/>
        <w:right w:val="none" w:sz="0" w:space="0" w:color="auto"/>
      </w:divBdr>
    </w:div>
    <w:div w:id="1480610499">
      <w:bodyDiv w:val="1"/>
      <w:marLeft w:val="0"/>
      <w:marRight w:val="0"/>
      <w:marTop w:val="0"/>
      <w:marBottom w:val="0"/>
      <w:divBdr>
        <w:top w:val="none" w:sz="0" w:space="0" w:color="auto"/>
        <w:left w:val="none" w:sz="0" w:space="0" w:color="auto"/>
        <w:bottom w:val="none" w:sz="0" w:space="0" w:color="auto"/>
        <w:right w:val="none" w:sz="0" w:space="0" w:color="auto"/>
      </w:divBdr>
    </w:div>
    <w:div w:id="1497842385">
      <w:bodyDiv w:val="1"/>
      <w:marLeft w:val="0"/>
      <w:marRight w:val="0"/>
      <w:marTop w:val="0"/>
      <w:marBottom w:val="0"/>
      <w:divBdr>
        <w:top w:val="none" w:sz="0" w:space="0" w:color="auto"/>
        <w:left w:val="none" w:sz="0" w:space="0" w:color="auto"/>
        <w:bottom w:val="none" w:sz="0" w:space="0" w:color="auto"/>
        <w:right w:val="none" w:sz="0" w:space="0" w:color="auto"/>
      </w:divBdr>
      <w:divsChild>
        <w:div w:id="147327329">
          <w:marLeft w:val="1166"/>
          <w:marRight w:val="0"/>
          <w:marTop w:val="0"/>
          <w:marBottom w:val="0"/>
          <w:divBdr>
            <w:top w:val="none" w:sz="0" w:space="0" w:color="auto"/>
            <w:left w:val="none" w:sz="0" w:space="0" w:color="auto"/>
            <w:bottom w:val="none" w:sz="0" w:space="0" w:color="auto"/>
            <w:right w:val="none" w:sz="0" w:space="0" w:color="auto"/>
          </w:divBdr>
        </w:div>
        <w:div w:id="350687941">
          <w:marLeft w:val="1166"/>
          <w:marRight w:val="0"/>
          <w:marTop w:val="0"/>
          <w:marBottom w:val="0"/>
          <w:divBdr>
            <w:top w:val="none" w:sz="0" w:space="0" w:color="auto"/>
            <w:left w:val="none" w:sz="0" w:space="0" w:color="auto"/>
            <w:bottom w:val="none" w:sz="0" w:space="0" w:color="auto"/>
            <w:right w:val="none" w:sz="0" w:space="0" w:color="auto"/>
          </w:divBdr>
        </w:div>
        <w:div w:id="406652419">
          <w:marLeft w:val="1166"/>
          <w:marRight w:val="0"/>
          <w:marTop w:val="0"/>
          <w:marBottom w:val="0"/>
          <w:divBdr>
            <w:top w:val="none" w:sz="0" w:space="0" w:color="auto"/>
            <w:left w:val="none" w:sz="0" w:space="0" w:color="auto"/>
            <w:bottom w:val="none" w:sz="0" w:space="0" w:color="auto"/>
            <w:right w:val="none" w:sz="0" w:space="0" w:color="auto"/>
          </w:divBdr>
        </w:div>
        <w:div w:id="457601532">
          <w:marLeft w:val="1166"/>
          <w:marRight w:val="0"/>
          <w:marTop w:val="0"/>
          <w:marBottom w:val="0"/>
          <w:divBdr>
            <w:top w:val="none" w:sz="0" w:space="0" w:color="auto"/>
            <w:left w:val="none" w:sz="0" w:space="0" w:color="auto"/>
            <w:bottom w:val="none" w:sz="0" w:space="0" w:color="auto"/>
            <w:right w:val="none" w:sz="0" w:space="0" w:color="auto"/>
          </w:divBdr>
        </w:div>
        <w:div w:id="512651897">
          <w:marLeft w:val="446"/>
          <w:marRight w:val="0"/>
          <w:marTop w:val="0"/>
          <w:marBottom w:val="0"/>
          <w:divBdr>
            <w:top w:val="none" w:sz="0" w:space="0" w:color="auto"/>
            <w:left w:val="none" w:sz="0" w:space="0" w:color="auto"/>
            <w:bottom w:val="none" w:sz="0" w:space="0" w:color="auto"/>
            <w:right w:val="none" w:sz="0" w:space="0" w:color="auto"/>
          </w:divBdr>
        </w:div>
        <w:div w:id="1463622211">
          <w:marLeft w:val="446"/>
          <w:marRight w:val="0"/>
          <w:marTop w:val="0"/>
          <w:marBottom w:val="0"/>
          <w:divBdr>
            <w:top w:val="none" w:sz="0" w:space="0" w:color="auto"/>
            <w:left w:val="none" w:sz="0" w:space="0" w:color="auto"/>
            <w:bottom w:val="none" w:sz="0" w:space="0" w:color="auto"/>
            <w:right w:val="none" w:sz="0" w:space="0" w:color="auto"/>
          </w:divBdr>
        </w:div>
        <w:div w:id="1601527374">
          <w:marLeft w:val="446"/>
          <w:marRight w:val="0"/>
          <w:marTop w:val="0"/>
          <w:marBottom w:val="0"/>
          <w:divBdr>
            <w:top w:val="none" w:sz="0" w:space="0" w:color="auto"/>
            <w:left w:val="none" w:sz="0" w:space="0" w:color="auto"/>
            <w:bottom w:val="none" w:sz="0" w:space="0" w:color="auto"/>
            <w:right w:val="none" w:sz="0" w:space="0" w:color="auto"/>
          </w:divBdr>
        </w:div>
        <w:div w:id="1615331687">
          <w:marLeft w:val="1166"/>
          <w:marRight w:val="0"/>
          <w:marTop w:val="0"/>
          <w:marBottom w:val="0"/>
          <w:divBdr>
            <w:top w:val="none" w:sz="0" w:space="0" w:color="auto"/>
            <w:left w:val="none" w:sz="0" w:space="0" w:color="auto"/>
            <w:bottom w:val="none" w:sz="0" w:space="0" w:color="auto"/>
            <w:right w:val="none" w:sz="0" w:space="0" w:color="auto"/>
          </w:divBdr>
        </w:div>
        <w:div w:id="1773747705">
          <w:marLeft w:val="446"/>
          <w:marRight w:val="0"/>
          <w:marTop w:val="0"/>
          <w:marBottom w:val="0"/>
          <w:divBdr>
            <w:top w:val="none" w:sz="0" w:space="0" w:color="auto"/>
            <w:left w:val="none" w:sz="0" w:space="0" w:color="auto"/>
            <w:bottom w:val="none" w:sz="0" w:space="0" w:color="auto"/>
            <w:right w:val="none" w:sz="0" w:space="0" w:color="auto"/>
          </w:divBdr>
        </w:div>
        <w:div w:id="1807548578">
          <w:marLeft w:val="1166"/>
          <w:marRight w:val="0"/>
          <w:marTop w:val="0"/>
          <w:marBottom w:val="0"/>
          <w:divBdr>
            <w:top w:val="none" w:sz="0" w:space="0" w:color="auto"/>
            <w:left w:val="none" w:sz="0" w:space="0" w:color="auto"/>
            <w:bottom w:val="none" w:sz="0" w:space="0" w:color="auto"/>
            <w:right w:val="none" w:sz="0" w:space="0" w:color="auto"/>
          </w:divBdr>
        </w:div>
        <w:div w:id="1825584834">
          <w:marLeft w:val="1166"/>
          <w:marRight w:val="0"/>
          <w:marTop w:val="0"/>
          <w:marBottom w:val="0"/>
          <w:divBdr>
            <w:top w:val="none" w:sz="0" w:space="0" w:color="auto"/>
            <w:left w:val="none" w:sz="0" w:space="0" w:color="auto"/>
            <w:bottom w:val="none" w:sz="0" w:space="0" w:color="auto"/>
            <w:right w:val="none" w:sz="0" w:space="0" w:color="auto"/>
          </w:divBdr>
        </w:div>
        <w:div w:id="1956213974">
          <w:marLeft w:val="1166"/>
          <w:marRight w:val="0"/>
          <w:marTop w:val="0"/>
          <w:marBottom w:val="0"/>
          <w:divBdr>
            <w:top w:val="none" w:sz="0" w:space="0" w:color="auto"/>
            <w:left w:val="none" w:sz="0" w:space="0" w:color="auto"/>
            <w:bottom w:val="none" w:sz="0" w:space="0" w:color="auto"/>
            <w:right w:val="none" w:sz="0" w:space="0" w:color="auto"/>
          </w:divBdr>
        </w:div>
      </w:divsChild>
    </w:div>
    <w:div w:id="1509171304">
      <w:bodyDiv w:val="1"/>
      <w:marLeft w:val="0"/>
      <w:marRight w:val="0"/>
      <w:marTop w:val="0"/>
      <w:marBottom w:val="0"/>
      <w:divBdr>
        <w:top w:val="none" w:sz="0" w:space="0" w:color="auto"/>
        <w:left w:val="none" w:sz="0" w:space="0" w:color="auto"/>
        <w:bottom w:val="none" w:sz="0" w:space="0" w:color="auto"/>
        <w:right w:val="none" w:sz="0" w:space="0" w:color="auto"/>
      </w:divBdr>
    </w:div>
    <w:div w:id="1538549028">
      <w:bodyDiv w:val="1"/>
      <w:marLeft w:val="0"/>
      <w:marRight w:val="0"/>
      <w:marTop w:val="0"/>
      <w:marBottom w:val="0"/>
      <w:divBdr>
        <w:top w:val="none" w:sz="0" w:space="0" w:color="auto"/>
        <w:left w:val="none" w:sz="0" w:space="0" w:color="auto"/>
        <w:bottom w:val="none" w:sz="0" w:space="0" w:color="auto"/>
        <w:right w:val="none" w:sz="0" w:space="0" w:color="auto"/>
      </w:divBdr>
    </w:div>
    <w:div w:id="1585148321">
      <w:bodyDiv w:val="1"/>
      <w:marLeft w:val="0"/>
      <w:marRight w:val="0"/>
      <w:marTop w:val="0"/>
      <w:marBottom w:val="0"/>
      <w:divBdr>
        <w:top w:val="none" w:sz="0" w:space="0" w:color="auto"/>
        <w:left w:val="none" w:sz="0" w:space="0" w:color="auto"/>
        <w:bottom w:val="none" w:sz="0" w:space="0" w:color="auto"/>
        <w:right w:val="none" w:sz="0" w:space="0" w:color="auto"/>
      </w:divBdr>
    </w:div>
    <w:div w:id="1600792853">
      <w:bodyDiv w:val="1"/>
      <w:marLeft w:val="0"/>
      <w:marRight w:val="0"/>
      <w:marTop w:val="0"/>
      <w:marBottom w:val="0"/>
      <w:divBdr>
        <w:top w:val="none" w:sz="0" w:space="0" w:color="auto"/>
        <w:left w:val="none" w:sz="0" w:space="0" w:color="auto"/>
        <w:bottom w:val="none" w:sz="0" w:space="0" w:color="auto"/>
        <w:right w:val="none" w:sz="0" w:space="0" w:color="auto"/>
      </w:divBdr>
    </w:div>
    <w:div w:id="1683243936">
      <w:bodyDiv w:val="1"/>
      <w:marLeft w:val="0"/>
      <w:marRight w:val="0"/>
      <w:marTop w:val="0"/>
      <w:marBottom w:val="0"/>
      <w:divBdr>
        <w:top w:val="none" w:sz="0" w:space="0" w:color="auto"/>
        <w:left w:val="none" w:sz="0" w:space="0" w:color="auto"/>
        <w:bottom w:val="none" w:sz="0" w:space="0" w:color="auto"/>
        <w:right w:val="none" w:sz="0" w:space="0" w:color="auto"/>
      </w:divBdr>
    </w:div>
    <w:div w:id="1698582629">
      <w:bodyDiv w:val="1"/>
      <w:marLeft w:val="0"/>
      <w:marRight w:val="0"/>
      <w:marTop w:val="0"/>
      <w:marBottom w:val="0"/>
      <w:divBdr>
        <w:top w:val="none" w:sz="0" w:space="0" w:color="auto"/>
        <w:left w:val="none" w:sz="0" w:space="0" w:color="auto"/>
        <w:bottom w:val="none" w:sz="0" w:space="0" w:color="auto"/>
        <w:right w:val="none" w:sz="0" w:space="0" w:color="auto"/>
      </w:divBdr>
      <w:divsChild>
        <w:div w:id="252326720">
          <w:marLeft w:val="1267"/>
          <w:marRight w:val="0"/>
          <w:marTop w:val="0"/>
          <w:marBottom w:val="0"/>
          <w:divBdr>
            <w:top w:val="none" w:sz="0" w:space="0" w:color="auto"/>
            <w:left w:val="none" w:sz="0" w:space="0" w:color="auto"/>
            <w:bottom w:val="none" w:sz="0" w:space="0" w:color="auto"/>
            <w:right w:val="none" w:sz="0" w:space="0" w:color="auto"/>
          </w:divBdr>
        </w:div>
        <w:div w:id="262880743">
          <w:marLeft w:val="1267"/>
          <w:marRight w:val="0"/>
          <w:marTop w:val="0"/>
          <w:marBottom w:val="0"/>
          <w:divBdr>
            <w:top w:val="none" w:sz="0" w:space="0" w:color="auto"/>
            <w:left w:val="none" w:sz="0" w:space="0" w:color="auto"/>
            <w:bottom w:val="none" w:sz="0" w:space="0" w:color="auto"/>
            <w:right w:val="none" w:sz="0" w:space="0" w:color="auto"/>
          </w:divBdr>
        </w:div>
        <w:div w:id="838615109">
          <w:marLeft w:val="547"/>
          <w:marRight w:val="0"/>
          <w:marTop w:val="0"/>
          <w:marBottom w:val="0"/>
          <w:divBdr>
            <w:top w:val="none" w:sz="0" w:space="0" w:color="auto"/>
            <w:left w:val="none" w:sz="0" w:space="0" w:color="auto"/>
            <w:bottom w:val="none" w:sz="0" w:space="0" w:color="auto"/>
            <w:right w:val="none" w:sz="0" w:space="0" w:color="auto"/>
          </w:divBdr>
        </w:div>
        <w:div w:id="871654662">
          <w:marLeft w:val="547"/>
          <w:marRight w:val="0"/>
          <w:marTop w:val="0"/>
          <w:marBottom w:val="0"/>
          <w:divBdr>
            <w:top w:val="none" w:sz="0" w:space="0" w:color="auto"/>
            <w:left w:val="none" w:sz="0" w:space="0" w:color="auto"/>
            <w:bottom w:val="none" w:sz="0" w:space="0" w:color="auto"/>
            <w:right w:val="none" w:sz="0" w:space="0" w:color="auto"/>
          </w:divBdr>
        </w:div>
        <w:div w:id="999191511">
          <w:marLeft w:val="1267"/>
          <w:marRight w:val="0"/>
          <w:marTop w:val="0"/>
          <w:marBottom w:val="0"/>
          <w:divBdr>
            <w:top w:val="none" w:sz="0" w:space="0" w:color="auto"/>
            <w:left w:val="none" w:sz="0" w:space="0" w:color="auto"/>
            <w:bottom w:val="none" w:sz="0" w:space="0" w:color="auto"/>
            <w:right w:val="none" w:sz="0" w:space="0" w:color="auto"/>
          </w:divBdr>
        </w:div>
        <w:div w:id="1121532313">
          <w:marLeft w:val="1267"/>
          <w:marRight w:val="0"/>
          <w:marTop w:val="0"/>
          <w:marBottom w:val="0"/>
          <w:divBdr>
            <w:top w:val="none" w:sz="0" w:space="0" w:color="auto"/>
            <w:left w:val="none" w:sz="0" w:space="0" w:color="auto"/>
            <w:bottom w:val="none" w:sz="0" w:space="0" w:color="auto"/>
            <w:right w:val="none" w:sz="0" w:space="0" w:color="auto"/>
          </w:divBdr>
        </w:div>
        <w:div w:id="1129857339">
          <w:marLeft w:val="1267"/>
          <w:marRight w:val="0"/>
          <w:marTop w:val="0"/>
          <w:marBottom w:val="0"/>
          <w:divBdr>
            <w:top w:val="none" w:sz="0" w:space="0" w:color="auto"/>
            <w:left w:val="none" w:sz="0" w:space="0" w:color="auto"/>
            <w:bottom w:val="none" w:sz="0" w:space="0" w:color="auto"/>
            <w:right w:val="none" w:sz="0" w:space="0" w:color="auto"/>
          </w:divBdr>
        </w:div>
        <w:div w:id="1163622670">
          <w:marLeft w:val="547"/>
          <w:marRight w:val="0"/>
          <w:marTop w:val="0"/>
          <w:marBottom w:val="0"/>
          <w:divBdr>
            <w:top w:val="none" w:sz="0" w:space="0" w:color="auto"/>
            <w:left w:val="none" w:sz="0" w:space="0" w:color="auto"/>
            <w:bottom w:val="none" w:sz="0" w:space="0" w:color="auto"/>
            <w:right w:val="none" w:sz="0" w:space="0" w:color="auto"/>
          </w:divBdr>
        </w:div>
        <w:div w:id="1180465841">
          <w:marLeft w:val="1267"/>
          <w:marRight w:val="0"/>
          <w:marTop w:val="0"/>
          <w:marBottom w:val="0"/>
          <w:divBdr>
            <w:top w:val="none" w:sz="0" w:space="0" w:color="auto"/>
            <w:left w:val="none" w:sz="0" w:space="0" w:color="auto"/>
            <w:bottom w:val="none" w:sz="0" w:space="0" w:color="auto"/>
            <w:right w:val="none" w:sz="0" w:space="0" w:color="auto"/>
          </w:divBdr>
        </w:div>
        <w:div w:id="1371223844">
          <w:marLeft w:val="1267"/>
          <w:marRight w:val="0"/>
          <w:marTop w:val="0"/>
          <w:marBottom w:val="0"/>
          <w:divBdr>
            <w:top w:val="none" w:sz="0" w:space="0" w:color="auto"/>
            <w:left w:val="none" w:sz="0" w:space="0" w:color="auto"/>
            <w:bottom w:val="none" w:sz="0" w:space="0" w:color="auto"/>
            <w:right w:val="none" w:sz="0" w:space="0" w:color="auto"/>
          </w:divBdr>
        </w:div>
        <w:div w:id="1513686237">
          <w:marLeft w:val="1267"/>
          <w:marRight w:val="0"/>
          <w:marTop w:val="0"/>
          <w:marBottom w:val="0"/>
          <w:divBdr>
            <w:top w:val="none" w:sz="0" w:space="0" w:color="auto"/>
            <w:left w:val="none" w:sz="0" w:space="0" w:color="auto"/>
            <w:bottom w:val="none" w:sz="0" w:space="0" w:color="auto"/>
            <w:right w:val="none" w:sz="0" w:space="0" w:color="auto"/>
          </w:divBdr>
        </w:div>
        <w:div w:id="1514686492">
          <w:marLeft w:val="547"/>
          <w:marRight w:val="0"/>
          <w:marTop w:val="0"/>
          <w:marBottom w:val="0"/>
          <w:divBdr>
            <w:top w:val="none" w:sz="0" w:space="0" w:color="auto"/>
            <w:left w:val="none" w:sz="0" w:space="0" w:color="auto"/>
            <w:bottom w:val="none" w:sz="0" w:space="0" w:color="auto"/>
            <w:right w:val="none" w:sz="0" w:space="0" w:color="auto"/>
          </w:divBdr>
        </w:div>
        <w:div w:id="1663049427">
          <w:marLeft w:val="1267"/>
          <w:marRight w:val="0"/>
          <w:marTop w:val="0"/>
          <w:marBottom w:val="0"/>
          <w:divBdr>
            <w:top w:val="none" w:sz="0" w:space="0" w:color="auto"/>
            <w:left w:val="none" w:sz="0" w:space="0" w:color="auto"/>
            <w:bottom w:val="none" w:sz="0" w:space="0" w:color="auto"/>
            <w:right w:val="none" w:sz="0" w:space="0" w:color="auto"/>
          </w:divBdr>
        </w:div>
        <w:div w:id="1831213847">
          <w:marLeft w:val="1267"/>
          <w:marRight w:val="0"/>
          <w:marTop w:val="0"/>
          <w:marBottom w:val="0"/>
          <w:divBdr>
            <w:top w:val="none" w:sz="0" w:space="0" w:color="auto"/>
            <w:left w:val="none" w:sz="0" w:space="0" w:color="auto"/>
            <w:bottom w:val="none" w:sz="0" w:space="0" w:color="auto"/>
            <w:right w:val="none" w:sz="0" w:space="0" w:color="auto"/>
          </w:divBdr>
        </w:div>
        <w:div w:id="2027170371">
          <w:marLeft w:val="1267"/>
          <w:marRight w:val="0"/>
          <w:marTop w:val="0"/>
          <w:marBottom w:val="0"/>
          <w:divBdr>
            <w:top w:val="none" w:sz="0" w:space="0" w:color="auto"/>
            <w:left w:val="none" w:sz="0" w:space="0" w:color="auto"/>
            <w:bottom w:val="none" w:sz="0" w:space="0" w:color="auto"/>
            <w:right w:val="none" w:sz="0" w:space="0" w:color="auto"/>
          </w:divBdr>
        </w:div>
      </w:divsChild>
    </w:div>
    <w:div w:id="1730886104">
      <w:bodyDiv w:val="1"/>
      <w:marLeft w:val="0"/>
      <w:marRight w:val="0"/>
      <w:marTop w:val="0"/>
      <w:marBottom w:val="0"/>
      <w:divBdr>
        <w:top w:val="none" w:sz="0" w:space="0" w:color="auto"/>
        <w:left w:val="none" w:sz="0" w:space="0" w:color="auto"/>
        <w:bottom w:val="none" w:sz="0" w:space="0" w:color="auto"/>
        <w:right w:val="none" w:sz="0" w:space="0" w:color="auto"/>
      </w:divBdr>
    </w:div>
    <w:div w:id="1796832674">
      <w:bodyDiv w:val="1"/>
      <w:marLeft w:val="0"/>
      <w:marRight w:val="0"/>
      <w:marTop w:val="0"/>
      <w:marBottom w:val="0"/>
      <w:divBdr>
        <w:top w:val="none" w:sz="0" w:space="0" w:color="auto"/>
        <w:left w:val="none" w:sz="0" w:space="0" w:color="auto"/>
        <w:bottom w:val="none" w:sz="0" w:space="0" w:color="auto"/>
        <w:right w:val="none" w:sz="0" w:space="0" w:color="auto"/>
      </w:divBdr>
    </w:div>
    <w:div w:id="1886409990">
      <w:bodyDiv w:val="1"/>
      <w:marLeft w:val="0"/>
      <w:marRight w:val="0"/>
      <w:marTop w:val="0"/>
      <w:marBottom w:val="0"/>
      <w:divBdr>
        <w:top w:val="none" w:sz="0" w:space="0" w:color="auto"/>
        <w:left w:val="none" w:sz="0" w:space="0" w:color="auto"/>
        <w:bottom w:val="none" w:sz="0" w:space="0" w:color="auto"/>
        <w:right w:val="none" w:sz="0" w:space="0" w:color="auto"/>
      </w:divBdr>
    </w:div>
    <w:div w:id="1929383203">
      <w:bodyDiv w:val="1"/>
      <w:marLeft w:val="0"/>
      <w:marRight w:val="0"/>
      <w:marTop w:val="0"/>
      <w:marBottom w:val="0"/>
      <w:divBdr>
        <w:top w:val="none" w:sz="0" w:space="0" w:color="auto"/>
        <w:left w:val="none" w:sz="0" w:space="0" w:color="auto"/>
        <w:bottom w:val="none" w:sz="0" w:space="0" w:color="auto"/>
        <w:right w:val="none" w:sz="0" w:space="0" w:color="auto"/>
      </w:divBdr>
    </w:div>
    <w:div w:id="1947426844">
      <w:bodyDiv w:val="1"/>
      <w:marLeft w:val="0"/>
      <w:marRight w:val="0"/>
      <w:marTop w:val="0"/>
      <w:marBottom w:val="0"/>
      <w:divBdr>
        <w:top w:val="none" w:sz="0" w:space="0" w:color="auto"/>
        <w:left w:val="none" w:sz="0" w:space="0" w:color="auto"/>
        <w:bottom w:val="none" w:sz="0" w:space="0" w:color="auto"/>
        <w:right w:val="none" w:sz="0" w:space="0" w:color="auto"/>
      </w:divBdr>
    </w:div>
    <w:div w:id="2017146933">
      <w:bodyDiv w:val="1"/>
      <w:marLeft w:val="0"/>
      <w:marRight w:val="0"/>
      <w:marTop w:val="0"/>
      <w:marBottom w:val="0"/>
      <w:divBdr>
        <w:top w:val="none" w:sz="0" w:space="0" w:color="auto"/>
        <w:left w:val="none" w:sz="0" w:space="0" w:color="auto"/>
        <w:bottom w:val="none" w:sz="0" w:space="0" w:color="auto"/>
        <w:right w:val="none" w:sz="0" w:space="0" w:color="auto"/>
      </w:divBdr>
      <w:divsChild>
        <w:div w:id="606356338">
          <w:marLeft w:val="0"/>
          <w:marRight w:val="0"/>
          <w:marTop w:val="0"/>
          <w:marBottom w:val="0"/>
          <w:divBdr>
            <w:top w:val="none" w:sz="0" w:space="0" w:color="auto"/>
            <w:left w:val="none" w:sz="0" w:space="0" w:color="auto"/>
            <w:bottom w:val="none" w:sz="0" w:space="0" w:color="auto"/>
            <w:right w:val="none" w:sz="0" w:space="0" w:color="auto"/>
          </w:divBdr>
          <w:divsChild>
            <w:div w:id="1228490598">
              <w:marLeft w:val="0"/>
              <w:marRight w:val="0"/>
              <w:marTop w:val="0"/>
              <w:marBottom w:val="0"/>
              <w:divBdr>
                <w:top w:val="none" w:sz="0" w:space="0" w:color="auto"/>
                <w:left w:val="none" w:sz="0" w:space="0" w:color="auto"/>
                <w:bottom w:val="none" w:sz="0" w:space="0" w:color="auto"/>
                <w:right w:val="none" w:sz="0" w:space="0" w:color="auto"/>
              </w:divBdr>
              <w:divsChild>
                <w:div w:id="879822467">
                  <w:marLeft w:val="0"/>
                  <w:marRight w:val="0"/>
                  <w:marTop w:val="0"/>
                  <w:marBottom w:val="0"/>
                  <w:divBdr>
                    <w:top w:val="none" w:sz="0" w:space="0" w:color="auto"/>
                    <w:left w:val="none" w:sz="0" w:space="0" w:color="auto"/>
                    <w:bottom w:val="none" w:sz="0" w:space="0" w:color="auto"/>
                    <w:right w:val="none" w:sz="0" w:space="0" w:color="auto"/>
                  </w:divBdr>
                  <w:divsChild>
                    <w:div w:id="83495845">
                      <w:marLeft w:val="0"/>
                      <w:marRight w:val="0"/>
                      <w:marTop w:val="0"/>
                      <w:marBottom w:val="0"/>
                      <w:divBdr>
                        <w:top w:val="none" w:sz="0" w:space="0" w:color="auto"/>
                        <w:left w:val="none" w:sz="0" w:space="0" w:color="auto"/>
                        <w:bottom w:val="none" w:sz="0" w:space="0" w:color="auto"/>
                        <w:right w:val="none" w:sz="0" w:space="0" w:color="auto"/>
                      </w:divBdr>
                      <w:divsChild>
                        <w:div w:id="2100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76563">
      <w:bodyDiv w:val="1"/>
      <w:marLeft w:val="0"/>
      <w:marRight w:val="0"/>
      <w:marTop w:val="0"/>
      <w:marBottom w:val="0"/>
      <w:divBdr>
        <w:top w:val="none" w:sz="0" w:space="0" w:color="auto"/>
        <w:left w:val="none" w:sz="0" w:space="0" w:color="auto"/>
        <w:bottom w:val="none" w:sz="0" w:space="0" w:color="auto"/>
        <w:right w:val="none" w:sz="0" w:space="0" w:color="auto"/>
      </w:divBdr>
    </w:div>
    <w:div w:id="2072848091">
      <w:bodyDiv w:val="1"/>
      <w:marLeft w:val="0"/>
      <w:marRight w:val="0"/>
      <w:marTop w:val="0"/>
      <w:marBottom w:val="0"/>
      <w:divBdr>
        <w:top w:val="none" w:sz="0" w:space="0" w:color="auto"/>
        <w:left w:val="none" w:sz="0" w:space="0" w:color="auto"/>
        <w:bottom w:val="none" w:sz="0" w:space="0" w:color="auto"/>
        <w:right w:val="none" w:sz="0" w:space="0" w:color="auto"/>
      </w:divBdr>
      <w:divsChild>
        <w:div w:id="167258998">
          <w:marLeft w:val="0"/>
          <w:marRight w:val="0"/>
          <w:marTop w:val="0"/>
          <w:marBottom w:val="0"/>
          <w:divBdr>
            <w:top w:val="none" w:sz="0" w:space="0" w:color="auto"/>
            <w:left w:val="none" w:sz="0" w:space="0" w:color="auto"/>
            <w:bottom w:val="none" w:sz="0" w:space="0" w:color="auto"/>
            <w:right w:val="none" w:sz="0" w:space="0" w:color="auto"/>
          </w:divBdr>
        </w:div>
      </w:divsChild>
    </w:div>
    <w:div w:id="2090080088">
      <w:bodyDiv w:val="1"/>
      <w:marLeft w:val="0"/>
      <w:marRight w:val="0"/>
      <w:marTop w:val="0"/>
      <w:marBottom w:val="0"/>
      <w:divBdr>
        <w:top w:val="none" w:sz="0" w:space="0" w:color="auto"/>
        <w:left w:val="none" w:sz="0" w:space="0" w:color="auto"/>
        <w:bottom w:val="none" w:sz="0" w:space="0" w:color="auto"/>
        <w:right w:val="none" w:sz="0" w:space="0" w:color="auto"/>
      </w:divBdr>
      <w:divsChild>
        <w:div w:id="191916140">
          <w:marLeft w:val="446"/>
          <w:marRight w:val="0"/>
          <w:marTop w:val="0"/>
          <w:marBottom w:val="0"/>
          <w:divBdr>
            <w:top w:val="none" w:sz="0" w:space="0" w:color="auto"/>
            <w:left w:val="none" w:sz="0" w:space="0" w:color="auto"/>
            <w:bottom w:val="none" w:sz="0" w:space="0" w:color="auto"/>
            <w:right w:val="none" w:sz="0" w:space="0" w:color="auto"/>
          </w:divBdr>
        </w:div>
        <w:div w:id="624699698">
          <w:marLeft w:val="1166"/>
          <w:marRight w:val="0"/>
          <w:marTop w:val="0"/>
          <w:marBottom w:val="0"/>
          <w:divBdr>
            <w:top w:val="none" w:sz="0" w:space="0" w:color="auto"/>
            <w:left w:val="none" w:sz="0" w:space="0" w:color="auto"/>
            <w:bottom w:val="none" w:sz="0" w:space="0" w:color="auto"/>
            <w:right w:val="none" w:sz="0" w:space="0" w:color="auto"/>
          </w:divBdr>
        </w:div>
        <w:div w:id="853687885">
          <w:marLeft w:val="1166"/>
          <w:marRight w:val="0"/>
          <w:marTop w:val="0"/>
          <w:marBottom w:val="0"/>
          <w:divBdr>
            <w:top w:val="none" w:sz="0" w:space="0" w:color="auto"/>
            <w:left w:val="none" w:sz="0" w:space="0" w:color="auto"/>
            <w:bottom w:val="none" w:sz="0" w:space="0" w:color="auto"/>
            <w:right w:val="none" w:sz="0" w:space="0" w:color="auto"/>
          </w:divBdr>
        </w:div>
        <w:div w:id="1027678656">
          <w:marLeft w:val="1166"/>
          <w:marRight w:val="0"/>
          <w:marTop w:val="0"/>
          <w:marBottom w:val="0"/>
          <w:divBdr>
            <w:top w:val="none" w:sz="0" w:space="0" w:color="auto"/>
            <w:left w:val="none" w:sz="0" w:space="0" w:color="auto"/>
            <w:bottom w:val="none" w:sz="0" w:space="0" w:color="auto"/>
            <w:right w:val="none" w:sz="0" w:space="0" w:color="auto"/>
          </w:divBdr>
        </w:div>
        <w:div w:id="1247038599">
          <w:marLeft w:val="1166"/>
          <w:marRight w:val="0"/>
          <w:marTop w:val="0"/>
          <w:marBottom w:val="0"/>
          <w:divBdr>
            <w:top w:val="none" w:sz="0" w:space="0" w:color="auto"/>
            <w:left w:val="none" w:sz="0" w:space="0" w:color="auto"/>
            <w:bottom w:val="none" w:sz="0" w:space="0" w:color="auto"/>
            <w:right w:val="none" w:sz="0" w:space="0" w:color="auto"/>
          </w:divBdr>
        </w:div>
        <w:div w:id="1261136746">
          <w:marLeft w:val="446"/>
          <w:marRight w:val="0"/>
          <w:marTop w:val="0"/>
          <w:marBottom w:val="0"/>
          <w:divBdr>
            <w:top w:val="none" w:sz="0" w:space="0" w:color="auto"/>
            <w:left w:val="none" w:sz="0" w:space="0" w:color="auto"/>
            <w:bottom w:val="none" w:sz="0" w:space="0" w:color="auto"/>
            <w:right w:val="none" w:sz="0" w:space="0" w:color="auto"/>
          </w:divBdr>
        </w:div>
        <w:div w:id="1481311918">
          <w:marLeft w:val="1166"/>
          <w:marRight w:val="0"/>
          <w:marTop w:val="0"/>
          <w:marBottom w:val="0"/>
          <w:divBdr>
            <w:top w:val="none" w:sz="0" w:space="0" w:color="auto"/>
            <w:left w:val="none" w:sz="0" w:space="0" w:color="auto"/>
            <w:bottom w:val="none" w:sz="0" w:space="0" w:color="auto"/>
            <w:right w:val="none" w:sz="0" w:space="0" w:color="auto"/>
          </w:divBdr>
        </w:div>
        <w:div w:id="1706909429">
          <w:marLeft w:val="1166"/>
          <w:marRight w:val="0"/>
          <w:marTop w:val="0"/>
          <w:marBottom w:val="0"/>
          <w:divBdr>
            <w:top w:val="none" w:sz="0" w:space="0" w:color="auto"/>
            <w:left w:val="none" w:sz="0" w:space="0" w:color="auto"/>
            <w:bottom w:val="none" w:sz="0" w:space="0" w:color="auto"/>
            <w:right w:val="none" w:sz="0" w:space="0" w:color="auto"/>
          </w:divBdr>
        </w:div>
        <w:div w:id="1770857776">
          <w:marLeft w:val="446"/>
          <w:marRight w:val="0"/>
          <w:marTop w:val="0"/>
          <w:marBottom w:val="0"/>
          <w:divBdr>
            <w:top w:val="none" w:sz="0" w:space="0" w:color="auto"/>
            <w:left w:val="none" w:sz="0" w:space="0" w:color="auto"/>
            <w:bottom w:val="none" w:sz="0" w:space="0" w:color="auto"/>
            <w:right w:val="none" w:sz="0" w:space="0" w:color="auto"/>
          </w:divBdr>
        </w:div>
        <w:div w:id="1812752695">
          <w:marLeft w:val="1166"/>
          <w:marRight w:val="0"/>
          <w:marTop w:val="0"/>
          <w:marBottom w:val="0"/>
          <w:divBdr>
            <w:top w:val="none" w:sz="0" w:space="0" w:color="auto"/>
            <w:left w:val="none" w:sz="0" w:space="0" w:color="auto"/>
            <w:bottom w:val="none" w:sz="0" w:space="0" w:color="auto"/>
            <w:right w:val="none" w:sz="0" w:space="0" w:color="auto"/>
          </w:divBdr>
        </w:div>
        <w:div w:id="1906910357">
          <w:marLeft w:val="446"/>
          <w:marRight w:val="0"/>
          <w:marTop w:val="0"/>
          <w:marBottom w:val="0"/>
          <w:divBdr>
            <w:top w:val="none" w:sz="0" w:space="0" w:color="auto"/>
            <w:left w:val="none" w:sz="0" w:space="0" w:color="auto"/>
            <w:bottom w:val="none" w:sz="0" w:space="0" w:color="auto"/>
            <w:right w:val="none" w:sz="0" w:space="0" w:color="auto"/>
          </w:divBdr>
        </w:div>
        <w:div w:id="19514306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europa.eu/documents/10180/534414/EBA+Report+on+EU+Covered+Bond+Frameworks+and+Capital+Treatment.pdf" TargetMode="External"/><Relationship Id="rId13" Type="http://schemas.openxmlformats.org/officeDocument/2006/relationships/hyperlink" Target="https://eba.europa.eu/regulation-and-policy/securitisation-and-covered-bonds/guidelines-on-implicit-support-for-securitisation-transactions" TargetMode="External"/><Relationship Id="rId18" Type="http://schemas.openxmlformats.org/officeDocument/2006/relationships/hyperlink" Target="http://data.europa.eu/eli/dir/2009/138/oj" TargetMode="External"/><Relationship Id="rId3" Type="http://schemas.openxmlformats.org/officeDocument/2006/relationships/styles" Target="styles.xml"/><Relationship Id="rId21" Type="http://schemas.openxmlformats.org/officeDocument/2006/relationships/hyperlink" Target="http://data.europa.eu/eli/reg/2017/1129/oj" TargetMode="External"/><Relationship Id="rId7" Type="http://schemas.openxmlformats.org/officeDocument/2006/relationships/endnotes" Target="endnotes.xml"/><Relationship Id="rId12" Type="http://schemas.openxmlformats.org/officeDocument/2006/relationships/hyperlink" Target="https://eba.europa.eu/regulation-and-policy/securitisation-and-covered-bonds/guidelines-on-significant-risk-transfer-srt-for-securitisation-transactions" TargetMode="External"/><Relationship Id="rId17" Type="http://schemas.openxmlformats.org/officeDocument/2006/relationships/hyperlink" Target="http://data.europa.eu/eli/dir/2014/59/o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europa.eu/eli/dir/2009/65/oj" TargetMode="External"/><Relationship Id="rId20" Type="http://schemas.openxmlformats.org/officeDocument/2006/relationships/hyperlink" Target="http://data.europa.eu/eli/reg/2013/575/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a.europa.eu/regulation-and-policy/securitisation-and-covered-bonds/rts-on-the-homogeneity-of-the-underlying-exposures-in-securitis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dir/2019/2162/oj" TargetMode="External"/><Relationship Id="rId23" Type="http://schemas.openxmlformats.org/officeDocument/2006/relationships/footer" Target="footer1.xml"/><Relationship Id="rId10" Type="http://schemas.openxmlformats.org/officeDocument/2006/relationships/hyperlink" Target="https://eba.europa.eu/regulation-and-policy/securitisation-and-covered-bonds/rts-on-risk-retention" TargetMode="External"/><Relationship Id="rId19" Type="http://schemas.openxmlformats.org/officeDocument/2006/relationships/hyperlink" Target="http://data.europa.eu/eli/dir/2013/36/oj" TargetMode="External"/><Relationship Id="rId4" Type="http://schemas.openxmlformats.org/officeDocument/2006/relationships/settings" Target="settings.xml"/><Relationship Id="rId9" Type="http://schemas.openxmlformats.org/officeDocument/2006/relationships/hyperlink" Target="https://eur-lex.europa.eu/legal-content/en/TXT/?uri=celex:32017R2402" TargetMode="External"/><Relationship Id="rId14" Type="http://schemas.openxmlformats.org/officeDocument/2006/relationships/hyperlink" Target="https://eba.europa.eu/regulation-and-policy/securitisation-and-covered-bonds/guidelines-on-the-sts-criteria-for-abcp-and-non-abcp-securitisation" TargetMode="External"/><Relationship Id="rId22" Type="http://schemas.openxmlformats.org/officeDocument/2006/relationships/hyperlink" Target="http://data.europa.eu/eli/reg/2009/1060/o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eba761b4-d026-11e8-9424-01aa75ed71a1/language-en" TargetMode="External"/><Relationship Id="rId1" Type="http://schemas.openxmlformats.org/officeDocument/2006/relationships/hyperlink" Target="https://op.europa.eu/en/publication-detail/-/publication/eba761b4-d026-11e8-9424-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54AF-C6E2-4E35-A774-F395E77F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125400</Words>
  <Characters>71479</Characters>
  <Application>Microsoft Office Word</Application>
  <DocSecurity>0</DocSecurity>
  <PresentationFormat/>
  <Lines>595</Lines>
  <Paragraphs>392</Paragraphs>
  <ScaleCrop>false</ScaleCrop>
  <HeadingPairs>
    <vt:vector size="2" baseType="variant">
      <vt:variant>
        <vt:lpstr>Назва</vt:lpstr>
      </vt:variant>
      <vt:variant>
        <vt:i4>1</vt:i4>
      </vt:variant>
    </vt:vector>
  </HeadingPairs>
  <TitlesOfParts>
    <vt:vector size="1" baseType="lpstr">
      <vt:lpstr/>
    </vt:vector>
  </TitlesOfParts>
  <Manager/>
  <Company/>
  <LinksUpToDate>false</LinksUpToDate>
  <CharactersWithSpaces>196487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2023-02-14T13:05:00Z</dcterms:created>
  <dcterms:modified xsi:type="dcterms:W3CDTF">2023-02-15T14:05:00Z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066115eccd7aefe32c586438ba5e88fe832e199d934e88f9c966575bf67d4f02</vt:lpwstr>
  </property>
  <property fmtid="{D5CDD505-2E9C-101B-9397-08002B2CF9AE}" pid="3" name="MSIP_Label_81064379-0ecc-4782-bfd4-efa644d7df5e_Enabled">
    <vt:lpwstr>true</vt:lpwstr>
  </property>
  <property fmtid="{D5CDD505-2E9C-101B-9397-08002B2CF9AE}" pid="4" name="MSIP_Label_81064379-0ecc-4782-bfd4-efa644d7df5e_SetDate">
    <vt:lpwstr>2023-01-10T10:17:25Z</vt:lpwstr>
  </property>
  <property fmtid="{D5CDD505-2E9C-101B-9397-08002B2CF9AE}" pid="5" name="MSIP_Label_81064379-0ecc-4782-bfd4-efa644d7df5e_Method">
    <vt:lpwstr>Privileged</vt:lpwstr>
  </property>
  <property fmtid="{D5CDD505-2E9C-101B-9397-08002B2CF9AE}" pid="6" name="MSIP_Label_81064379-0ecc-4782-bfd4-efa644d7df5e_Name">
    <vt:lpwstr>Public</vt:lpwstr>
  </property>
  <property fmtid="{D5CDD505-2E9C-101B-9397-08002B2CF9AE}" pid="7" name="MSIP_Label_81064379-0ecc-4782-bfd4-efa644d7df5e_SiteId">
    <vt:lpwstr>f099d058-95d2-418d-9867-f269e19877bb</vt:lpwstr>
  </property>
  <property fmtid="{D5CDD505-2E9C-101B-9397-08002B2CF9AE}" pid="8" name="MSIP_Label_81064379-0ecc-4782-bfd4-efa644d7df5e_ActionId">
    <vt:lpwstr>2e354512-5ea8-439a-85c9-8cdd510897e5</vt:lpwstr>
  </property>
  <property fmtid="{D5CDD505-2E9C-101B-9397-08002B2CF9AE}" pid="9" name="MSIP_Label_81064379-0ecc-4782-bfd4-efa644d7df5e_ContentBits">
    <vt:lpwstr>0</vt:lpwstr>
  </property>
</Properties>
</file>