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68" w:rsidRDefault="00A10A36">
      <w:pPr>
        <w:spacing w:after="0"/>
        <w:ind w:firstLine="240"/>
        <w:jc w:val="right"/>
      </w:pPr>
      <w:bookmarkStart w:id="0" w:name="95"/>
      <w:r>
        <w:rPr>
          <w:rFonts w:ascii="Arial"/>
          <w:color w:val="000000"/>
          <w:sz w:val="18"/>
        </w:rPr>
        <w:t>Додаток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43"/>
        <w:gridCol w:w="1624"/>
        <w:gridCol w:w="6525"/>
      </w:tblGrid>
      <w:tr w:rsidR="00DF786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1" w:name="96"/>
            <w:bookmarkEnd w:id="0"/>
            <w:r>
              <w:rPr>
                <w:rFonts w:ascii="Arial"/>
                <w:b/>
                <w:color w:val="000000"/>
                <w:sz w:val="15"/>
              </w:rPr>
              <w:t>Номер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2" w:name="97"/>
            <w:bookmarkEnd w:id="1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громади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3" w:name="98"/>
            <w:bookmarkEnd w:id="2"/>
            <w:r>
              <w:rPr>
                <w:rFonts w:ascii="Arial"/>
                <w:b/>
                <w:color w:val="000000"/>
                <w:sz w:val="15"/>
              </w:rPr>
              <w:t>Питання</w:t>
            </w:r>
          </w:p>
        </w:tc>
        <w:bookmarkEnd w:id="3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4" w:name="99"/>
            <w:r>
              <w:rPr>
                <w:rFonts w:ascii="Arial"/>
                <w:color w:val="000000"/>
                <w:sz w:val="15"/>
              </w:rPr>
              <w:t>1.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5" w:name="100"/>
            <w:bookmarkEnd w:id="4"/>
            <w:r>
              <w:rPr>
                <w:rFonts w:ascii="Arial"/>
                <w:color w:val="000000"/>
                <w:sz w:val="15"/>
              </w:rPr>
              <w:t>Дніпровська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6" w:name="101"/>
            <w:bookmarkEnd w:id="5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потрібно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замовнику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оголошення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спрощеної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закупівлі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28.02.2022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. N 169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змінами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розміщувати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закупівель</w:t>
            </w:r>
            <w:r>
              <w:rPr>
                <w:rFonts w:ascii="Arial"/>
                <w:color w:val="000000"/>
                <w:sz w:val="15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оголошенням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відкритих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торгів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вимагати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17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публічні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оскільки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деякі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відкриті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реєстри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працюють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етапі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кваліфікації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перевірити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здійснюється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реєстр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доступний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встановлювати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тендерній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документації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можуть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отримати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gramStart"/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себе</w:t>
            </w:r>
            <w:proofErr w:type="gramEnd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реєстрі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Детальні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яснення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надало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3323-04/40967-06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посиланням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https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://</w:t>
            </w:r>
            <w:r>
              <w:rPr>
                <w:rFonts w:ascii="Arial"/>
                <w:color w:val="000000"/>
                <w:sz w:val="15"/>
              </w:rPr>
              <w:t>cutt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>
              <w:rPr>
                <w:rFonts w:ascii="Arial"/>
                <w:color w:val="000000"/>
                <w:sz w:val="15"/>
              </w:rPr>
              <w:t>ly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>
              <w:rPr>
                <w:rFonts w:ascii="Arial"/>
                <w:color w:val="000000"/>
                <w:sz w:val="15"/>
              </w:rPr>
              <w:t>LLvDdY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9.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звітувати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закупівлями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укладались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звітувати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звітувати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Звітувати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понад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тисяч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гривень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електронною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системо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Прозорро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виключеннями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зробити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пізніше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через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70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припинення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скасування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4.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публікувати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угоди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169?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результатами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результатами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тисяч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публікувати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угоди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мова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йде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виключенням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разом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нього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тобто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додатковими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угодами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пізніше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через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70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припинення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скасування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5.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враховувати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результатами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оголошення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41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публічні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укладається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розповсюджуються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результатом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його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6.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постачальником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підставі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переговорної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відсутністю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конкуренції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технічних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причин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можливо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переговорну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зараз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кінця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централізованого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водопостачання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водовідведення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цьому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випадку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переговорну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7.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искримінаційною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вимагання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сертифікатів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товар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висновків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санітарно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епідеміологічних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експертиз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сертифікатів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ISO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зазначає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вимогах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запитаннях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внутрішньо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переміщена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підприємець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документів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момент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доступу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завжди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встановлює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огляду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конкретні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специфіку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,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говорити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встановлені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законодавством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продукти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харчування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медикаменти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обґрунтованими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язковими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слід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встановлювати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обтяжли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умови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звуження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потенційного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кола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постачальників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6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7" w:name="102"/>
            <w:r>
              <w:rPr>
                <w:rFonts w:ascii="Arial"/>
                <w:color w:val="000000"/>
                <w:sz w:val="15"/>
              </w:rPr>
              <w:t>2.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8" w:name="103"/>
            <w:bookmarkEnd w:id="7"/>
            <w:r>
              <w:rPr>
                <w:rFonts w:ascii="Arial"/>
                <w:color w:val="000000"/>
                <w:sz w:val="15"/>
              </w:rPr>
              <w:t>Павлоградська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9" w:name="104"/>
            <w:bookmarkEnd w:id="8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Наразі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працює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реєстр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єктів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критичної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інфраструктури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Користуватись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наявними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виключеннями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обґрунтувати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обмеженим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доступом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розголошення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правового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режиму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загрозу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національній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громадській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інформацією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ліків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язувальних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матеріалів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товарів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військових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частин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Внутрішніми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підставі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звернень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військових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частин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обмежуватися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закінчення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закуплені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єктивно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можуть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оскільки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останова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регулює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умовах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lastRenderedPageBreak/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цьому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сторони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можуть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передбачити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можливість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продовження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продовження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4.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закуповувати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пальне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товари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нестійкою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ціно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постійним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коливанням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ринкової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вартості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взагалі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відсутності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товарів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ринку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постачальники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взагалі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відмовляються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співпрацювати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мова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йде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купувати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слід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керуючись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конкретною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передбачати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можливість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ціни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коливання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9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10" w:name="105"/>
            <w:r>
              <w:rPr>
                <w:rFonts w:ascii="Arial"/>
                <w:color w:val="000000"/>
                <w:sz w:val="15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11" w:name="106"/>
            <w:bookmarkEnd w:id="10"/>
            <w:r>
              <w:rPr>
                <w:rFonts w:ascii="Arial"/>
                <w:color w:val="000000"/>
                <w:sz w:val="15"/>
              </w:rPr>
              <w:t>Тернівська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12" w:name="107"/>
            <w:bookmarkEnd w:id="11"/>
            <w:r w:rsidRPr="00D41138">
              <w:rPr>
                <w:rFonts w:ascii="Arial"/>
                <w:color w:val="000000"/>
                <w:sz w:val="15"/>
                <w:lang w:val="ru-RU"/>
              </w:rPr>
              <w:t>Порядок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оформлення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: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питання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потребує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уточнення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зустрічі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13.07.2022.</w:t>
            </w:r>
          </w:p>
        </w:tc>
        <w:bookmarkEnd w:id="12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13" w:name="108"/>
            <w:r>
              <w:rPr>
                <w:rFonts w:ascii="Arial"/>
                <w:color w:val="000000"/>
                <w:sz w:val="15"/>
              </w:rPr>
              <w:t>4.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14" w:name="109"/>
            <w:bookmarkEnd w:id="13"/>
            <w:r>
              <w:rPr>
                <w:rFonts w:ascii="Arial"/>
                <w:color w:val="000000"/>
                <w:sz w:val="15"/>
              </w:rPr>
              <w:t>Девладівська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15" w:name="110"/>
            <w:bookmarkEnd w:id="14"/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електроенергії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газопостачання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50000,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правильно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законодавству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Правильність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акта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конкретних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15"/>
      </w:tr>
      <w:tr w:rsidR="00DF786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16" w:name="111"/>
            <w:r>
              <w:rPr>
                <w:rFonts w:ascii="Arial"/>
                <w:color w:val="000000"/>
                <w:sz w:val="15"/>
              </w:rPr>
              <w:t>5.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17" w:name="112"/>
            <w:bookmarkEnd w:id="16"/>
            <w:r>
              <w:rPr>
                <w:rFonts w:ascii="Arial"/>
                <w:color w:val="000000"/>
                <w:sz w:val="15"/>
              </w:rPr>
              <w:t>Черкаська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селищна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18" w:name="113"/>
            <w:bookmarkEnd w:id="17"/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зараз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через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припинення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скасування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Україні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Відповідь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надавалась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Мінфіном</w:t>
            </w:r>
          </w:p>
        </w:tc>
        <w:bookmarkEnd w:id="18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19" w:name="114"/>
            <w:r>
              <w:rPr>
                <w:rFonts w:ascii="Arial"/>
                <w:color w:val="000000"/>
                <w:sz w:val="15"/>
              </w:rPr>
              <w:t>6.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20" w:name="115"/>
            <w:bookmarkEnd w:id="19"/>
            <w:r>
              <w:rPr>
                <w:rFonts w:ascii="Arial"/>
                <w:color w:val="000000"/>
                <w:sz w:val="15"/>
              </w:rPr>
              <w:t>Мирівська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21" w:name="116"/>
            <w:bookmarkEnd w:id="20"/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2023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проводитись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09120000-6 -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Газове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паливо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відкриті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торги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розвитку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подій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країні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ливих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законодавства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21"/>
      </w:tr>
      <w:tr w:rsidR="00DF786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22" w:name="117"/>
            <w:r>
              <w:rPr>
                <w:rFonts w:ascii="Arial"/>
                <w:color w:val="000000"/>
                <w:sz w:val="15"/>
              </w:rPr>
              <w:t>7.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23" w:name="118"/>
            <w:bookmarkEnd w:id="22"/>
            <w:r>
              <w:rPr>
                <w:rFonts w:ascii="Arial"/>
                <w:color w:val="000000"/>
                <w:sz w:val="15"/>
              </w:rPr>
              <w:t>Іларіонівська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селищна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24" w:name="119"/>
            <w:bookmarkEnd w:id="23"/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09.06.2021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590,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доповнити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19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розділ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оплата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доріг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знаходяться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балансі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".</w:t>
            </w:r>
            <w:r w:rsidRPr="00D41138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Відповідь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надавалась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СКМУ</w:t>
            </w:r>
          </w:p>
        </w:tc>
        <w:bookmarkEnd w:id="24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25" w:name="120"/>
            <w:r>
              <w:rPr>
                <w:rFonts w:ascii="Arial"/>
                <w:color w:val="000000"/>
                <w:sz w:val="15"/>
              </w:rPr>
              <w:t>8.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26" w:name="121"/>
            <w:bookmarkEnd w:id="25"/>
            <w:r>
              <w:rPr>
                <w:rFonts w:ascii="Arial"/>
                <w:color w:val="000000"/>
                <w:sz w:val="15"/>
              </w:rPr>
              <w:t>Малоберізька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27" w:name="122"/>
            <w:bookmarkEnd w:id="26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Затримка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закупівлям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життєво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необхідних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побутова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особистої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гігієни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харчування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комунальних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знаходяться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окупованих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територіях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повноцінно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Центр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соціальних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входить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стаціонарне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відділення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тимчасового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одиноких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людей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Відповідь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надавалась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СКМУ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платежів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капітальним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ремонтам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початку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24.02.2022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надавалась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СКМУ</w:t>
            </w:r>
          </w:p>
        </w:tc>
        <w:bookmarkEnd w:id="27"/>
      </w:tr>
      <w:tr w:rsidR="00DF786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28" w:name="123"/>
            <w:r>
              <w:rPr>
                <w:rFonts w:ascii="Arial"/>
                <w:color w:val="000000"/>
                <w:sz w:val="15"/>
              </w:rPr>
              <w:t>9.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29" w:name="124"/>
            <w:bookmarkEnd w:id="28"/>
            <w:r>
              <w:rPr>
                <w:rFonts w:ascii="Arial"/>
                <w:color w:val="000000"/>
                <w:sz w:val="15"/>
              </w:rPr>
              <w:t>Кременчуцька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30" w:name="125"/>
            <w:bookmarkEnd w:id="29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капітальні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видатки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травматологічного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відділення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ЛІЛ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Кременчуцька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Ступінь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готовності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50 %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капітальні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видатки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будівництво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адміністративного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приміщення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Нацгвардії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Ступінь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готовності</w:t>
            </w:r>
            <w:r>
              <w:rPr>
                <w:rFonts w:ascii="Arial"/>
                <w:color w:val="000000"/>
                <w:sz w:val="15"/>
              </w:rPr>
              <w:t xml:space="preserve"> 70 %.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Відповідь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надавалась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СКМУ</w:t>
            </w:r>
          </w:p>
        </w:tc>
        <w:bookmarkEnd w:id="30"/>
      </w:tr>
      <w:tr w:rsidR="00DF786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31" w:name="126"/>
            <w:r>
              <w:rPr>
                <w:rFonts w:ascii="Arial"/>
                <w:color w:val="000000"/>
                <w:sz w:val="15"/>
              </w:rPr>
              <w:t>10.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32" w:name="127"/>
            <w:bookmarkEnd w:id="31"/>
            <w:r>
              <w:rPr>
                <w:rFonts w:ascii="Arial"/>
                <w:color w:val="000000"/>
                <w:sz w:val="15"/>
              </w:rPr>
              <w:t>Миргородська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33" w:name="128"/>
            <w:bookmarkEnd w:id="32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навчального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військового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виникненням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облаштуванню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найпростіших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укриттів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продовжити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28.02.2022 N 169,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</w:t>
            </w:r>
            <w:r>
              <w:rPr>
                <w:rFonts w:ascii="Arial"/>
                <w:color w:val="000000"/>
                <w:sz w:val="15"/>
              </w:rPr>
              <w:t>им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продуктами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укриттями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максимально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швидко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ефективно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33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34" w:name="129"/>
            <w:r>
              <w:rPr>
                <w:rFonts w:ascii="Arial"/>
                <w:color w:val="000000"/>
                <w:sz w:val="15"/>
              </w:rPr>
              <w:t>11.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35" w:name="130"/>
            <w:bookmarkEnd w:id="34"/>
            <w:r>
              <w:rPr>
                <w:rFonts w:ascii="Arial"/>
                <w:color w:val="000000"/>
                <w:sz w:val="15"/>
              </w:rPr>
              <w:t>Машівська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36" w:name="131"/>
            <w:bookmarkEnd w:id="35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1)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усі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навчальні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заклади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початку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вересня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Міносвіти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планують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капітального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протирадіаційних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найпростіших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бачимо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вистачає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катастрофічно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своєчасного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робіт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прикладу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сесія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виділенням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коштів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врахуванням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набрання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сили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(5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робочих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тобто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розпочати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вартість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можливо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12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липня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статті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публічні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оголошення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проект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опубліковується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пізніше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ніж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шість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робочих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кінцевого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пропозицій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випливає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ідеальному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врахування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розгляду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пропоз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иції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питань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відповідей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можливість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настане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25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липня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Наслідково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робіт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становить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робочих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підводить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ризик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несвоєчасного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ремонтів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взагалі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відсутності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учасників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відмовлятимуться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коротким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робіт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вбачає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ДП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Прозорро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ситуацію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підпадає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бставину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абзацом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7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частини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електронного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каталогу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: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існує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нагальна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виникненням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єктивних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унеможливлюють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дотримання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використання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електронного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каталогу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нагальних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унеможливлені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дотриманням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строків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виключення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прямих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контрактів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Просимо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надати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чітку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протирадіаційних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найпростіших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укриттів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закладів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зазначенням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адрес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місцезнаходжен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вимагає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оголошенні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обмеженим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доступом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розголошення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правового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режиму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загрозу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національній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ромадській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дітям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знаходитись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нового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навчального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підставі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вищевикладеного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вбачає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ДП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Прозорро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ситуацію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підпадає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абзацом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частини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електронного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каталогу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: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повинна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оголошенні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обмеженим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доступом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розголошення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правового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режиму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загрозу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національній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громадській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безпеці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Інформацією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володіє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безпосередньо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слід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приймати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керуючись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наявними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обставинами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6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37" w:name="132"/>
            <w:r>
              <w:rPr>
                <w:rFonts w:ascii="Arial"/>
                <w:color w:val="000000"/>
                <w:sz w:val="15"/>
              </w:rPr>
              <w:lastRenderedPageBreak/>
              <w:t>12.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38" w:name="133"/>
            <w:bookmarkEnd w:id="37"/>
            <w:r>
              <w:rPr>
                <w:rFonts w:ascii="Arial"/>
                <w:color w:val="000000"/>
                <w:sz w:val="15"/>
              </w:rPr>
              <w:t>Харківське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АМУ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39" w:name="134"/>
            <w:bookmarkEnd w:id="38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Виходячи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3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підпункту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пункту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публічні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вартість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становить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перевищує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гривень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використанням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Питання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Враховуючи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наведені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рамки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становить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перевищує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."),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означає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абсолютно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проводити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через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спрощену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процедуру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навіть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тобто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застосовувати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повноцінні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торги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використовується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граничної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межі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вартості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пп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4.1)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вказано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відповідальною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організацію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уповноважена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Питання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значить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"?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922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публічні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"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11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цілий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спектр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вимог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відповідальність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уточнено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відповідати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актом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працівник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уповноважена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працівник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юрист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бухгалтер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економіст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покладено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повноважень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уповноваженої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належить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планування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оформлюються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протоколом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Але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підпункт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визначено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переліки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обсяги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товарів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робіт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послуг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визначаються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(!),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місцевих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радах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рада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певний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структурний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підрозділ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відділ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Питання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хто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документом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: "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якась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протоколом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рада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своїм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відділ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закупівель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складати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річний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скласти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перелік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необхідні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сяги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затвердити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наказом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9"/>
      </w:tr>
      <w:tr w:rsidR="00DF7868" w:rsidRPr="00D41138">
        <w:trPr>
          <w:trHeight w:val="135"/>
          <w:tblCellSpacing w:w="0" w:type="auto"/>
        </w:trPr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  <w:jc w:val="center"/>
            </w:pPr>
            <w:bookmarkStart w:id="40" w:name="135"/>
            <w:r>
              <w:rPr>
                <w:rFonts w:ascii="Arial"/>
                <w:color w:val="000000"/>
                <w:sz w:val="15"/>
              </w:rPr>
              <w:t>13.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Default="00A10A36">
            <w:pPr>
              <w:spacing w:after="0"/>
            </w:pPr>
            <w:bookmarkStart w:id="41" w:name="136"/>
            <w:bookmarkEnd w:id="40"/>
            <w:r>
              <w:rPr>
                <w:rFonts w:ascii="Arial"/>
                <w:color w:val="000000"/>
                <w:sz w:val="15"/>
              </w:rPr>
              <w:t>Козятинська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ТГ</w:t>
            </w:r>
          </w:p>
        </w:tc>
        <w:tc>
          <w:tcPr>
            <w:tcW w:w="72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F7868" w:rsidRPr="00D41138" w:rsidRDefault="00A10A36">
            <w:pPr>
              <w:spacing w:after="0"/>
              <w:rPr>
                <w:lang w:val="ru-RU"/>
              </w:rPr>
            </w:pPr>
            <w:bookmarkStart w:id="42" w:name="137"/>
            <w:bookmarkEnd w:id="41"/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наскільки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доцільно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частково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працювати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50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тисяч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звичайні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виникли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Свої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визначає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конкретний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вирішує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керуватись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нагальні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війною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язані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виникаю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умовах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потребують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швидкого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придбання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сумувати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коди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ДК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відображені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затвердженому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рішенням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Переліку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оскільки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єктивно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неможливо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було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передбачити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завчасно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вони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виступають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новим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окремого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цьому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закупівлі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здійснюються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замовником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планово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язані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війною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мають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внос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итись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річний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план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зараз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опублікувати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200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тис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.,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були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укладенні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чекати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закінчення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ВС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предмет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продовольчий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резерв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?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Бензин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?)</w:t>
            </w:r>
            <w:r w:rsidRPr="00D41138">
              <w:rPr>
                <w:lang w:val="ru-RU"/>
              </w:rPr>
              <w:br/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Відповідь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Мінекономіки</w:t>
            </w:r>
            <w:r w:rsidRPr="00D41138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зараз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умови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таких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договорів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вже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вноситимуться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оскільки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наразі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Постанови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КМУ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169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треба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оприлюднити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звіт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нього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зміни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вносились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додатковими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угодами</w:t>
            </w:r>
            <w:r w:rsidRPr="00D41138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42"/>
      </w:tr>
    </w:tbl>
    <w:p w:rsidR="00DF7868" w:rsidRPr="00D41138" w:rsidRDefault="00DF7868" w:rsidP="00D41138">
      <w:pPr>
        <w:rPr>
          <w:lang w:val="ru-RU"/>
        </w:rPr>
      </w:pPr>
      <w:bookmarkStart w:id="43" w:name="_GoBack"/>
      <w:bookmarkEnd w:id="43"/>
    </w:p>
    <w:sectPr w:rsidR="00DF7868" w:rsidRPr="00D41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36" w:rsidRDefault="00A10A36" w:rsidP="00855711">
      <w:pPr>
        <w:spacing w:after="0" w:line="240" w:lineRule="auto"/>
      </w:pPr>
      <w:r>
        <w:separator/>
      </w:r>
    </w:p>
  </w:endnote>
  <w:endnote w:type="continuationSeparator" w:id="0">
    <w:p w:rsidR="00A10A36" w:rsidRDefault="00A10A36" w:rsidP="0085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36" w:rsidRDefault="00A10A36" w:rsidP="00855711">
      <w:pPr>
        <w:spacing w:after="0" w:line="240" w:lineRule="auto"/>
      </w:pPr>
      <w:r>
        <w:separator/>
      </w:r>
    </w:p>
  </w:footnote>
  <w:footnote w:type="continuationSeparator" w:id="0">
    <w:p w:rsidR="00A10A36" w:rsidRDefault="00A10A36" w:rsidP="0085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11" w:rsidRDefault="008557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68"/>
    <w:rsid w:val="00855711"/>
    <w:rsid w:val="00A10A36"/>
    <w:rsid w:val="00B81351"/>
    <w:rsid w:val="00D41138"/>
    <w:rsid w:val="00D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85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2174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2022-08-12T10:54:00Z</dcterms:created>
  <dcterms:modified xsi:type="dcterms:W3CDTF">2022-08-12T10:54:00Z</dcterms:modified>
</cp:coreProperties>
</file>